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CB9D3">
      <w:pPr>
        <w:rPr>
          <w:rFonts w:ascii="仿宋_GB2312" w:hAnsi="仿宋_GB2312" w:eastAsia="仿宋_GB2312" w:cs="仿宋_GB2312"/>
          <w:sz w:val="36"/>
          <w:szCs w:val="36"/>
        </w:rPr>
      </w:pPr>
    </w:p>
    <w:p w14:paraId="51418AA6">
      <w:pPr>
        <w:rPr>
          <w:rFonts w:ascii="仿宋_GB2312" w:hAnsi="仿宋_GB2312" w:eastAsia="仿宋_GB2312" w:cs="仿宋_GB2312"/>
          <w:sz w:val="36"/>
          <w:szCs w:val="36"/>
        </w:rPr>
      </w:pPr>
    </w:p>
    <w:p w14:paraId="5A70E895">
      <w:pPr>
        <w:adjustRightInd w:val="0"/>
        <w:snapToGrid w:val="0"/>
        <w:ind w:firstLine="0" w:firstLineChars="0"/>
        <w:jc w:val="center"/>
        <w:outlineLvl w:val="0"/>
        <w:rPr>
          <w:rFonts w:ascii="方正小标宋_GBK" w:eastAsia="方正小标宋_GBK"/>
          <w:bCs/>
          <w:sz w:val="72"/>
          <w:szCs w:val="72"/>
        </w:rPr>
      </w:pPr>
      <w:bookmarkStart w:id="0" w:name="_Toc26648"/>
      <w:r>
        <w:rPr>
          <w:rFonts w:hint="eastAsia" w:ascii="方正小标宋_GBK" w:eastAsia="方正小标宋_GBK"/>
          <w:bCs/>
          <w:sz w:val="72"/>
          <w:szCs w:val="72"/>
        </w:rPr>
        <w:t>建设项目环境影响报告表</w:t>
      </w:r>
      <w:bookmarkEnd w:id="0"/>
    </w:p>
    <w:p w14:paraId="389773A5">
      <w:pPr>
        <w:adjustRightInd w:val="0"/>
        <w:snapToGrid w:val="0"/>
        <w:ind w:firstLine="0" w:firstLineChars="0"/>
        <w:jc w:val="center"/>
        <w:rPr>
          <w:rFonts w:ascii="楷体_GB2312" w:eastAsia="楷体_GB2312"/>
          <w:bCs/>
          <w:sz w:val="48"/>
          <w:szCs w:val="48"/>
        </w:rPr>
      </w:pPr>
      <w:r>
        <w:rPr>
          <w:rFonts w:hint="eastAsia" w:ascii="楷体_GB2312" w:eastAsia="楷体_GB2312"/>
          <w:bCs/>
          <w:sz w:val="48"/>
          <w:szCs w:val="48"/>
        </w:rPr>
        <w:t>（生态影响类）</w:t>
      </w:r>
    </w:p>
    <w:p w14:paraId="253C60C7">
      <w:pPr>
        <w:ind w:firstLine="0" w:firstLineChars="0"/>
        <w:jc w:val="center"/>
        <w:rPr>
          <w:rFonts w:ascii="华文仿宋" w:hAnsi="华文仿宋" w:eastAsia="华文仿宋" w:cs="华文仿宋"/>
          <w:color w:val="000000"/>
          <w:kern w:val="44"/>
          <w:sz w:val="36"/>
          <w:szCs w:val="36"/>
        </w:rPr>
      </w:pPr>
      <w:bookmarkStart w:id="1" w:name="_Hlk57883728"/>
      <w:r>
        <w:rPr>
          <w:rFonts w:hint="eastAsia" w:eastAsia="仿宋"/>
          <w:sz w:val="30"/>
          <w:szCs w:val="30"/>
        </w:rPr>
        <w:t>（</w:t>
      </w:r>
      <w:r>
        <w:rPr>
          <w:rFonts w:hint="eastAsia" w:eastAsia="仿宋"/>
          <w:sz w:val="30"/>
          <w:szCs w:val="30"/>
          <w:lang w:val="en-US" w:eastAsia="zh-CN"/>
        </w:rPr>
        <w:t>公示本</w:t>
      </w:r>
      <w:r>
        <w:rPr>
          <w:rFonts w:hint="eastAsia" w:eastAsia="仿宋"/>
          <w:sz w:val="30"/>
          <w:szCs w:val="30"/>
        </w:rPr>
        <w:t>）</w:t>
      </w:r>
    </w:p>
    <w:p w14:paraId="185971FC">
      <w:pPr>
        <w:ind w:firstLine="1040"/>
        <w:jc w:val="center"/>
        <w:rPr>
          <w:rFonts w:eastAsia="仿宋"/>
          <w:sz w:val="52"/>
          <w:szCs w:val="52"/>
        </w:rPr>
      </w:pPr>
    </w:p>
    <w:p w14:paraId="3A769329">
      <w:pPr>
        <w:ind w:firstLine="880"/>
        <w:rPr>
          <w:rFonts w:eastAsia="仿宋"/>
          <w:sz w:val="44"/>
          <w:szCs w:val="44"/>
        </w:rPr>
      </w:pPr>
    </w:p>
    <w:p w14:paraId="71F851BA">
      <w:pPr>
        <w:ind w:firstLine="880"/>
        <w:rPr>
          <w:rFonts w:eastAsia="仿宋"/>
          <w:sz w:val="44"/>
          <w:szCs w:val="44"/>
        </w:rPr>
      </w:pPr>
    </w:p>
    <w:p w14:paraId="5E64317F">
      <w:pPr>
        <w:ind w:firstLine="880"/>
        <w:rPr>
          <w:rFonts w:eastAsia="仿宋"/>
          <w:sz w:val="44"/>
          <w:szCs w:val="44"/>
        </w:rPr>
      </w:pPr>
    </w:p>
    <w:bookmarkEnd w:id="1"/>
    <w:p w14:paraId="44CBC8C0">
      <w:pPr>
        <w:adjustRightInd w:val="0"/>
        <w:snapToGrid w:val="0"/>
        <w:spacing w:line="288" w:lineRule="auto"/>
        <w:ind w:firstLine="0" w:firstLineChars="0"/>
        <w:rPr>
          <w:rFonts w:ascii="仿宋_GB2312" w:eastAsia="仿宋_GB2312"/>
          <w:sz w:val="36"/>
          <w:szCs w:val="36"/>
          <w:u w:val="single"/>
        </w:rPr>
      </w:pPr>
      <w:r>
        <w:rPr>
          <w:rFonts w:hint="eastAsia" w:ascii="仿宋_GB2312" w:eastAsia="仿宋_GB2312"/>
          <w:sz w:val="36"/>
          <w:szCs w:val="36"/>
        </w:rPr>
        <w:t>项目名称：</w:t>
      </w:r>
      <w:r>
        <w:rPr>
          <w:rFonts w:hint="eastAsia" w:ascii="仿宋_GB2312" w:eastAsia="仿宋_GB2312"/>
          <w:sz w:val="36"/>
          <w:szCs w:val="36"/>
          <w:u w:val="single"/>
        </w:rPr>
        <w:t>巴中市檬子河流域水环境综合治理项目（一期）</w:t>
      </w:r>
    </w:p>
    <w:p w14:paraId="58E15201">
      <w:pPr>
        <w:adjustRightInd w:val="0"/>
        <w:snapToGrid w:val="0"/>
        <w:spacing w:line="288" w:lineRule="auto"/>
        <w:ind w:firstLine="0" w:firstLineChars="0"/>
        <w:rPr>
          <w:rFonts w:ascii="仿宋_GB2312" w:eastAsia="仿宋_GB2312"/>
          <w:sz w:val="36"/>
          <w:szCs w:val="36"/>
          <w:u w:val="single"/>
        </w:rPr>
      </w:pPr>
      <w:r>
        <w:rPr>
          <w:rFonts w:hint="eastAsia" w:ascii="仿宋_GB2312" w:eastAsia="仿宋_GB2312"/>
          <w:sz w:val="36"/>
          <w:szCs w:val="36"/>
        </w:rPr>
        <w:t>建设单位（盖章）：</w:t>
      </w:r>
      <w:r>
        <w:rPr>
          <w:rFonts w:hint="eastAsia" w:ascii="仿宋_GB2312" w:eastAsia="仿宋_GB2312"/>
          <w:sz w:val="36"/>
          <w:szCs w:val="36"/>
          <w:u w:val="single"/>
        </w:rPr>
        <w:t xml:space="preserve"> 巴中市环境投资集团股份有限公司 </w:t>
      </w:r>
    </w:p>
    <w:p w14:paraId="5713CB8D">
      <w:pPr>
        <w:adjustRightInd w:val="0"/>
        <w:snapToGrid w:val="0"/>
        <w:spacing w:line="288" w:lineRule="auto"/>
        <w:ind w:firstLine="0" w:firstLineChars="0"/>
        <w:rPr>
          <w:rFonts w:ascii="仿宋_GB2312" w:eastAsia="仿宋_GB2312"/>
          <w:sz w:val="36"/>
          <w:szCs w:val="36"/>
          <w:u w:val="single"/>
        </w:rPr>
      </w:pPr>
      <w:r>
        <w:rPr>
          <w:rFonts w:hint="eastAsia" w:ascii="仿宋_GB2312" w:eastAsia="仿宋_GB2312"/>
          <w:sz w:val="36"/>
          <w:szCs w:val="36"/>
        </w:rPr>
        <w:t>编制日期：</w:t>
      </w:r>
      <w:r>
        <w:rPr>
          <w:rFonts w:hint="eastAsia" w:ascii="仿宋_GB2312" w:eastAsia="仿宋_GB2312"/>
          <w:sz w:val="36"/>
          <w:szCs w:val="36"/>
          <w:u w:val="single"/>
        </w:rPr>
        <w:t xml:space="preserve"> </w:t>
      </w:r>
      <w:r>
        <w:rPr>
          <w:rFonts w:ascii="仿宋_GB2312" w:eastAsia="仿宋_GB2312"/>
          <w:sz w:val="36"/>
          <w:szCs w:val="36"/>
          <w:u w:val="single"/>
        </w:rPr>
        <w:t xml:space="preserve">       </w:t>
      </w:r>
      <w:r>
        <w:rPr>
          <w:rFonts w:hint="eastAsia" w:ascii="仿宋_GB2312" w:eastAsia="仿宋_GB2312"/>
          <w:sz w:val="36"/>
          <w:szCs w:val="36"/>
          <w:u w:val="single"/>
        </w:rPr>
        <w:t xml:space="preserve">      2026年</w:t>
      </w:r>
      <w:r>
        <w:rPr>
          <w:rFonts w:hint="eastAsia" w:ascii="仿宋_GB2312" w:eastAsia="仿宋_GB2312"/>
          <w:sz w:val="36"/>
          <w:szCs w:val="36"/>
          <w:u w:val="single"/>
          <w:lang w:val="en-US" w:eastAsia="zh-CN"/>
        </w:rPr>
        <w:t>8</w:t>
      </w:r>
      <w:r>
        <w:rPr>
          <w:rFonts w:hint="eastAsia" w:ascii="仿宋_GB2312" w:eastAsia="仿宋_GB2312"/>
          <w:sz w:val="36"/>
          <w:szCs w:val="36"/>
          <w:u w:val="single"/>
        </w:rPr>
        <w:t xml:space="preserve">月   </w:t>
      </w:r>
      <w:r>
        <w:rPr>
          <w:rFonts w:ascii="仿宋_GB2312" w:eastAsia="仿宋_GB2312"/>
          <w:sz w:val="36"/>
          <w:szCs w:val="36"/>
          <w:u w:val="single"/>
        </w:rPr>
        <w:t xml:space="preserve">  </w:t>
      </w:r>
      <w:r>
        <w:rPr>
          <w:rFonts w:hint="eastAsia" w:ascii="仿宋_GB2312" w:eastAsia="仿宋_GB2312"/>
          <w:sz w:val="36"/>
          <w:szCs w:val="36"/>
          <w:u w:val="single"/>
        </w:rPr>
        <w:t xml:space="preserve"> </w:t>
      </w:r>
      <w:r>
        <w:rPr>
          <w:rFonts w:ascii="仿宋_GB2312" w:eastAsia="仿宋_GB2312"/>
          <w:sz w:val="36"/>
          <w:szCs w:val="36"/>
          <w:u w:val="single"/>
        </w:rPr>
        <w:t xml:space="preserve">    </w:t>
      </w:r>
      <w:r>
        <w:rPr>
          <w:rFonts w:hint="eastAsia" w:ascii="仿宋_GB2312" w:eastAsia="仿宋_GB2312"/>
          <w:sz w:val="36"/>
          <w:szCs w:val="36"/>
          <w:u w:val="single"/>
        </w:rPr>
        <w:t xml:space="preserve"> </w:t>
      </w:r>
      <w:r>
        <w:rPr>
          <w:rFonts w:ascii="仿宋_GB2312" w:eastAsia="仿宋_GB2312"/>
          <w:sz w:val="36"/>
          <w:szCs w:val="36"/>
          <w:u w:val="single"/>
        </w:rPr>
        <w:t xml:space="preserve">    </w:t>
      </w:r>
    </w:p>
    <w:p w14:paraId="2D74BC3C">
      <w:pPr>
        <w:adjustRightInd w:val="0"/>
        <w:snapToGrid w:val="0"/>
        <w:spacing w:line="288" w:lineRule="auto"/>
        <w:rPr>
          <w:rFonts w:ascii="仿宋_GB2312" w:eastAsia="仿宋_GB2312"/>
          <w:sz w:val="36"/>
          <w:szCs w:val="36"/>
          <w:u w:val="single"/>
        </w:rPr>
      </w:pPr>
    </w:p>
    <w:p w14:paraId="726625BB">
      <w:pPr>
        <w:adjustRightInd w:val="0"/>
        <w:snapToGrid w:val="0"/>
        <w:spacing w:line="288" w:lineRule="auto"/>
        <w:rPr>
          <w:rFonts w:ascii="仿宋_GB2312" w:eastAsia="仿宋_GB2312"/>
          <w:sz w:val="36"/>
          <w:szCs w:val="36"/>
        </w:rPr>
      </w:pPr>
    </w:p>
    <w:p w14:paraId="53C27244">
      <w:pPr>
        <w:adjustRightInd w:val="0"/>
        <w:snapToGrid w:val="0"/>
        <w:spacing w:line="288" w:lineRule="auto"/>
        <w:rPr>
          <w:rFonts w:ascii="仿宋_GB2312" w:eastAsia="仿宋_GB2312"/>
          <w:sz w:val="36"/>
          <w:szCs w:val="36"/>
        </w:rPr>
      </w:pPr>
    </w:p>
    <w:p w14:paraId="65A673F1">
      <w:pPr>
        <w:adjustRightInd w:val="0"/>
        <w:snapToGrid w:val="0"/>
        <w:spacing w:line="288" w:lineRule="auto"/>
        <w:rPr>
          <w:rFonts w:ascii="仿宋_GB2312" w:eastAsia="仿宋_GB2312"/>
          <w:sz w:val="36"/>
          <w:szCs w:val="36"/>
        </w:rPr>
      </w:pPr>
    </w:p>
    <w:p w14:paraId="3DBACB34">
      <w:pPr>
        <w:adjustRightInd w:val="0"/>
        <w:snapToGrid w:val="0"/>
        <w:spacing w:line="288" w:lineRule="auto"/>
        <w:ind w:firstLine="0" w:firstLineChars="0"/>
        <w:jc w:val="center"/>
        <w:rPr>
          <w:rFonts w:ascii="楷体_GB2312" w:eastAsia="楷体_GB2312"/>
          <w:sz w:val="36"/>
          <w:szCs w:val="36"/>
        </w:rPr>
      </w:pPr>
      <w:r>
        <w:rPr>
          <w:rFonts w:hint="eastAsia" w:ascii="楷体_GB2312" w:eastAsia="楷体_GB2312"/>
          <w:sz w:val="36"/>
          <w:szCs w:val="36"/>
        </w:rPr>
        <w:t>中华人民共和国生态环境部制</w:t>
      </w:r>
    </w:p>
    <w:p w14:paraId="42125DE3">
      <w:pPr>
        <w:adjustRightInd w:val="0"/>
        <w:snapToGrid w:val="0"/>
        <w:spacing w:line="288" w:lineRule="auto"/>
        <w:jc w:val="center"/>
        <w:rPr>
          <w:rFonts w:ascii="仿宋_GB2312" w:eastAsia="仿宋_GB2312"/>
          <w:sz w:val="36"/>
          <w:szCs w:val="36"/>
        </w:rPr>
        <w:sectPr>
          <w:headerReference r:id="rId7" w:type="first"/>
          <w:footerReference r:id="rId10" w:type="first"/>
          <w:headerReference r:id="rId5" w:type="default"/>
          <w:footerReference r:id="rId8" w:type="default"/>
          <w:headerReference r:id="rId6" w:type="even"/>
          <w:footerReference r:id="rId9" w:type="even"/>
          <w:pgSz w:w="11906" w:h="16838"/>
          <w:pgMar w:top="1701" w:right="1531" w:bottom="1701" w:left="1531" w:header="851" w:footer="1077" w:gutter="0"/>
          <w:pgNumType w:start="21"/>
          <w:cols w:space="720" w:num="1"/>
          <w:docGrid w:linePitch="312" w:charSpace="0"/>
        </w:sectPr>
      </w:pPr>
    </w:p>
    <w:sdt>
      <w:sdtPr>
        <w:rPr>
          <w:rFonts w:ascii="宋体" w:hAnsi="宋体"/>
          <w:sz w:val="21"/>
        </w:rPr>
        <w:id w:val="147473124"/>
        <w15:color w:val="DBDBDB"/>
        <w:docPartObj>
          <w:docPartGallery w:val="Table of Contents"/>
          <w:docPartUnique/>
        </w:docPartObj>
      </w:sdtPr>
      <w:sdtEndPr>
        <w:rPr>
          <w:rFonts w:hint="eastAsia" w:ascii="宋体" w:hAnsi="宋体"/>
          <w:sz w:val="21"/>
        </w:rPr>
      </w:sdtEndPr>
      <w:sdtContent>
        <w:p w14:paraId="55A898B1">
          <w:pPr>
            <w:spacing w:line="240" w:lineRule="auto"/>
            <w:ind w:firstLine="0" w:firstLineChars="0"/>
            <w:jc w:val="center"/>
            <w:rPr>
              <w:b/>
              <w:bCs/>
              <w:sz w:val="28"/>
              <w:szCs w:val="28"/>
            </w:rPr>
          </w:pPr>
          <w:r>
            <w:rPr>
              <w:rFonts w:ascii="宋体" w:hAnsi="宋体"/>
              <w:b/>
              <w:bCs/>
              <w:sz w:val="28"/>
              <w:szCs w:val="28"/>
            </w:rPr>
            <w:t>目</w:t>
          </w:r>
          <w:r>
            <w:rPr>
              <w:rFonts w:hint="eastAsia" w:ascii="宋体" w:hAnsi="宋体"/>
              <w:b/>
              <w:bCs/>
              <w:sz w:val="28"/>
              <w:szCs w:val="28"/>
            </w:rPr>
            <w:t xml:space="preserve">   </w:t>
          </w:r>
          <w:r>
            <w:rPr>
              <w:rFonts w:ascii="宋体" w:hAnsi="宋体"/>
              <w:b/>
              <w:bCs/>
              <w:sz w:val="28"/>
              <w:szCs w:val="28"/>
            </w:rPr>
            <w:t>录</w:t>
          </w:r>
        </w:p>
        <w:p w14:paraId="3FF6A63A">
          <w:pPr>
            <w:pStyle w:val="13"/>
            <w:tabs>
              <w:tab w:val="right" w:leader="dot" w:pos="9026"/>
            </w:tabs>
            <w:ind w:firstLine="0" w:firstLineChars="0"/>
          </w:pPr>
          <w:r>
            <w:rPr>
              <w:rFonts w:hint="eastAsia" w:ascii="黑体" w:hAnsi="黑体" w:eastAsia="黑体"/>
              <w:snapToGrid w:val="0"/>
              <w:sz w:val="30"/>
              <w:szCs w:val="30"/>
            </w:rPr>
            <w:fldChar w:fldCharType="begin"/>
          </w:r>
          <w:r>
            <w:rPr>
              <w:rFonts w:hint="eastAsia" w:ascii="黑体" w:hAnsi="黑体" w:eastAsia="黑体"/>
              <w:snapToGrid w:val="0"/>
              <w:sz w:val="30"/>
              <w:szCs w:val="30"/>
            </w:rPr>
            <w:instrText xml:space="preserve">TOC \o "1-3" \h \u </w:instrText>
          </w:r>
          <w:r>
            <w:rPr>
              <w:rFonts w:hint="eastAsia" w:ascii="黑体" w:hAnsi="黑体" w:eastAsia="黑体"/>
              <w:snapToGrid w:val="0"/>
              <w:sz w:val="30"/>
              <w:szCs w:val="30"/>
            </w:rPr>
            <w:fldChar w:fldCharType="separate"/>
          </w:r>
          <w:r>
            <w:fldChar w:fldCharType="begin"/>
          </w:r>
          <w:r>
            <w:instrText xml:space="preserve"> HYPERLINK \l "_Toc6026" </w:instrText>
          </w:r>
          <w:r>
            <w:fldChar w:fldCharType="separate"/>
          </w:r>
          <w:r>
            <w:rPr>
              <w:rFonts w:hint="eastAsia" w:ascii="黑体" w:hAnsi="黑体" w:eastAsia="黑体"/>
              <w:snapToGrid w:val="0"/>
              <w:szCs w:val="30"/>
            </w:rPr>
            <w:t>一、建设项目基本情况</w:t>
          </w:r>
          <w:r>
            <w:tab/>
          </w:r>
          <w:r>
            <w:fldChar w:fldCharType="begin"/>
          </w:r>
          <w:r>
            <w:instrText xml:space="preserve"> PAGEREF _Toc6026 \h </w:instrText>
          </w:r>
          <w:r>
            <w:fldChar w:fldCharType="separate"/>
          </w:r>
          <w:r>
            <w:t>1</w:t>
          </w:r>
          <w:r>
            <w:fldChar w:fldCharType="end"/>
          </w:r>
          <w:r>
            <w:fldChar w:fldCharType="end"/>
          </w:r>
        </w:p>
        <w:p w14:paraId="7453D66F">
          <w:pPr>
            <w:pStyle w:val="13"/>
            <w:tabs>
              <w:tab w:val="right" w:leader="dot" w:pos="9026"/>
            </w:tabs>
            <w:ind w:firstLine="0" w:firstLineChars="0"/>
          </w:pPr>
          <w:r>
            <w:fldChar w:fldCharType="begin"/>
          </w:r>
          <w:r>
            <w:instrText xml:space="preserve"> HYPERLINK \l "_Toc14436" </w:instrText>
          </w:r>
          <w:r>
            <w:fldChar w:fldCharType="separate"/>
          </w:r>
          <w:r>
            <w:rPr>
              <w:rFonts w:hint="eastAsia" w:ascii="黑体" w:hAnsi="黑体" w:eastAsia="黑体"/>
              <w:snapToGrid w:val="0"/>
              <w:szCs w:val="30"/>
            </w:rPr>
            <w:t>二、建设内容</w:t>
          </w:r>
          <w:r>
            <w:tab/>
          </w:r>
          <w:r>
            <w:fldChar w:fldCharType="begin"/>
          </w:r>
          <w:r>
            <w:instrText xml:space="preserve"> PAGEREF _Toc14436 \h </w:instrText>
          </w:r>
          <w:r>
            <w:fldChar w:fldCharType="separate"/>
          </w:r>
          <w:r>
            <w:t>31</w:t>
          </w:r>
          <w:r>
            <w:fldChar w:fldCharType="end"/>
          </w:r>
          <w:r>
            <w:fldChar w:fldCharType="end"/>
          </w:r>
        </w:p>
        <w:p w14:paraId="4F565895">
          <w:pPr>
            <w:pStyle w:val="13"/>
            <w:tabs>
              <w:tab w:val="right" w:leader="dot" w:pos="9026"/>
            </w:tabs>
            <w:ind w:firstLine="0" w:firstLineChars="0"/>
          </w:pPr>
          <w:r>
            <w:fldChar w:fldCharType="begin"/>
          </w:r>
          <w:r>
            <w:instrText xml:space="preserve"> HYPERLINK \l "_Toc13492" </w:instrText>
          </w:r>
          <w:r>
            <w:fldChar w:fldCharType="separate"/>
          </w:r>
          <w:r>
            <w:rPr>
              <w:rFonts w:hint="eastAsia" w:ascii="黑体" w:hAnsi="黑体" w:eastAsia="黑体"/>
              <w:snapToGrid w:val="0"/>
              <w:szCs w:val="30"/>
            </w:rPr>
            <w:t>三、生态环境现状、保护目标及评价标准</w:t>
          </w:r>
          <w:r>
            <w:tab/>
          </w:r>
          <w:r>
            <w:fldChar w:fldCharType="begin"/>
          </w:r>
          <w:r>
            <w:instrText xml:space="preserve"> PAGEREF _Toc13492 \h </w:instrText>
          </w:r>
          <w:r>
            <w:fldChar w:fldCharType="separate"/>
          </w:r>
          <w:r>
            <w:t>59</w:t>
          </w:r>
          <w:r>
            <w:fldChar w:fldCharType="end"/>
          </w:r>
          <w:r>
            <w:fldChar w:fldCharType="end"/>
          </w:r>
        </w:p>
        <w:p w14:paraId="3E913A80">
          <w:pPr>
            <w:pStyle w:val="13"/>
            <w:tabs>
              <w:tab w:val="right" w:leader="dot" w:pos="9026"/>
            </w:tabs>
            <w:ind w:firstLine="0" w:firstLineChars="0"/>
          </w:pPr>
          <w:r>
            <w:fldChar w:fldCharType="begin"/>
          </w:r>
          <w:r>
            <w:instrText xml:space="preserve"> HYPERLINK \l "_Toc7640" </w:instrText>
          </w:r>
          <w:r>
            <w:fldChar w:fldCharType="separate"/>
          </w:r>
          <w:r>
            <w:rPr>
              <w:rFonts w:hint="eastAsia" w:ascii="黑体" w:hAnsi="黑体" w:eastAsia="黑体"/>
              <w:snapToGrid w:val="0"/>
              <w:kern w:val="0"/>
              <w:szCs w:val="30"/>
            </w:rPr>
            <w:t>四、</w:t>
          </w:r>
          <w:r>
            <w:rPr>
              <w:rFonts w:hint="eastAsia" w:ascii="黑体" w:hAnsi="黑体" w:eastAsia="黑体"/>
              <w:snapToGrid w:val="0"/>
              <w:szCs w:val="30"/>
            </w:rPr>
            <w:t>生态环境影响分析</w:t>
          </w:r>
          <w:r>
            <w:tab/>
          </w:r>
          <w:r>
            <w:fldChar w:fldCharType="begin"/>
          </w:r>
          <w:r>
            <w:instrText xml:space="preserve"> PAGEREF _Toc7640 \h </w:instrText>
          </w:r>
          <w:r>
            <w:fldChar w:fldCharType="separate"/>
          </w:r>
          <w:r>
            <w:t>81</w:t>
          </w:r>
          <w:r>
            <w:fldChar w:fldCharType="end"/>
          </w:r>
          <w:r>
            <w:fldChar w:fldCharType="end"/>
          </w:r>
        </w:p>
        <w:p w14:paraId="647E0954">
          <w:pPr>
            <w:pStyle w:val="13"/>
            <w:tabs>
              <w:tab w:val="right" w:leader="dot" w:pos="9026"/>
            </w:tabs>
            <w:ind w:firstLine="0" w:firstLineChars="0"/>
          </w:pPr>
          <w:r>
            <w:fldChar w:fldCharType="begin"/>
          </w:r>
          <w:r>
            <w:instrText xml:space="preserve"> HYPERLINK \l "_Toc6177" </w:instrText>
          </w:r>
          <w:r>
            <w:fldChar w:fldCharType="separate"/>
          </w:r>
          <w:r>
            <w:rPr>
              <w:rFonts w:hint="eastAsia" w:ascii="黑体" w:hAnsi="黑体" w:eastAsia="黑体"/>
              <w:snapToGrid w:val="0"/>
              <w:szCs w:val="30"/>
            </w:rPr>
            <w:t>五、主要生态环境保护措施</w:t>
          </w:r>
          <w:r>
            <w:tab/>
          </w:r>
          <w:r>
            <w:fldChar w:fldCharType="begin"/>
          </w:r>
          <w:r>
            <w:instrText xml:space="preserve"> PAGEREF _Toc6177 \h </w:instrText>
          </w:r>
          <w:r>
            <w:fldChar w:fldCharType="separate"/>
          </w:r>
          <w:r>
            <w:t>98</w:t>
          </w:r>
          <w:r>
            <w:fldChar w:fldCharType="end"/>
          </w:r>
          <w:r>
            <w:fldChar w:fldCharType="end"/>
          </w:r>
        </w:p>
        <w:p w14:paraId="5238CAA2">
          <w:pPr>
            <w:pStyle w:val="13"/>
            <w:tabs>
              <w:tab w:val="right" w:leader="dot" w:pos="9026"/>
            </w:tabs>
            <w:ind w:firstLine="0" w:firstLineChars="0"/>
          </w:pPr>
          <w:r>
            <w:fldChar w:fldCharType="begin"/>
          </w:r>
          <w:r>
            <w:instrText xml:space="preserve"> HYPERLINK \l "_Toc22612" </w:instrText>
          </w:r>
          <w:r>
            <w:fldChar w:fldCharType="separate"/>
          </w:r>
          <w:r>
            <w:rPr>
              <w:rFonts w:hint="eastAsia" w:ascii="黑体" w:hAnsi="黑体" w:eastAsia="黑体"/>
              <w:snapToGrid w:val="0"/>
              <w:kern w:val="0"/>
              <w:szCs w:val="30"/>
            </w:rPr>
            <w:t>六、</w:t>
          </w:r>
          <w:r>
            <w:rPr>
              <w:rFonts w:hint="eastAsia" w:ascii="黑体" w:hAnsi="黑体" w:eastAsia="黑体"/>
              <w:snapToGrid w:val="0"/>
              <w:szCs w:val="30"/>
            </w:rPr>
            <w:t>生态环境保护措施监督检查清单</w:t>
          </w:r>
          <w:r>
            <w:tab/>
          </w:r>
          <w:r>
            <w:fldChar w:fldCharType="begin"/>
          </w:r>
          <w:r>
            <w:instrText xml:space="preserve"> PAGEREF _Toc22612 \h </w:instrText>
          </w:r>
          <w:r>
            <w:fldChar w:fldCharType="separate"/>
          </w:r>
          <w:r>
            <w:t>111</w:t>
          </w:r>
          <w:r>
            <w:fldChar w:fldCharType="end"/>
          </w:r>
          <w:r>
            <w:fldChar w:fldCharType="end"/>
          </w:r>
        </w:p>
        <w:p w14:paraId="67C29100">
          <w:pPr>
            <w:pStyle w:val="13"/>
            <w:tabs>
              <w:tab w:val="right" w:leader="dot" w:pos="9026"/>
            </w:tabs>
            <w:ind w:firstLine="0" w:firstLineChars="0"/>
          </w:pPr>
          <w:r>
            <w:fldChar w:fldCharType="begin"/>
          </w:r>
          <w:r>
            <w:instrText xml:space="preserve"> HYPERLINK \l "_Toc23044" </w:instrText>
          </w:r>
          <w:r>
            <w:fldChar w:fldCharType="separate"/>
          </w:r>
          <w:r>
            <w:rPr>
              <w:rFonts w:hint="eastAsia" w:ascii="黑体" w:hAnsi="黑体" w:eastAsia="黑体"/>
              <w:snapToGrid w:val="0"/>
              <w:szCs w:val="30"/>
            </w:rPr>
            <w:t>七、结论</w:t>
          </w:r>
          <w:r>
            <w:tab/>
          </w:r>
          <w:r>
            <w:fldChar w:fldCharType="begin"/>
          </w:r>
          <w:r>
            <w:instrText xml:space="preserve"> PAGEREF _Toc23044 \h </w:instrText>
          </w:r>
          <w:r>
            <w:fldChar w:fldCharType="separate"/>
          </w:r>
          <w:r>
            <w:t>113</w:t>
          </w:r>
          <w:r>
            <w:fldChar w:fldCharType="end"/>
          </w:r>
          <w:r>
            <w:fldChar w:fldCharType="end"/>
          </w:r>
        </w:p>
        <w:p w14:paraId="2E419946">
          <w:pPr>
            <w:ind w:firstLine="480"/>
          </w:pPr>
          <w:r>
            <w:rPr>
              <w:rFonts w:hint="eastAsia"/>
            </w:rPr>
            <w:fldChar w:fldCharType="end"/>
          </w:r>
        </w:p>
      </w:sdtContent>
    </w:sdt>
    <w:p w14:paraId="25A1D7F7">
      <w:pPr>
        <w:pStyle w:val="16"/>
        <w:spacing w:before="0" w:beforeAutospacing="0" w:after="0" w:afterAutospacing="0"/>
        <w:ind w:firstLine="480"/>
        <w:jc w:val="center"/>
        <w:outlineLvl w:val="0"/>
        <w:rPr>
          <w:rFonts w:ascii="黑体" w:hAnsi="黑体" w:eastAsia="黑体"/>
          <w:snapToGrid w:val="0"/>
          <w:szCs w:val="30"/>
        </w:rPr>
        <w:sectPr>
          <w:pgSz w:w="11906" w:h="16838"/>
          <w:pgMar w:top="1800" w:right="1440" w:bottom="1800" w:left="1440" w:header="851" w:footer="992" w:gutter="0"/>
          <w:cols w:space="0" w:num="1"/>
          <w:docGrid w:type="lines" w:linePitch="312" w:charSpace="0"/>
        </w:sectPr>
      </w:pPr>
    </w:p>
    <w:p w14:paraId="4CE6E7C9">
      <w:pPr>
        <w:ind w:firstLine="562"/>
        <w:jc w:val="center"/>
        <w:rPr>
          <w:b/>
          <w:bCs/>
          <w:sz w:val="28"/>
          <w:szCs w:val="28"/>
        </w:rPr>
      </w:pPr>
      <w:bookmarkStart w:id="2" w:name="_Toc6026"/>
      <w:r>
        <w:rPr>
          <w:rFonts w:hint="eastAsia"/>
          <w:b/>
          <w:bCs/>
          <w:sz w:val="28"/>
          <w:szCs w:val="28"/>
        </w:rPr>
        <w:t>附图与附件</w:t>
      </w:r>
    </w:p>
    <w:p w14:paraId="5156E7AE">
      <w:pPr>
        <w:ind w:firstLine="482"/>
      </w:pPr>
      <w:r>
        <w:rPr>
          <w:rFonts w:hint="eastAsia"/>
          <w:b/>
          <w:bCs/>
        </w:rPr>
        <w:t>附图：</w:t>
      </w:r>
    </w:p>
    <w:p w14:paraId="0E02DA00">
      <w:pPr>
        <w:ind w:firstLine="480"/>
      </w:pPr>
      <w:r>
        <w:rPr>
          <w:rFonts w:hint="eastAsia"/>
        </w:rPr>
        <w:t>附图1 项目地理位置图</w:t>
      </w:r>
    </w:p>
    <w:p w14:paraId="1E71F909">
      <w:pPr>
        <w:ind w:firstLine="480"/>
      </w:pPr>
      <w:r>
        <w:rPr>
          <w:rFonts w:hint="eastAsia"/>
        </w:rPr>
        <w:t>附图2 区域水系图</w:t>
      </w:r>
    </w:p>
    <w:p w14:paraId="156B893E">
      <w:pPr>
        <w:ind w:firstLine="480"/>
      </w:pPr>
      <w:r>
        <w:rPr>
          <w:rFonts w:hint="eastAsia"/>
        </w:rPr>
        <w:t>附图3 土壤侵蚀分布图</w:t>
      </w:r>
    </w:p>
    <w:p w14:paraId="597CC120">
      <w:pPr>
        <w:ind w:firstLine="480"/>
      </w:pPr>
      <w:r>
        <w:rPr>
          <w:rFonts w:hint="eastAsia"/>
        </w:rPr>
        <w:t>附图4 项目总平面布置图</w:t>
      </w:r>
    </w:p>
    <w:p w14:paraId="2209CBE8">
      <w:pPr>
        <w:ind w:firstLine="480"/>
      </w:pPr>
      <w:r>
        <w:rPr>
          <w:rFonts w:hint="eastAsia"/>
        </w:rPr>
        <w:t>附图5 外环境关系及监测点位图</w:t>
      </w:r>
    </w:p>
    <w:p w14:paraId="6CE0509B">
      <w:pPr>
        <w:ind w:firstLine="480"/>
      </w:pPr>
      <w:r>
        <w:rPr>
          <w:rFonts w:hint="eastAsia"/>
        </w:rPr>
        <w:t>附图6 控流导流设施平面布置图</w:t>
      </w:r>
    </w:p>
    <w:p w14:paraId="74813587">
      <w:pPr>
        <w:ind w:firstLine="480"/>
      </w:pPr>
      <w:r>
        <w:rPr>
          <w:rFonts w:hint="eastAsia"/>
        </w:rPr>
        <w:t>附图7 生态护岸平面布置图</w:t>
      </w:r>
    </w:p>
    <w:p w14:paraId="1BEF798D">
      <w:pPr>
        <w:ind w:firstLine="480"/>
        <w:rPr>
          <w:rFonts w:hint="eastAsia"/>
        </w:rPr>
      </w:pPr>
      <w:r>
        <w:rPr>
          <w:rFonts w:hint="eastAsia"/>
        </w:rPr>
        <w:t>附图8 施工平面布置图</w:t>
      </w:r>
    </w:p>
    <w:p w14:paraId="402D0EA3">
      <w:pPr>
        <w:ind w:firstLine="480"/>
        <w:rPr>
          <w:rFonts w:hint="default" w:eastAsia="宋体"/>
          <w:lang w:val="en-US" w:eastAsia="zh-CN"/>
        </w:rPr>
      </w:pPr>
      <w:r>
        <w:rPr>
          <w:rFonts w:hint="eastAsia"/>
          <w:lang w:val="en-US" w:eastAsia="zh-CN"/>
        </w:rPr>
        <w:t>附图9 典型生态保护措施图</w:t>
      </w:r>
    </w:p>
    <w:p w14:paraId="4D16D34A">
      <w:pPr>
        <w:ind w:firstLine="480"/>
        <w:rPr>
          <w:rFonts w:hint="eastAsia"/>
        </w:rPr>
      </w:pPr>
      <w:r>
        <w:rPr>
          <w:rFonts w:hint="eastAsia"/>
        </w:rPr>
        <w:t>附图</w:t>
      </w:r>
      <w:r>
        <w:rPr>
          <w:rFonts w:hint="eastAsia"/>
          <w:lang w:val="en-US" w:eastAsia="zh-CN"/>
        </w:rPr>
        <w:t>10</w:t>
      </w:r>
      <w:r>
        <w:rPr>
          <w:rFonts w:hint="eastAsia"/>
        </w:rPr>
        <w:t xml:space="preserve"> </w:t>
      </w:r>
      <w:r>
        <w:rPr>
          <w:rFonts w:hint="eastAsia"/>
          <w:lang w:val="en-US" w:eastAsia="zh-CN"/>
        </w:rPr>
        <w:t>项目用地平面图</w:t>
      </w:r>
    </w:p>
    <w:p w14:paraId="0E2B09F5">
      <w:pPr>
        <w:ind w:firstLine="480"/>
        <w:rPr>
          <w:rFonts w:hint="default" w:eastAsia="宋体"/>
          <w:lang w:val="en-US" w:eastAsia="zh-CN"/>
        </w:rPr>
      </w:pPr>
      <w:r>
        <w:rPr>
          <w:rFonts w:hint="eastAsia"/>
          <w:lang w:val="en-US" w:eastAsia="zh-CN"/>
        </w:rPr>
        <w:t xml:space="preserve">附图11 </w:t>
      </w:r>
      <w:r>
        <w:rPr>
          <w:rFonts w:hint="eastAsia"/>
        </w:rPr>
        <w:t>巴中市中心城市土地使用规划图</w:t>
      </w:r>
    </w:p>
    <w:p w14:paraId="4E64036C">
      <w:pPr>
        <w:ind w:firstLine="482"/>
        <w:rPr>
          <w:b/>
          <w:bCs/>
        </w:rPr>
      </w:pPr>
      <w:r>
        <w:rPr>
          <w:rFonts w:hint="eastAsia"/>
          <w:b/>
          <w:bCs/>
        </w:rPr>
        <w:t>附件：</w:t>
      </w:r>
    </w:p>
    <w:p w14:paraId="6DE41E1F">
      <w:pPr>
        <w:ind w:firstLine="480"/>
      </w:pPr>
      <w:r>
        <w:rPr>
          <w:rFonts w:hint="eastAsia"/>
        </w:rPr>
        <w:t>附件1 环评委托书</w:t>
      </w:r>
    </w:p>
    <w:p w14:paraId="63648DEF">
      <w:pPr>
        <w:ind w:firstLine="480"/>
      </w:pPr>
      <w:r>
        <w:rPr>
          <w:rFonts w:hint="eastAsia"/>
        </w:rPr>
        <w:t>附件2 初步设计及概算的批复</w:t>
      </w:r>
    </w:p>
    <w:p w14:paraId="23A601A3">
      <w:pPr>
        <w:ind w:firstLine="480"/>
      </w:pPr>
      <w:r>
        <w:rPr>
          <w:rFonts w:hint="eastAsia"/>
        </w:rPr>
        <w:t>附件3 用地预审与选址意见书</w:t>
      </w:r>
    </w:p>
    <w:p w14:paraId="32998EB3">
      <w:pPr>
        <w:ind w:firstLine="480"/>
      </w:pPr>
      <w:r>
        <w:rPr>
          <w:rFonts w:hint="eastAsia"/>
        </w:rPr>
        <w:t>附件4 巴中市农业农村关于《巴中市檬子河</w:t>
      </w:r>
      <w:r>
        <w:rPr>
          <w:rFonts w:hint="eastAsia"/>
          <w:lang w:val="en-US" w:eastAsia="zh-CN"/>
        </w:rPr>
        <w:t>流域</w:t>
      </w:r>
      <w:r>
        <w:rPr>
          <w:rFonts w:hint="eastAsia"/>
        </w:rPr>
        <w:t>水环境综合治理项目（一期）是否涉及重要水生生物自然保护区、水产种质资源保护区及珍惜鱼类“三场一通道”情况》的复函</w:t>
      </w:r>
    </w:p>
    <w:p w14:paraId="4804439E">
      <w:pPr>
        <w:ind w:firstLine="480"/>
      </w:pPr>
      <w:r>
        <w:rPr>
          <w:rFonts w:hint="eastAsia"/>
        </w:rPr>
        <w:t>附件5 巴中市巴州生态环境局关于《关于申请核查巴中市檬子河流域水环境综合治理项目（一期）是否涉及“饮用水水源保护区”情况的函》的复函</w:t>
      </w:r>
    </w:p>
    <w:p w14:paraId="66A2CF06">
      <w:pPr>
        <w:ind w:firstLine="480"/>
      </w:pPr>
      <w:r>
        <w:rPr>
          <w:rFonts w:hint="eastAsia"/>
        </w:rPr>
        <w:t xml:space="preserve">附件6 </w:t>
      </w:r>
      <w:r>
        <w:rPr>
          <w:rFonts w:hint="eastAsia"/>
          <w:kern w:val="0"/>
        </w:rPr>
        <w:t>水利部、四川省人民政府关于《四川省渠江流域防洪规划的批复》（水规计〔2012〕81号）</w:t>
      </w:r>
    </w:p>
    <w:p w14:paraId="0EED1617">
      <w:pPr>
        <w:ind w:firstLine="480"/>
        <w:rPr>
          <w:rFonts w:hint="eastAsia"/>
        </w:rPr>
      </w:pPr>
      <w:r>
        <w:rPr>
          <w:rFonts w:hint="eastAsia"/>
        </w:rPr>
        <w:t>附件7 四川</w:t>
      </w:r>
      <w:r>
        <w:rPr>
          <w:rFonts w:hint="eastAsia"/>
          <w:lang w:eastAsia="zh-CN"/>
        </w:rPr>
        <w:t>省</w:t>
      </w:r>
      <w:r>
        <w:rPr>
          <w:rFonts w:hint="eastAsia"/>
        </w:rPr>
        <w:t>人民政府关于》《巴中市国土总体规划（2021-2035年）》的批复</w:t>
      </w:r>
    </w:p>
    <w:p w14:paraId="365023F9">
      <w:pPr>
        <w:ind w:firstLine="480"/>
        <w:rPr>
          <w:rFonts w:hint="default" w:eastAsia="宋体"/>
          <w:lang w:val="en-US" w:eastAsia="zh-CN"/>
        </w:rPr>
      </w:pPr>
      <w:r>
        <w:rPr>
          <w:rFonts w:hint="eastAsia"/>
          <w:lang w:val="en-US" w:eastAsia="zh-CN"/>
        </w:rPr>
        <w:t>附件8 关于巴中市檬子河流域水环境综合治理项目(一期)河道清淤及垃圾处理工程、污水管网不纳入本次环评评价范围的情况说明</w:t>
      </w:r>
    </w:p>
    <w:p w14:paraId="38751BF7">
      <w:pPr>
        <w:ind w:firstLine="480"/>
      </w:pPr>
      <w:r>
        <w:rPr>
          <w:rFonts w:hint="eastAsia"/>
        </w:rPr>
        <w:t>附件</w:t>
      </w:r>
      <w:r>
        <w:rPr>
          <w:rFonts w:hint="eastAsia"/>
          <w:lang w:val="en-US" w:eastAsia="zh-CN"/>
        </w:rPr>
        <w:t>9</w:t>
      </w:r>
      <w:r>
        <w:rPr>
          <w:rFonts w:hint="eastAsia"/>
        </w:rPr>
        <w:t xml:space="preserve"> 环境质量监测报告</w:t>
      </w:r>
    </w:p>
    <w:p w14:paraId="4F4B8198">
      <w:pPr>
        <w:ind w:left="0" w:leftChars="0" w:firstLine="0" w:firstLineChars="0"/>
        <w:sectPr>
          <w:footerReference r:id="rId11" w:type="default"/>
          <w:pgSz w:w="11906" w:h="16838"/>
          <w:pgMar w:top="1800" w:right="1440" w:bottom="1800" w:left="1440" w:header="851" w:footer="992" w:gutter="0"/>
          <w:pgNumType w:start="1"/>
          <w:cols w:space="0" w:num="1"/>
          <w:docGrid w:type="lines" w:linePitch="312" w:charSpace="0"/>
        </w:sectPr>
      </w:pPr>
    </w:p>
    <w:p w14:paraId="1EB77179">
      <w:pPr>
        <w:pStyle w:val="16"/>
        <w:spacing w:before="0" w:beforeAutospacing="0" w:after="0" w:afterAutospacing="0"/>
        <w:ind w:firstLine="600"/>
        <w:jc w:val="center"/>
        <w:outlineLvl w:val="0"/>
        <w:rPr>
          <w:rFonts w:ascii="黑体" w:hAnsi="黑体" w:eastAsia="黑体"/>
          <w:snapToGrid w:val="0"/>
          <w:sz w:val="30"/>
          <w:szCs w:val="30"/>
        </w:rPr>
      </w:pPr>
      <w:r>
        <w:rPr>
          <w:rFonts w:hint="eastAsia" w:ascii="黑体" w:hAnsi="黑体" w:eastAsia="黑体"/>
          <w:snapToGrid w:val="0"/>
          <w:sz w:val="30"/>
          <w:szCs w:val="30"/>
        </w:rPr>
        <w:t>一、建设项目基本情况</w:t>
      </w:r>
      <w:bookmarkEnd w:id="2"/>
    </w:p>
    <w:tbl>
      <w:tblPr>
        <w:tblStyle w:val="18"/>
        <w:tblW w:w="901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002"/>
        <w:gridCol w:w="2294"/>
        <w:gridCol w:w="1787"/>
        <w:gridCol w:w="2936"/>
      </w:tblGrid>
      <w:tr w14:paraId="3A86C7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5" w:hRule="atLeast"/>
          <w:jc w:val="center"/>
        </w:trPr>
        <w:tc>
          <w:tcPr>
            <w:tcW w:w="2002" w:type="dxa"/>
            <w:tcMar>
              <w:top w:w="16" w:type="dxa"/>
              <w:left w:w="16" w:type="dxa"/>
              <w:right w:w="16" w:type="dxa"/>
            </w:tcMar>
            <w:vAlign w:val="center"/>
          </w:tcPr>
          <w:p w14:paraId="7E88ECD8">
            <w:pPr>
              <w:adjustRightInd w:val="0"/>
              <w:snapToGrid w:val="0"/>
              <w:spacing w:line="240" w:lineRule="auto"/>
              <w:ind w:firstLine="0" w:firstLineChars="0"/>
              <w:jc w:val="center"/>
            </w:pPr>
            <w:r>
              <w:t>建设项目名称</w:t>
            </w:r>
          </w:p>
        </w:tc>
        <w:tc>
          <w:tcPr>
            <w:tcW w:w="7017" w:type="dxa"/>
            <w:gridSpan w:val="3"/>
            <w:vAlign w:val="center"/>
          </w:tcPr>
          <w:p w14:paraId="65F31C05">
            <w:pPr>
              <w:adjustRightInd w:val="0"/>
              <w:snapToGrid w:val="0"/>
              <w:spacing w:line="240" w:lineRule="auto"/>
              <w:ind w:firstLine="0" w:firstLineChars="0"/>
              <w:jc w:val="center"/>
              <w:rPr>
                <w:rFonts w:hint="eastAsia" w:eastAsia="宋体"/>
                <w:lang w:val="en-US" w:eastAsia="zh-CN"/>
              </w:rPr>
            </w:pPr>
            <w:r>
              <w:rPr>
                <w:rFonts w:hint="eastAsia"/>
              </w:rPr>
              <w:t>巴中市檬子河流域水环境综合治理项目</w:t>
            </w:r>
            <w:r>
              <w:rPr>
                <w:rFonts w:hint="default" w:ascii="Times New Roman" w:hAnsi="Times New Roman" w:cs="Times New Roman"/>
              </w:rPr>
              <w:t>（一期</w:t>
            </w:r>
            <w:r>
              <w:rPr>
                <w:rFonts w:hint="default" w:ascii="Times New Roman" w:hAnsi="Times New Roman" w:cs="Times New Roman"/>
                <w:lang w:eastAsia="zh-CN"/>
              </w:rPr>
              <w:t>）</w:t>
            </w:r>
          </w:p>
        </w:tc>
      </w:tr>
      <w:tr w14:paraId="71A3BD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45" w:hRule="atLeast"/>
          <w:jc w:val="center"/>
        </w:trPr>
        <w:tc>
          <w:tcPr>
            <w:tcW w:w="2002" w:type="dxa"/>
            <w:tcMar>
              <w:top w:w="16" w:type="dxa"/>
              <w:left w:w="16" w:type="dxa"/>
              <w:right w:w="16" w:type="dxa"/>
            </w:tcMar>
            <w:vAlign w:val="center"/>
          </w:tcPr>
          <w:p w14:paraId="5FAFCBD2">
            <w:pPr>
              <w:adjustRightInd w:val="0"/>
              <w:snapToGrid w:val="0"/>
              <w:spacing w:line="240" w:lineRule="auto"/>
              <w:ind w:firstLine="0" w:firstLineChars="0"/>
              <w:jc w:val="center"/>
            </w:pPr>
            <w:r>
              <w:t>项目代码</w:t>
            </w:r>
          </w:p>
        </w:tc>
        <w:tc>
          <w:tcPr>
            <w:tcW w:w="7017" w:type="dxa"/>
            <w:gridSpan w:val="3"/>
            <w:vAlign w:val="center"/>
          </w:tcPr>
          <w:p w14:paraId="762B2E7F">
            <w:pPr>
              <w:adjustRightInd w:val="0"/>
              <w:snapToGrid w:val="0"/>
              <w:spacing w:line="240" w:lineRule="auto"/>
              <w:ind w:firstLine="0" w:firstLineChars="0"/>
              <w:jc w:val="center"/>
            </w:pPr>
            <w:r>
              <w:rPr>
                <w:rFonts w:hint="eastAsia"/>
              </w:rPr>
              <w:t>2511-511900-04-01-534832</w:t>
            </w:r>
          </w:p>
        </w:tc>
      </w:tr>
      <w:tr w14:paraId="6E6BCB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21" w:hRule="atLeast"/>
          <w:jc w:val="center"/>
        </w:trPr>
        <w:tc>
          <w:tcPr>
            <w:tcW w:w="2002" w:type="dxa"/>
            <w:tcMar>
              <w:top w:w="16" w:type="dxa"/>
              <w:left w:w="16" w:type="dxa"/>
              <w:right w:w="16" w:type="dxa"/>
            </w:tcMar>
            <w:vAlign w:val="center"/>
          </w:tcPr>
          <w:p w14:paraId="31BB8213">
            <w:pPr>
              <w:adjustRightInd w:val="0"/>
              <w:snapToGrid w:val="0"/>
              <w:spacing w:line="240" w:lineRule="auto"/>
              <w:ind w:firstLine="0" w:firstLineChars="0"/>
              <w:jc w:val="center"/>
              <w:rPr>
                <w:color w:val="auto"/>
              </w:rPr>
            </w:pPr>
            <w:r>
              <w:rPr>
                <w:color w:val="auto"/>
              </w:rPr>
              <w:t>建设单位联系人</w:t>
            </w:r>
          </w:p>
        </w:tc>
        <w:tc>
          <w:tcPr>
            <w:tcW w:w="2294" w:type="dxa"/>
            <w:vAlign w:val="center"/>
          </w:tcPr>
          <w:p w14:paraId="0179E88D">
            <w:pPr>
              <w:adjustRightInd w:val="0"/>
              <w:snapToGrid w:val="0"/>
              <w:spacing w:line="240" w:lineRule="auto"/>
              <w:ind w:firstLine="0" w:firstLineChars="0"/>
              <w:jc w:val="center"/>
              <w:rPr>
                <w:rFonts w:hint="default" w:eastAsia="宋体"/>
                <w:color w:val="auto"/>
                <w:lang w:val="en-US" w:eastAsia="zh-CN"/>
              </w:rPr>
            </w:pPr>
            <w:r>
              <w:rPr>
                <w:rFonts w:hint="eastAsia"/>
                <w:color w:val="auto"/>
                <w:lang w:val="en-US" w:eastAsia="zh-CN"/>
              </w:rPr>
              <w:t>***</w:t>
            </w:r>
          </w:p>
        </w:tc>
        <w:tc>
          <w:tcPr>
            <w:tcW w:w="1787" w:type="dxa"/>
            <w:vAlign w:val="center"/>
          </w:tcPr>
          <w:p w14:paraId="3CDB0DF0">
            <w:pPr>
              <w:adjustRightInd w:val="0"/>
              <w:snapToGrid w:val="0"/>
              <w:spacing w:line="240" w:lineRule="auto"/>
              <w:ind w:firstLine="0" w:firstLineChars="0"/>
              <w:jc w:val="center"/>
              <w:rPr>
                <w:color w:val="auto"/>
              </w:rPr>
            </w:pPr>
            <w:r>
              <w:rPr>
                <w:color w:val="auto"/>
              </w:rPr>
              <w:t>联系方式</w:t>
            </w:r>
          </w:p>
        </w:tc>
        <w:tc>
          <w:tcPr>
            <w:tcW w:w="2936" w:type="dxa"/>
            <w:vAlign w:val="center"/>
          </w:tcPr>
          <w:p w14:paraId="3AB28A2E">
            <w:pPr>
              <w:adjustRightInd w:val="0"/>
              <w:snapToGrid w:val="0"/>
              <w:spacing w:line="240" w:lineRule="auto"/>
              <w:ind w:firstLine="0" w:firstLineChars="0"/>
              <w:jc w:val="center"/>
              <w:rPr>
                <w:rFonts w:hint="default" w:eastAsia="宋体"/>
                <w:color w:val="auto"/>
                <w:lang w:val="en-US" w:eastAsia="zh-CN"/>
              </w:rPr>
            </w:pPr>
            <w:r>
              <w:rPr>
                <w:rFonts w:hint="eastAsia"/>
                <w:color w:val="auto"/>
                <w:lang w:val="en-US" w:eastAsia="zh-CN"/>
              </w:rPr>
              <w:t>***********</w:t>
            </w:r>
          </w:p>
        </w:tc>
      </w:tr>
      <w:tr w14:paraId="53DD6D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45" w:hRule="atLeast"/>
          <w:jc w:val="center"/>
        </w:trPr>
        <w:tc>
          <w:tcPr>
            <w:tcW w:w="2002" w:type="dxa"/>
            <w:tcMar>
              <w:top w:w="16" w:type="dxa"/>
              <w:left w:w="16" w:type="dxa"/>
              <w:right w:w="16" w:type="dxa"/>
            </w:tcMar>
            <w:vAlign w:val="center"/>
          </w:tcPr>
          <w:p w14:paraId="3867B75D">
            <w:pPr>
              <w:adjustRightInd w:val="0"/>
              <w:snapToGrid w:val="0"/>
              <w:spacing w:line="240" w:lineRule="auto"/>
              <w:ind w:firstLine="0" w:firstLineChars="0"/>
              <w:jc w:val="center"/>
            </w:pPr>
            <w:r>
              <w:t>建设地点</w:t>
            </w:r>
          </w:p>
        </w:tc>
        <w:tc>
          <w:tcPr>
            <w:tcW w:w="7017" w:type="dxa"/>
            <w:gridSpan w:val="3"/>
            <w:vAlign w:val="center"/>
          </w:tcPr>
          <w:p w14:paraId="7DF24F69">
            <w:pPr>
              <w:adjustRightInd w:val="0"/>
              <w:snapToGrid w:val="0"/>
              <w:spacing w:line="240" w:lineRule="auto"/>
              <w:ind w:firstLine="0" w:firstLineChars="0"/>
              <w:jc w:val="center"/>
            </w:pPr>
            <w:r>
              <w:rPr>
                <w:rFonts w:hint="eastAsia"/>
              </w:rPr>
              <w:t>巴中市巴州区檬子河流域</w:t>
            </w:r>
          </w:p>
        </w:tc>
      </w:tr>
      <w:tr w14:paraId="65EEFF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59" w:hRule="atLeast"/>
          <w:jc w:val="center"/>
        </w:trPr>
        <w:tc>
          <w:tcPr>
            <w:tcW w:w="2002" w:type="dxa"/>
            <w:tcMar>
              <w:top w:w="16" w:type="dxa"/>
              <w:left w:w="16" w:type="dxa"/>
              <w:right w:w="16" w:type="dxa"/>
            </w:tcMar>
            <w:vAlign w:val="center"/>
          </w:tcPr>
          <w:p w14:paraId="70B21EE7">
            <w:pPr>
              <w:adjustRightInd w:val="0"/>
              <w:snapToGrid w:val="0"/>
              <w:spacing w:line="240" w:lineRule="auto"/>
              <w:ind w:firstLine="0" w:firstLineChars="0"/>
              <w:jc w:val="center"/>
            </w:pPr>
            <w:r>
              <w:t>地理坐标</w:t>
            </w:r>
          </w:p>
        </w:tc>
        <w:tc>
          <w:tcPr>
            <w:tcW w:w="7017" w:type="dxa"/>
            <w:gridSpan w:val="3"/>
            <w:vAlign w:val="center"/>
          </w:tcPr>
          <w:p w14:paraId="5B9FD609">
            <w:pPr>
              <w:adjustRightInd w:val="0"/>
              <w:snapToGrid w:val="0"/>
              <w:spacing w:line="240" w:lineRule="auto"/>
              <w:ind w:firstLine="0" w:firstLineChars="0"/>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生态护岸：①檬子河左岸驳岸起点坐标：E106°46'48.4811"，N31°       51'29.9944"；</w:t>
            </w:r>
          </w:p>
          <w:p w14:paraId="154E9E87">
            <w:pPr>
              <w:adjustRightInd w:val="0"/>
              <w:snapToGrid w:val="0"/>
              <w:spacing w:line="240" w:lineRule="auto"/>
              <w:ind w:firstLine="0" w:firstLineChars="0"/>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 xml:space="preserve">        终点坐标：E106°46'24.4577"，N31°50'12.5611"。</w:t>
            </w:r>
          </w:p>
          <w:p w14:paraId="7C9B6FD5">
            <w:pPr>
              <w:adjustRightInd w:val="0"/>
              <w:snapToGrid w:val="0"/>
              <w:spacing w:line="240" w:lineRule="auto"/>
              <w:ind w:firstLine="0" w:firstLineChars="0"/>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 xml:space="preserve">          ②檬子河右岸驳岸起点坐标：E106°46'47.5544"，N31°51'29.3967"；</w:t>
            </w:r>
          </w:p>
          <w:p w14:paraId="78812DE9">
            <w:pPr>
              <w:adjustRightInd w:val="0"/>
              <w:snapToGrid w:val="0"/>
              <w:spacing w:line="240" w:lineRule="auto"/>
              <w:ind w:firstLine="0" w:firstLineChars="0"/>
              <w:jc w:val="center"/>
              <w:rPr>
                <w:rFonts w:hint="eastAsia" w:ascii="Times New Roman" w:hAnsi="Times New Roman" w:eastAsia="宋体" w:cs="Times New Roman"/>
              </w:rPr>
            </w:pPr>
            <w:r>
              <w:rPr>
                <w:rFonts w:hint="eastAsia" w:ascii="Times New Roman" w:hAnsi="Times New Roman" w:eastAsia="宋体" w:cs="Times New Roman"/>
                <w:lang w:val="en-US" w:eastAsia="zh-CN"/>
              </w:rPr>
              <w:t xml:space="preserve">       终点坐标：E106°46'25.3171"，N31°50'14.2254"。</w:t>
            </w:r>
          </w:p>
          <w:p w14:paraId="5017094F">
            <w:pPr>
              <w:bidi w:val="0"/>
              <w:ind w:left="0" w:leftChars="0" w:firstLine="0" w:firstLineChars="0"/>
              <w:rPr>
                <w:rFonts w:hint="default"/>
                <w:b/>
                <w:bCs/>
                <w:color w:val="auto"/>
                <w:lang w:val="en-US" w:eastAsia="zh-CN"/>
              </w:rPr>
            </w:pPr>
            <w:r>
              <w:rPr>
                <w:rFonts w:hint="eastAsia"/>
              </w:rPr>
              <w:t>控制导流设施：</w:t>
            </w:r>
            <w:r>
              <w:rPr>
                <w:rFonts w:hint="eastAsia"/>
                <w:color w:val="auto"/>
                <w:lang w:val="en-US" w:eastAsia="zh-CN"/>
              </w:rPr>
              <w:t>E106°46'32.9632"，N31°50'14.4404"。</w:t>
            </w:r>
          </w:p>
          <w:p w14:paraId="056320B1">
            <w:pPr>
              <w:adjustRightInd w:val="0"/>
              <w:snapToGrid w:val="0"/>
              <w:spacing w:line="240" w:lineRule="auto"/>
              <w:ind w:firstLine="0" w:firstLineChars="0"/>
              <w:jc w:val="center"/>
              <w:rPr>
                <w:rFonts w:hint="eastAsia"/>
              </w:rPr>
            </w:pPr>
            <w:r>
              <w:rPr>
                <w:rFonts w:hint="eastAsia"/>
              </w:rPr>
              <w:t>生态步道及护栏3公里等配套基础设施：位于檬子河左岸，上游起</w:t>
            </w:r>
          </w:p>
          <w:p w14:paraId="27FF3EE8">
            <w:pPr>
              <w:adjustRightInd w:val="0"/>
              <w:snapToGrid w:val="0"/>
              <w:spacing w:line="240" w:lineRule="auto"/>
              <w:ind w:firstLine="0" w:firstLineChars="0"/>
              <w:jc w:val="center"/>
              <w:rPr>
                <w:rFonts w:hint="eastAsia"/>
              </w:rPr>
            </w:pPr>
            <w:r>
              <w:rPr>
                <w:rFonts w:hint="eastAsia"/>
                <w:lang w:val="en-US" w:eastAsia="zh-CN"/>
              </w:rPr>
              <w:t xml:space="preserve">       </w:t>
            </w:r>
            <w:r>
              <w:rPr>
                <w:rFonts w:hint="eastAsia"/>
              </w:rPr>
              <w:t>点坐标：E106°46'43.3245"，N31°50'58.9874"；</w:t>
            </w:r>
          </w:p>
          <w:p w14:paraId="001EB119">
            <w:pPr>
              <w:adjustRightInd w:val="0"/>
              <w:snapToGrid w:val="0"/>
              <w:spacing w:line="240" w:lineRule="auto"/>
              <w:ind w:firstLine="0" w:firstLineChars="0"/>
              <w:jc w:val="center"/>
              <w:rPr>
                <w:rFonts w:hint="eastAsia"/>
              </w:rPr>
            </w:pPr>
            <w:r>
              <w:rPr>
                <w:rFonts w:hint="eastAsia"/>
                <w:lang w:val="en-US" w:eastAsia="zh-CN"/>
              </w:rPr>
              <w:t xml:space="preserve">         </w:t>
            </w:r>
            <w:r>
              <w:rPr>
                <w:rFonts w:hint="eastAsia"/>
              </w:rPr>
              <w:t>终点坐标：E106°46'44.0371"，N31°50'34.3277"。</w:t>
            </w:r>
          </w:p>
          <w:p w14:paraId="2040C972">
            <w:pPr>
              <w:adjustRightInd w:val="0"/>
              <w:snapToGrid w:val="0"/>
              <w:spacing w:line="240" w:lineRule="auto"/>
              <w:ind w:firstLine="0" w:firstLineChars="0"/>
              <w:jc w:val="center"/>
              <w:rPr>
                <w:rFonts w:hint="eastAsia"/>
              </w:rPr>
            </w:pPr>
            <w:r>
              <w:rPr>
                <w:rFonts w:hint="eastAsia"/>
                <w:lang w:val="en-US" w:eastAsia="zh-CN"/>
              </w:rPr>
              <w:t xml:space="preserve">           </w:t>
            </w:r>
            <w:r>
              <w:rPr>
                <w:rFonts w:hint="eastAsia"/>
              </w:rPr>
              <w:t>下游起点坐标：：E106°46'47.5502"，N31°50'27.7474"；</w:t>
            </w:r>
          </w:p>
          <w:p w14:paraId="188128A9">
            <w:pPr>
              <w:adjustRightInd w:val="0"/>
              <w:snapToGrid w:val="0"/>
              <w:spacing w:line="240" w:lineRule="auto"/>
              <w:ind w:firstLine="0" w:firstLineChars="0"/>
              <w:jc w:val="center"/>
              <w:rPr>
                <w:rFonts w:hint="eastAsia"/>
              </w:rPr>
            </w:pPr>
            <w:r>
              <w:rPr>
                <w:rFonts w:hint="eastAsia"/>
                <w:lang w:val="en-US" w:eastAsia="zh-CN"/>
              </w:rPr>
              <w:t xml:space="preserve">         </w:t>
            </w:r>
            <w:r>
              <w:rPr>
                <w:rFonts w:hint="eastAsia"/>
              </w:rPr>
              <w:t>终点坐标：E106°46'44.0371"，N31°50'34.3277"。</w:t>
            </w:r>
          </w:p>
        </w:tc>
      </w:tr>
      <w:tr w14:paraId="171A0F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856" w:hRule="atLeast"/>
          <w:jc w:val="center"/>
        </w:trPr>
        <w:tc>
          <w:tcPr>
            <w:tcW w:w="2002" w:type="dxa"/>
            <w:tcMar>
              <w:top w:w="16" w:type="dxa"/>
              <w:left w:w="16" w:type="dxa"/>
              <w:right w:w="16" w:type="dxa"/>
            </w:tcMar>
            <w:vAlign w:val="center"/>
          </w:tcPr>
          <w:p w14:paraId="1CDB3481">
            <w:pPr>
              <w:adjustRightInd w:val="0"/>
              <w:snapToGrid w:val="0"/>
              <w:spacing w:line="240" w:lineRule="auto"/>
              <w:ind w:firstLine="0" w:firstLineChars="0"/>
              <w:jc w:val="center"/>
            </w:pPr>
            <w:r>
              <w:t>建设项目</w:t>
            </w:r>
          </w:p>
          <w:p w14:paraId="207A0392">
            <w:pPr>
              <w:adjustRightInd w:val="0"/>
              <w:snapToGrid w:val="0"/>
              <w:spacing w:line="240" w:lineRule="auto"/>
              <w:ind w:firstLine="0" w:firstLineChars="0"/>
              <w:jc w:val="center"/>
            </w:pPr>
            <w:r>
              <w:t>行业类别</w:t>
            </w:r>
          </w:p>
        </w:tc>
        <w:tc>
          <w:tcPr>
            <w:tcW w:w="2294" w:type="dxa"/>
            <w:vAlign w:val="center"/>
          </w:tcPr>
          <w:p w14:paraId="03E7AF31">
            <w:pPr>
              <w:adjustRightInd w:val="0"/>
              <w:snapToGrid w:val="0"/>
              <w:spacing w:line="240" w:lineRule="auto"/>
              <w:ind w:firstLine="0" w:firstLineChars="0"/>
              <w:jc w:val="center"/>
            </w:pPr>
            <w:r>
              <w:rPr>
                <w:rFonts w:hint="eastAsia"/>
              </w:rPr>
              <w:t>五十一、水利，127-防洪除涝工程，其他（小型沟渠的护坡除外；城镇排涝河流水闸、排涝泵站除外）</w:t>
            </w:r>
          </w:p>
        </w:tc>
        <w:tc>
          <w:tcPr>
            <w:tcW w:w="1787" w:type="dxa"/>
            <w:vAlign w:val="center"/>
          </w:tcPr>
          <w:p w14:paraId="6A389249">
            <w:pPr>
              <w:adjustRightInd w:val="0"/>
              <w:snapToGrid w:val="0"/>
              <w:spacing w:line="240" w:lineRule="auto"/>
              <w:ind w:firstLine="0" w:firstLineChars="0"/>
              <w:jc w:val="center"/>
            </w:pPr>
            <w:r>
              <w:t>用地（用海）面积（m</w:t>
            </w:r>
            <w:r>
              <w:rPr>
                <w:vertAlign w:val="superscript"/>
              </w:rPr>
              <w:t>2</w:t>
            </w:r>
            <w:r>
              <w:t>）/长度（km）</w:t>
            </w:r>
          </w:p>
        </w:tc>
        <w:tc>
          <w:tcPr>
            <w:tcW w:w="2936" w:type="dxa"/>
            <w:vAlign w:val="center"/>
          </w:tcPr>
          <w:p w14:paraId="1750F029">
            <w:pPr>
              <w:adjustRightInd w:val="0"/>
              <w:snapToGrid w:val="0"/>
              <w:spacing w:line="240" w:lineRule="auto"/>
              <w:ind w:firstLine="0" w:firstLineChars="0"/>
              <w:jc w:val="center"/>
            </w:pPr>
            <w:r>
              <w:t>项目总用地</w:t>
            </w:r>
            <w:r>
              <w:rPr>
                <w:rFonts w:hint="eastAsia"/>
                <w:lang w:val="en-US" w:eastAsia="zh-CN"/>
              </w:rPr>
              <w:t>209400</w:t>
            </w:r>
            <w:r>
              <w:t>m</w:t>
            </w:r>
            <w:r>
              <w:rPr>
                <w:rFonts w:hint="eastAsia"/>
                <w:vertAlign w:val="superscript"/>
              </w:rPr>
              <w:t>2</w:t>
            </w:r>
            <w:r>
              <w:t>，其中，水域面积87560m</w:t>
            </w:r>
            <w:r>
              <w:rPr>
                <w:rFonts w:hint="eastAsia"/>
                <w:vertAlign w:val="superscript"/>
              </w:rPr>
              <w:t>2</w:t>
            </w:r>
            <w:r>
              <w:t>（临时占地），陆地面积</w:t>
            </w:r>
            <w:r>
              <w:rPr>
                <w:rFonts w:hint="eastAsia"/>
                <w:lang w:val="en-US" w:eastAsia="zh-CN"/>
              </w:rPr>
              <w:t>121840</w:t>
            </w:r>
            <w:r>
              <w:t>m</w:t>
            </w:r>
            <w:r>
              <w:rPr>
                <w:rFonts w:hint="eastAsia"/>
                <w:vertAlign w:val="superscript"/>
              </w:rPr>
              <w:t>2</w:t>
            </w:r>
            <w:r>
              <w:t>（永久占地）</w:t>
            </w:r>
          </w:p>
        </w:tc>
      </w:tr>
      <w:tr w14:paraId="190505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64" w:hRule="atLeast"/>
          <w:jc w:val="center"/>
        </w:trPr>
        <w:tc>
          <w:tcPr>
            <w:tcW w:w="2002" w:type="dxa"/>
            <w:tcMar>
              <w:top w:w="16" w:type="dxa"/>
              <w:left w:w="16" w:type="dxa"/>
              <w:right w:w="16" w:type="dxa"/>
            </w:tcMar>
            <w:vAlign w:val="center"/>
          </w:tcPr>
          <w:p w14:paraId="5DC2AA8B">
            <w:pPr>
              <w:adjustRightInd w:val="0"/>
              <w:snapToGrid w:val="0"/>
              <w:spacing w:line="240" w:lineRule="auto"/>
              <w:ind w:firstLine="0" w:firstLineChars="0"/>
              <w:jc w:val="center"/>
            </w:pPr>
            <w:r>
              <w:t>建设性质</w:t>
            </w:r>
          </w:p>
        </w:tc>
        <w:tc>
          <w:tcPr>
            <w:tcW w:w="2294" w:type="dxa"/>
            <w:vAlign w:val="center"/>
          </w:tcPr>
          <w:p w14:paraId="10157CA0">
            <w:pPr>
              <w:adjustRightInd w:val="0"/>
              <w:snapToGrid w:val="0"/>
              <w:spacing w:line="240" w:lineRule="auto"/>
              <w:ind w:firstLine="0" w:firstLineChars="0"/>
              <w:jc w:val="left"/>
              <w:rPr>
                <w:rFonts w:ascii="宋体" w:hAnsi="宋体" w:cs="宋体"/>
              </w:rPr>
            </w:pPr>
            <w:r>
              <w:rPr>
                <w:rFonts w:ascii="宋体" w:hAnsi="宋体" w:cs="宋体"/>
              </w:rPr>
              <w:t>☑新建（迁建）</w:t>
            </w:r>
          </w:p>
          <w:p w14:paraId="235ACFB5">
            <w:pPr>
              <w:adjustRightInd w:val="0"/>
              <w:snapToGrid w:val="0"/>
              <w:spacing w:line="240" w:lineRule="auto"/>
              <w:ind w:firstLine="0" w:firstLineChars="0"/>
              <w:jc w:val="left"/>
              <w:rPr>
                <w:rFonts w:ascii="宋体" w:hAnsi="宋体" w:cs="宋体"/>
              </w:rPr>
            </w:pPr>
            <w:r>
              <w:rPr>
                <w:rFonts w:ascii="宋体" w:hAnsi="宋体" w:cs="宋体"/>
              </w:rPr>
              <w:t>□改建</w:t>
            </w:r>
          </w:p>
          <w:p w14:paraId="6DDF1477">
            <w:pPr>
              <w:adjustRightInd w:val="0"/>
              <w:snapToGrid w:val="0"/>
              <w:spacing w:line="240" w:lineRule="auto"/>
              <w:ind w:firstLine="0" w:firstLineChars="0"/>
              <w:jc w:val="left"/>
              <w:rPr>
                <w:rFonts w:ascii="宋体" w:hAnsi="宋体" w:cs="宋体"/>
              </w:rPr>
            </w:pPr>
            <w:r>
              <w:rPr>
                <w:rFonts w:ascii="宋体" w:hAnsi="宋体" w:cs="宋体"/>
              </w:rPr>
              <w:t>□扩建</w:t>
            </w:r>
          </w:p>
          <w:p w14:paraId="2220FE89">
            <w:pPr>
              <w:adjustRightInd w:val="0"/>
              <w:snapToGrid w:val="0"/>
              <w:spacing w:line="240" w:lineRule="auto"/>
              <w:ind w:firstLine="0" w:firstLineChars="0"/>
              <w:jc w:val="left"/>
            </w:pPr>
            <w:r>
              <w:rPr>
                <w:rFonts w:ascii="宋体" w:hAnsi="宋体" w:cs="宋体"/>
              </w:rPr>
              <w:t>□技术改造</w:t>
            </w:r>
          </w:p>
        </w:tc>
        <w:tc>
          <w:tcPr>
            <w:tcW w:w="1787" w:type="dxa"/>
            <w:vAlign w:val="center"/>
          </w:tcPr>
          <w:p w14:paraId="66D1976C">
            <w:pPr>
              <w:adjustRightInd w:val="0"/>
              <w:snapToGrid w:val="0"/>
              <w:spacing w:line="240" w:lineRule="auto"/>
              <w:ind w:firstLine="0" w:firstLineChars="0"/>
              <w:jc w:val="center"/>
            </w:pPr>
            <w:r>
              <w:t>建设项目</w:t>
            </w:r>
          </w:p>
          <w:p w14:paraId="11AAF948">
            <w:pPr>
              <w:adjustRightInd w:val="0"/>
              <w:snapToGrid w:val="0"/>
              <w:spacing w:line="240" w:lineRule="auto"/>
              <w:ind w:firstLine="0" w:firstLineChars="0"/>
              <w:jc w:val="center"/>
            </w:pPr>
            <w:r>
              <w:t>申报情形</w:t>
            </w:r>
          </w:p>
        </w:tc>
        <w:tc>
          <w:tcPr>
            <w:tcW w:w="2936" w:type="dxa"/>
            <w:vAlign w:val="center"/>
          </w:tcPr>
          <w:p w14:paraId="6729F9F9">
            <w:pPr>
              <w:adjustRightInd w:val="0"/>
              <w:snapToGrid w:val="0"/>
              <w:spacing w:line="240" w:lineRule="auto"/>
              <w:ind w:firstLine="0" w:firstLineChars="0"/>
              <w:jc w:val="left"/>
              <w:rPr>
                <w:rFonts w:ascii="宋体" w:hAnsi="宋体" w:cs="宋体"/>
              </w:rPr>
            </w:pPr>
            <w:r>
              <w:rPr>
                <w:rFonts w:ascii="宋体" w:hAnsi="宋体" w:cs="宋体"/>
              </w:rPr>
              <w:t>☑首次申报项目</w:t>
            </w:r>
          </w:p>
          <w:p w14:paraId="5067B5D9">
            <w:pPr>
              <w:adjustRightInd w:val="0"/>
              <w:snapToGrid w:val="0"/>
              <w:spacing w:line="240" w:lineRule="auto"/>
              <w:ind w:firstLine="0" w:firstLineChars="0"/>
              <w:jc w:val="left"/>
              <w:rPr>
                <w:rFonts w:ascii="宋体" w:hAnsi="宋体" w:cs="宋体"/>
              </w:rPr>
            </w:pPr>
            <w:r>
              <w:rPr>
                <w:rFonts w:ascii="宋体" w:hAnsi="宋体" w:cs="宋体"/>
              </w:rPr>
              <w:t>□不予批准后再次申报项目</w:t>
            </w:r>
          </w:p>
          <w:p w14:paraId="35B8315B">
            <w:pPr>
              <w:adjustRightInd w:val="0"/>
              <w:snapToGrid w:val="0"/>
              <w:spacing w:line="240" w:lineRule="auto"/>
              <w:ind w:firstLine="0" w:firstLineChars="0"/>
              <w:jc w:val="left"/>
              <w:rPr>
                <w:rFonts w:ascii="宋体" w:hAnsi="宋体" w:cs="宋体"/>
              </w:rPr>
            </w:pPr>
            <w:r>
              <w:rPr>
                <w:rFonts w:ascii="宋体" w:hAnsi="宋体" w:cs="宋体"/>
              </w:rPr>
              <w:t>□超五年重新审核项目</w:t>
            </w:r>
          </w:p>
          <w:p w14:paraId="764A3CA2">
            <w:pPr>
              <w:adjustRightInd w:val="0"/>
              <w:snapToGrid w:val="0"/>
              <w:spacing w:line="240" w:lineRule="auto"/>
              <w:ind w:firstLine="0" w:firstLineChars="0"/>
              <w:jc w:val="left"/>
            </w:pPr>
            <w:r>
              <w:rPr>
                <w:rFonts w:ascii="宋体" w:hAnsi="宋体" w:cs="宋体"/>
              </w:rPr>
              <w:t>□重大变动重新报批项目</w:t>
            </w:r>
          </w:p>
        </w:tc>
      </w:tr>
      <w:tr w14:paraId="2EED43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21" w:hRule="atLeast"/>
          <w:jc w:val="center"/>
        </w:trPr>
        <w:tc>
          <w:tcPr>
            <w:tcW w:w="2002" w:type="dxa"/>
            <w:tcMar>
              <w:top w:w="16" w:type="dxa"/>
              <w:left w:w="16" w:type="dxa"/>
              <w:right w:w="16" w:type="dxa"/>
            </w:tcMar>
            <w:vAlign w:val="center"/>
          </w:tcPr>
          <w:p w14:paraId="70A229E2">
            <w:pPr>
              <w:adjustRightInd w:val="0"/>
              <w:snapToGrid w:val="0"/>
              <w:spacing w:line="240" w:lineRule="auto"/>
              <w:ind w:firstLine="0" w:firstLineChars="0"/>
              <w:jc w:val="center"/>
            </w:pPr>
            <w:r>
              <w:t>项目审批（核准/备案）部门</w:t>
            </w:r>
          </w:p>
          <w:p w14:paraId="182DC913">
            <w:pPr>
              <w:adjustRightInd w:val="0"/>
              <w:snapToGrid w:val="0"/>
              <w:spacing w:line="240" w:lineRule="auto"/>
              <w:ind w:firstLine="0" w:firstLineChars="0"/>
              <w:jc w:val="center"/>
            </w:pPr>
            <w:r>
              <w:t>（选填）</w:t>
            </w:r>
          </w:p>
        </w:tc>
        <w:tc>
          <w:tcPr>
            <w:tcW w:w="2294" w:type="dxa"/>
            <w:vAlign w:val="center"/>
          </w:tcPr>
          <w:p w14:paraId="2F87AF0D">
            <w:pPr>
              <w:adjustRightInd w:val="0"/>
              <w:snapToGrid w:val="0"/>
              <w:spacing w:line="240" w:lineRule="auto"/>
              <w:ind w:firstLine="0" w:firstLineChars="0"/>
              <w:jc w:val="center"/>
            </w:pPr>
            <w:r>
              <w:rPr>
                <w:rFonts w:hint="eastAsia"/>
              </w:rPr>
              <w:t>巴中市发展和改革委员会</w:t>
            </w:r>
          </w:p>
        </w:tc>
        <w:tc>
          <w:tcPr>
            <w:tcW w:w="1787" w:type="dxa"/>
            <w:vAlign w:val="center"/>
          </w:tcPr>
          <w:p w14:paraId="035354B3">
            <w:pPr>
              <w:adjustRightInd w:val="0"/>
              <w:snapToGrid w:val="0"/>
              <w:spacing w:line="240" w:lineRule="auto"/>
              <w:ind w:firstLine="0" w:firstLineChars="0"/>
              <w:jc w:val="center"/>
            </w:pPr>
            <w:r>
              <w:t>项目审批（核准/备案）文号</w:t>
            </w:r>
          </w:p>
          <w:p w14:paraId="2EE51BBD">
            <w:pPr>
              <w:adjustRightInd w:val="0"/>
              <w:snapToGrid w:val="0"/>
              <w:spacing w:line="240" w:lineRule="auto"/>
              <w:ind w:firstLine="0" w:firstLineChars="0"/>
              <w:jc w:val="center"/>
            </w:pPr>
            <w:r>
              <w:t>（选填）</w:t>
            </w:r>
          </w:p>
        </w:tc>
        <w:tc>
          <w:tcPr>
            <w:tcW w:w="2936" w:type="dxa"/>
            <w:vAlign w:val="center"/>
          </w:tcPr>
          <w:p w14:paraId="2665EACB">
            <w:pPr>
              <w:adjustRightInd w:val="0"/>
              <w:snapToGrid w:val="0"/>
              <w:spacing w:line="240" w:lineRule="auto"/>
              <w:ind w:firstLine="0" w:firstLineChars="0"/>
              <w:jc w:val="center"/>
            </w:pPr>
            <w:r>
              <w:rPr>
                <w:rFonts w:hint="eastAsia"/>
              </w:rPr>
              <w:t>巴发改审〔2025〕49号</w:t>
            </w:r>
          </w:p>
        </w:tc>
      </w:tr>
      <w:tr w14:paraId="0D3251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2002" w:type="dxa"/>
            <w:tcMar>
              <w:top w:w="16" w:type="dxa"/>
              <w:left w:w="16" w:type="dxa"/>
              <w:right w:w="16" w:type="dxa"/>
            </w:tcMar>
            <w:vAlign w:val="center"/>
          </w:tcPr>
          <w:p w14:paraId="5F30BF0D">
            <w:pPr>
              <w:adjustRightInd w:val="0"/>
              <w:snapToGrid w:val="0"/>
              <w:spacing w:line="240" w:lineRule="auto"/>
              <w:ind w:firstLine="0" w:firstLineChars="0"/>
              <w:jc w:val="center"/>
            </w:pPr>
            <w:r>
              <w:t>总投资（万元）</w:t>
            </w:r>
          </w:p>
        </w:tc>
        <w:tc>
          <w:tcPr>
            <w:tcW w:w="2294" w:type="dxa"/>
            <w:vAlign w:val="center"/>
          </w:tcPr>
          <w:p w14:paraId="6C1E4450">
            <w:pPr>
              <w:adjustRightInd w:val="0"/>
              <w:snapToGrid w:val="0"/>
              <w:spacing w:line="240" w:lineRule="auto"/>
              <w:ind w:firstLine="0" w:firstLineChars="0"/>
              <w:jc w:val="center"/>
            </w:pPr>
            <w:r>
              <w:rPr>
                <w:rFonts w:hint="eastAsia"/>
              </w:rPr>
              <w:t>9573.82</w:t>
            </w:r>
          </w:p>
        </w:tc>
        <w:tc>
          <w:tcPr>
            <w:tcW w:w="1787" w:type="dxa"/>
            <w:tcMar>
              <w:top w:w="16" w:type="dxa"/>
              <w:left w:w="16" w:type="dxa"/>
              <w:right w:w="16" w:type="dxa"/>
            </w:tcMar>
            <w:vAlign w:val="center"/>
          </w:tcPr>
          <w:p w14:paraId="602FB529">
            <w:pPr>
              <w:adjustRightInd w:val="0"/>
              <w:snapToGrid w:val="0"/>
              <w:spacing w:line="240" w:lineRule="auto"/>
              <w:ind w:firstLine="0" w:firstLineChars="0"/>
              <w:jc w:val="center"/>
            </w:pPr>
            <w:r>
              <w:t>环保投资（万元）</w:t>
            </w:r>
          </w:p>
        </w:tc>
        <w:tc>
          <w:tcPr>
            <w:tcW w:w="2936" w:type="dxa"/>
            <w:vAlign w:val="center"/>
          </w:tcPr>
          <w:p w14:paraId="2145C8BA">
            <w:pPr>
              <w:adjustRightInd w:val="0"/>
              <w:snapToGrid w:val="0"/>
              <w:spacing w:line="240" w:lineRule="auto"/>
              <w:ind w:firstLine="0" w:firstLineChars="0"/>
              <w:jc w:val="center"/>
            </w:pPr>
            <w:r>
              <w:rPr>
                <w:rFonts w:hint="eastAsia"/>
              </w:rPr>
              <w:t>101</w:t>
            </w:r>
          </w:p>
        </w:tc>
      </w:tr>
      <w:tr w14:paraId="35D194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59" w:hRule="atLeast"/>
          <w:jc w:val="center"/>
        </w:trPr>
        <w:tc>
          <w:tcPr>
            <w:tcW w:w="2002" w:type="dxa"/>
            <w:tcMar>
              <w:top w:w="16" w:type="dxa"/>
              <w:left w:w="16" w:type="dxa"/>
              <w:right w:w="16" w:type="dxa"/>
            </w:tcMar>
            <w:vAlign w:val="center"/>
          </w:tcPr>
          <w:p w14:paraId="5E6B865C">
            <w:pPr>
              <w:adjustRightInd w:val="0"/>
              <w:snapToGrid w:val="0"/>
              <w:spacing w:line="240" w:lineRule="auto"/>
              <w:ind w:firstLine="0" w:firstLineChars="0"/>
              <w:jc w:val="center"/>
            </w:pPr>
            <w:r>
              <w:t>环保投资占比（%）</w:t>
            </w:r>
          </w:p>
        </w:tc>
        <w:tc>
          <w:tcPr>
            <w:tcW w:w="2294" w:type="dxa"/>
            <w:vAlign w:val="center"/>
          </w:tcPr>
          <w:p w14:paraId="5E0E729A">
            <w:pPr>
              <w:adjustRightInd w:val="0"/>
              <w:snapToGrid w:val="0"/>
              <w:spacing w:line="240" w:lineRule="auto"/>
              <w:ind w:firstLine="0" w:firstLineChars="0"/>
              <w:jc w:val="center"/>
              <w:rPr>
                <w:rFonts w:hint="default" w:eastAsia="宋体"/>
                <w:lang w:val="en-US" w:eastAsia="zh-CN"/>
              </w:rPr>
            </w:pPr>
            <w:r>
              <w:rPr>
                <w:rFonts w:hint="eastAsia"/>
                <w:lang w:val="en-US" w:eastAsia="zh-CN"/>
              </w:rPr>
              <w:t>1.05</w:t>
            </w:r>
          </w:p>
        </w:tc>
        <w:tc>
          <w:tcPr>
            <w:tcW w:w="1787" w:type="dxa"/>
            <w:tcMar>
              <w:top w:w="16" w:type="dxa"/>
              <w:left w:w="16" w:type="dxa"/>
              <w:right w:w="16" w:type="dxa"/>
            </w:tcMar>
            <w:vAlign w:val="center"/>
          </w:tcPr>
          <w:p w14:paraId="6B4F6F76">
            <w:pPr>
              <w:adjustRightInd w:val="0"/>
              <w:snapToGrid w:val="0"/>
              <w:spacing w:line="240" w:lineRule="auto"/>
              <w:ind w:firstLine="0" w:firstLineChars="0"/>
              <w:jc w:val="center"/>
            </w:pPr>
            <w:r>
              <w:t>施工工期</w:t>
            </w:r>
          </w:p>
        </w:tc>
        <w:tc>
          <w:tcPr>
            <w:tcW w:w="2936" w:type="dxa"/>
            <w:vAlign w:val="center"/>
          </w:tcPr>
          <w:p w14:paraId="6173E2D3">
            <w:pPr>
              <w:adjustRightInd w:val="0"/>
              <w:snapToGrid w:val="0"/>
              <w:spacing w:line="240" w:lineRule="auto"/>
              <w:ind w:firstLine="0" w:firstLineChars="0"/>
              <w:jc w:val="center"/>
            </w:pPr>
            <w:r>
              <w:rPr>
                <w:rFonts w:hint="eastAsia"/>
              </w:rPr>
              <w:t>24个月</w:t>
            </w:r>
          </w:p>
        </w:tc>
      </w:tr>
      <w:tr w14:paraId="6031CA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2002" w:type="dxa"/>
            <w:tcMar>
              <w:top w:w="16" w:type="dxa"/>
              <w:left w:w="16" w:type="dxa"/>
              <w:right w:w="16" w:type="dxa"/>
            </w:tcMar>
            <w:vAlign w:val="center"/>
          </w:tcPr>
          <w:p w14:paraId="4432BA57">
            <w:pPr>
              <w:adjustRightInd w:val="0"/>
              <w:snapToGrid w:val="0"/>
              <w:spacing w:line="240" w:lineRule="auto"/>
              <w:ind w:firstLine="0" w:firstLineChars="0"/>
              <w:jc w:val="center"/>
            </w:pPr>
            <w:r>
              <w:t>是否开工建设</w:t>
            </w:r>
          </w:p>
        </w:tc>
        <w:tc>
          <w:tcPr>
            <w:tcW w:w="7017" w:type="dxa"/>
            <w:gridSpan w:val="3"/>
            <w:vAlign w:val="center"/>
          </w:tcPr>
          <w:p w14:paraId="6923852D">
            <w:pPr>
              <w:adjustRightInd w:val="0"/>
              <w:snapToGrid w:val="0"/>
              <w:spacing w:line="240" w:lineRule="auto"/>
              <w:ind w:firstLine="480"/>
              <w:jc w:val="left"/>
            </w:pPr>
            <w:r>
              <w:t>☑否</w:t>
            </w:r>
          </w:p>
          <w:p w14:paraId="12B90CEE">
            <w:pPr>
              <w:adjustRightInd w:val="0"/>
              <w:snapToGrid w:val="0"/>
              <w:spacing w:line="240" w:lineRule="auto"/>
              <w:ind w:firstLine="480"/>
              <w:jc w:val="left"/>
            </w:pPr>
            <w:r>
              <w:rPr>
                <w:rFonts w:hint="eastAsia"/>
              </w:rPr>
              <w:t>□</w:t>
            </w:r>
            <w:r>
              <w:t>是：</w:t>
            </w:r>
            <w:r>
              <w:rPr>
                <w:u w:val="single"/>
              </w:rPr>
              <w:t xml:space="preserve">                             </w:t>
            </w:r>
          </w:p>
        </w:tc>
      </w:tr>
      <w:tr w14:paraId="59CF52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002" w:type="dxa"/>
            <w:tcMar>
              <w:top w:w="16" w:type="dxa"/>
              <w:left w:w="16" w:type="dxa"/>
              <w:right w:w="16" w:type="dxa"/>
            </w:tcMar>
            <w:vAlign w:val="center"/>
          </w:tcPr>
          <w:p w14:paraId="712F6168">
            <w:pPr>
              <w:adjustRightInd w:val="0"/>
              <w:snapToGrid w:val="0"/>
              <w:ind w:firstLine="0" w:firstLineChars="0"/>
              <w:jc w:val="center"/>
            </w:pPr>
            <w:r>
              <w:t>专项评价设置情况</w:t>
            </w:r>
          </w:p>
        </w:tc>
        <w:tc>
          <w:tcPr>
            <w:tcW w:w="7017" w:type="dxa"/>
            <w:gridSpan w:val="3"/>
            <w:tcMar>
              <w:top w:w="16" w:type="dxa"/>
              <w:left w:w="16" w:type="dxa"/>
              <w:right w:w="16" w:type="dxa"/>
            </w:tcMar>
            <w:vAlign w:val="center"/>
          </w:tcPr>
          <w:p w14:paraId="41B8BA42">
            <w:pPr>
              <w:autoSpaceDE w:val="0"/>
              <w:autoSpaceDN w:val="0"/>
              <w:adjustRightInd w:val="0"/>
              <w:snapToGrid w:val="0"/>
              <w:ind w:firstLine="480"/>
              <w:rPr>
                <w:kern w:val="0"/>
              </w:rPr>
            </w:pPr>
            <w:r>
              <w:rPr>
                <w:kern w:val="0"/>
              </w:rPr>
              <w:t>根据《建设项目环境影响报告表编制技术指南（生态影响类）》（试行）表1-1判定，</w:t>
            </w:r>
            <w:r>
              <w:rPr>
                <w:rFonts w:hint="eastAsia"/>
                <w:kern w:val="0"/>
              </w:rPr>
              <w:t>本项目专项评价设置情况见下表，</w:t>
            </w:r>
          </w:p>
          <w:p w14:paraId="66CE49F8">
            <w:pPr>
              <w:autoSpaceDE w:val="0"/>
              <w:autoSpaceDN w:val="0"/>
              <w:adjustRightInd w:val="0"/>
              <w:snapToGrid w:val="0"/>
              <w:ind w:firstLine="482"/>
              <w:jc w:val="center"/>
              <w:rPr>
                <w:b/>
                <w:kern w:val="0"/>
                <w:szCs w:val="21"/>
              </w:rPr>
            </w:pPr>
            <w:r>
              <w:rPr>
                <w:b/>
                <w:kern w:val="0"/>
                <w:szCs w:val="21"/>
              </w:rPr>
              <w:t>表1-1 项目专项评价设置情况</w:t>
            </w:r>
          </w:p>
          <w:tbl>
            <w:tblPr>
              <w:tblStyle w:val="18"/>
              <w:tblW w:w="495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52"/>
              <w:gridCol w:w="3547"/>
              <w:gridCol w:w="1345"/>
              <w:gridCol w:w="781"/>
            </w:tblGrid>
            <w:tr w14:paraId="4EDEF2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3" w:hRule="atLeast"/>
                <w:jc w:val="center"/>
              </w:trPr>
              <w:tc>
                <w:tcPr>
                  <w:tcW w:w="904" w:type="pct"/>
                  <w:shd w:val="clear" w:color="auto" w:fill="auto"/>
                  <w:vAlign w:val="center"/>
                </w:tcPr>
                <w:p w14:paraId="12F8A0B0">
                  <w:pPr>
                    <w:pStyle w:val="16"/>
                    <w:widowControl w:val="0"/>
                    <w:spacing w:before="0" w:beforeAutospacing="0" w:after="0" w:afterAutospacing="0" w:line="240" w:lineRule="auto"/>
                    <w:ind w:firstLine="0" w:firstLineChars="0"/>
                    <w:jc w:val="center"/>
                    <w:rPr>
                      <w:rFonts w:ascii="Times New Roman" w:hAnsi="Times New Roman" w:cs="宋体"/>
                      <w:b/>
                      <w:kern w:val="2"/>
                      <w:sz w:val="21"/>
                      <w:szCs w:val="21"/>
                      <w:lang w:bidi="ar"/>
                    </w:rPr>
                  </w:pPr>
                  <w:r>
                    <w:rPr>
                      <w:rFonts w:ascii="Times New Roman" w:hAnsi="Times New Roman" w:cs="宋体"/>
                      <w:b/>
                      <w:kern w:val="2"/>
                      <w:sz w:val="21"/>
                      <w:szCs w:val="21"/>
                      <w:lang w:bidi="ar"/>
                    </w:rPr>
                    <w:t>专项评价的类别</w:t>
                  </w:r>
                </w:p>
              </w:tc>
              <w:tc>
                <w:tcPr>
                  <w:tcW w:w="2561" w:type="pct"/>
                  <w:shd w:val="clear" w:color="auto" w:fill="auto"/>
                  <w:vAlign w:val="center"/>
                </w:tcPr>
                <w:p w14:paraId="6739417F">
                  <w:pPr>
                    <w:pStyle w:val="16"/>
                    <w:widowControl w:val="0"/>
                    <w:spacing w:before="0" w:beforeAutospacing="0" w:after="0" w:afterAutospacing="0" w:line="240" w:lineRule="auto"/>
                    <w:ind w:firstLine="0" w:firstLineChars="0"/>
                    <w:jc w:val="center"/>
                    <w:rPr>
                      <w:rFonts w:ascii="Times New Roman" w:hAnsi="Times New Roman" w:cs="宋体"/>
                      <w:b/>
                      <w:kern w:val="2"/>
                      <w:sz w:val="21"/>
                      <w:szCs w:val="21"/>
                      <w:lang w:bidi="ar"/>
                    </w:rPr>
                  </w:pPr>
                  <w:r>
                    <w:rPr>
                      <w:rFonts w:ascii="Times New Roman" w:hAnsi="Times New Roman" w:cs="宋体"/>
                      <w:b/>
                      <w:kern w:val="2"/>
                      <w:sz w:val="21"/>
                      <w:szCs w:val="21"/>
                      <w:lang w:bidi="ar"/>
                    </w:rPr>
                    <w:t>涉及项目类别</w:t>
                  </w:r>
                </w:p>
              </w:tc>
              <w:tc>
                <w:tcPr>
                  <w:tcW w:w="971" w:type="pct"/>
                  <w:shd w:val="clear" w:color="auto" w:fill="auto"/>
                  <w:vAlign w:val="center"/>
                </w:tcPr>
                <w:p w14:paraId="1A92A2DE">
                  <w:pPr>
                    <w:pStyle w:val="16"/>
                    <w:widowControl w:val="0"/>
                    <w:spacing w:before="0" w:beforeAutospacing="0" w:after="0" w:afterAutospacing="0" w:line="240" w:lineRule="auto"/>
                    <w:ind w:firstLine="0" w:firstLineChars="0"/>
                    <w:jc w:val="center"/>
                    <w:rPr>
                      <w:rFonts w:ascii="Times New Roman" w:hAnsi="Times New Roman" w:cs="宋体"/>
                      <w:b/>
                      <w:kern w:val="2"/>
                      <w:sz w:val="21"/>
                      <w:szCs w:val="21"/>
                      <w:lang w:bidi="ar"/>
                    </w:rPr>
                  </w:pPr>
                  <w:r>
                    <w:rPr>
                      <w:rFonts w:ascii="Times New Roman" w:hAnsi="Times New Roman" w:cs="宋体"/>
                      <w:b/>
                      <w:kern w:val="2"/>
                      <w:sz w:val="21"/>
                      <w:szCs w:val="21"/>
                      <w:lang w:bidi="ar"/>
                    </w:rPr>
                    <w:t>本项目情况</w:t>
                  </w:r>
                </w:p>
              </w:tc>
              <w:tc>
                <w:tcPr>
                  <w:tcW w:w="562" w:type="pct"/>
                  <w:shd w:val="clear" w:color="auto" w:fill="auto"/>
                  <w:vAlign w:val="center"/>
                </w:tcPr>
                <w:p w14:paraId="067EF08D">
                  <w:pPr>
                    <w:pStyle w:val="16"/>
                    <w:widowControl w:val="0"/>
                    <w:spacing w:before="0" w:beforeAutospacing="0" w:after="0" w:afterAutospacing="0" w:line="240" w:lineRule="auto"/>
                    <w:ind w:firstLine="0" w:firstLineChars="0"/>
                    <w:jc w:val="center"/>
                    <w:rPr>
                      <w:rFonts w:ascii="Times New Roman" w:hAnsi="Times New Roman" w:cs="宋体"/>
                      <w:b/>
                      <w:kern w:val="2"/>
                      <w:sz w:val="21"/>
                      <w:szCs w:val="21"/>
                      <w:lang w:bidi="ar"/>
                    </w:rPr>
                  </w:pPr>
                  <w:r>
                    <w:rPr>
                      <w:rFonts w:hint="eastAsia" w:ascii="Times New Roman" w:hAnsi="Times New Roman" w:cs="宋体"/>
                      <w:b/>
                      <w:kern w:val="2"/>
                      <w:sz w:val="21"/>
                      <w:szCs w:val="21"/>
                      <w:lang w:bidi="ar"/>
                    </w:rPr>
                    <w:t>是否设置</w:t>
                  </w:r>
                </w:p>
              </w:tc>
            </w:tr>
            <w:tr w14:paraId="7EF145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4" w:type="pct"/>
                  <w:shd w:val="clear" w:color="auto" w:fill="auto"/>
                  <w:vAlign w:val="center"/>
                </w:tcPr>
                <w:p w14:paraId="5A15179B">
                  <w:pPr>
                    <w:pStyle w:val="16"/>
                    <w:widowControl w:val="0"/>
                    <w:spacing w:before="0" w:beforeAutospacing="0" w:after="0" w:afterAutospacing="0" w:line="240" w:lineRule="auto"/>
                    <w:ind w:firstLine="0" w:firstLineChars="0"/>
                    <w:jc w:val="center"/>
                    <w:rPr>
                      <w:sz w:val="21"/>
                      <w:szCs w:val="21"/>
                    </w:rPr>
                  </w:pPr>
                  <w:r>
                    <w:rPr>
                      <w:sz w:val="21"/>
                      <w:szCs w:val="21"/>
                    </w:rPr>
                    <w:t>地表水</w:t>
                  </w:r>
                </w:p>
              </w:tc>
              <w:tc>
                <w:tcPr>
                  <w:tcW w:w="2561" w:type="pct"/>
                  <w:shd w:val="clear" w:color="auto" w:fill="auto"/>
                  <w:vAlign w:val="center"/>
                </w:tcPr>
                <w:p w14:paraId="7637888C">
                  <w:pPr>
                    <w:pStyle w:val="16"/>
                    <w:widowControl w:val="0"/>
                    <w:spacing w:before="0" w:beforeAutospacing="0" w:after="0" w:afterAutospacing="0" w:line="240" w:lineRule="auto"/>
                    <w:ind w:firstLine="0" w:firstLineChars="0"/>
                    <w:jc w:val="both"/>
                    <w:rPr>
                      <w:sz w:val="21"/>
                      <w:szCs w:val="21"/>
                    </w:rPr>
                  </w:pPr>
                  <w:r>
                    <w:rPr>
                      <w:sz w:val="21"/>
                      <w:szCs w:val="21"/>
                    </w:rPr>
                    <w:t>水力发电：引水式发电、涉及调峰发电的项目；人工湖、人工湿地：全部；</w:t>
                  </w:r>
                </w:p>
                <w:p w14:paraId="4B7E4AA2">
                  <w:pPr>
                    <w:pStyle w:val="16"/>
                    <w:widowControl w:val="0"/>
                    <w:spacing w:before="0" w:beforeAutospacing="0" w:after="0" w:afterAutospacing="0" w:line="240" w:lineRule="auto"/>
                    <w:ind w:firstLine="0" w:firstLineChars="0"/>
                    <w:jc w:val="both"/>
                    <w:rPr>
                      <w:sz w:val="21"/>
                      <w:szCs w:val="21"/>
                    </w:rPr>
                  </w:pPr>
                  <w:r>
                    <w:rPr>
                      <w:sz w:val="21"/>
                      <w:szCs w:val="21"/>
                    </w:rPr>
                    <w:t>水库</w:t>
                  </w:r>
                  <w:r>
                    <w:rPr>
                      <w:rFonts w:hint="eastAsia"/>
                      <w:sz w:val="21"/>
                      <w:szCs w:val="21"/>
                    </w:rPr>
                    <w:t>：</w:t>
                  </w:r>
                  <w:r>
                    <w:rPr>
                      <w:sz w:val="21"/>
                      <w:szCs w:val="21"/>
                    </w:rPr>
                    <w:t>全部；</w:t>
                  </w:r>
                </w:p>
                <w:p w14:paraId="470218B8">
                  <w:pPr>
                    <w:pStyle w:val="16"/>
                    <w:widowControl w:val="0"/>
                    <w:spacing w:before="0" w:beforeAutospacing="0" w:after="0" w:afterAutospacing="0" w:line="240" w:lineRule="auto"/>
                    <w:ind w:firstLine="0" w:firstLineChars="0"/>
                    <w:jc w:val="both"/>
                    <w:rPr>
                      <w:sz w:val="21"/>
                      <w:szCs w:val="21"/>
                    </w:rPr>
                  </w:pPr>
                  <w:r>
                    <w:rPr>
                      <w:sz w:val="21"/>
                      <w:szCs w:val="21"/>
                    </w:rPr>
                    <w:t>引水工程：全部</w:t>
                  </w:r>
                  <w:r>
                    <w:rPr>
                      <w:rFonts w:hint="eastAsia"/>
                      <w:sz w:val="21"/>
                      <w:szCs w:val="21"/>
                    </w:rPr>
                    <w:t>（</w:t>
                  </w:r>
                  <w:r>
                    <w:rPr>
                      <w:sz w:val="21"/>
                      <w:szCs w:val="21"/>
                    </w:rPr>
                    <w:t>配套的管线工程等除外</w:t>
                  </w:r>
                  <w:r>
                    <w:rPr>
                      <w:rFonts w:hint="eastAsia"/>
                      <w:sz w:val="21"/>
                      <w:szCs w:val="21"/>
                    </w:rPr>
                    <w:t>）</w:t>
                  </w:r>
                  <w:r>
                    <w:rPr>
                      <w:sz w:val="21"/>
                      <w:szCs w:val="21"/>
                    </w:rPr>
                    <w:t>；</w:t>
                  </w:r>
                </w:p>
                <w:p w14:paraId="367B2BF4">
                  <w:pPr>
                    <w:pStyle w:val="16"/>
                    <w:widowControl w:val="0"/>
                    <w:spacing w:before="0" w:beforeAutospacing="0" w:after="0" w:afterAutospacing="0" w:line="240" w:lineRule="auto"/>
                    <w:ind w:firstLine="0" w:firstLineChars="0"/>
                    <w:jc w:val="both"/>
                    <w:rPr>
                      <w:sz w:val="21"/>
                      <w:szCs w:val="21"/>
                    </w:rPr>
                  </w:pPr>
                  <w:r>
                    <w:rPr>
                      <w:sz w:val="21"/>
                      <w:szCs w:val="21"/>
                    </w:rPr>
                    <w:t>防洪除涝工程：包含水库的项目；</w:t>
                  </w:r>
                </w:p>
                <w:p w14:paraId="2E51F2B4">
                  <w:pPr>
                    <w:pStyle w:val="16"/>
                    <w:widowControl w:val="0"/>
                    <w:spacing w:before="0" w:beforeAutospacing="0" w:after="0" w:afterAutospacing="0" w:line="240" w:lineRule="auto"/>
                    <w:ind w:firstLine="0" w:firstLineChars="0"/>
                    <w:jc w:val="both"/>
                    <w:rPr>
                      <w:sz w:val="21"/>
                      <w:szCs w:val="21"/>
                    </w:rPr>
                  </w:pPr>
                  <w:r>
                    <w:rPr>
                      <w:sz w:val="21"/>
                      <w:szCs w:val="21"/>
                    </w:rPr>
                    <w:t>河湖整治：涉及清淤且底泥存在重金属污染的项目</w:t>
                  </w:r>
                </w:p>
              </w:tc>
              <w:tc>
                <w:tcPr>
                  <w:tcW w:w="971" w:type="pct"/>
                  <w:shd w:val="clear" w:color="auto" w:fill="auto"/>
                  <w:vAlign w:val="center"/>
                </w:tcPr>
                <w:p w14:paraId="18D8ACAC">
                  <w:pPr>
                    <w:pStyle w:val="16"/>
                    <w:widowControl w:val="0"/>
                    <w:spacing w:before="0" w:beforeAutospacing="0" w:after="0" w:afterAutospacing="0" w:line="240" w:lineRule="auto"/>
                    <w:ind w:firstLine="0" w:firstLineChars="0"/>
                    <w:jc w:val="center"/>
                    <w:rPr>
                      <w:sz w:val="21"/>
                      <w:szCs w:val="21"/>
                    </w:rPr>
                  </w:pPr>
                  <w:r>
                    <w:rPr>
                      <w:rFonts w:hint="eastAsia"/>
                      <w:sz w:val="21"/>
                      <w:szCs w:val="21"/>
                    </w:rPr>
                    <w:t>本项目</w:t>
                  </w:r>
                  <w:r>
                    <w:rPr>
                      <w:rFonts w:hint="eastAsia"/>
                      <w:sz w:val="21"/>
                      <w:szCs w:val="21"/>
                      <w:lang w:val="en-US" w:eastAsia="zh-CN"/>
                    </w:rPr>
                    <w:t>属于</w:t>
                  </w:r>
                  <w:r>
                    <w:rPr>
                      <w:rFonts w:hint="eastAsia"/>
                      <w:sz w:val="21"/>
                      <w:szCs w:val="21"/>
                    </w:rPr>
                    <w:t>防洪除涝工程</w:t>
                  </w:r>
                  <w:r>
                    <w:rPr>
                      <w:rFonts w:hint="eastAsia"/>
                      <w:sz w:val="21"/>
                      <w:szCs w:val="21"/>
                      <w:lang w:eastAsia="zh-CN"/>
                    </w:rPr>
                    <w:t>，</w:t>
                  </w:r>
                  <w:r>
                    <w:rPr>
                      <w:rFonts w:hint="eastAsia"/>
                      <w:sz w:val="21"/>
                      <w:szCs w:val="21"/>
                      <w:lang w:val="en-US" w:eastAsia="zh-CN"/>
                    </w:rPr>
                    <w:t>其工程建设</w:t>
                  </w:r>
                  <w:r>
                    <w:rPr>
                      <w:rFonts w:hint="eastAsia"/>
                      <w:sz w:val="21"/>
                      <w:szCs w:val="21"/>
                    </w:rPr>
                    <w:t>不涉及水库。</w:t>
                  </w:r>
                </w:p>
              </w:tc>
              <w:tc>
                <w:tcPr>
                  <w:tcW w:w="562" w:type="pct"/>
                  <w:shd w:val="clear" w:color="auto" w:fill="auto"/>
                  <w:vAlign w:val="center"/>
                </w:tcPr>
                <w:p w14:paraId="4B650EB0">
                  <w:pPr>
                    <w:pStyle w:val="16"/>
                    <w:widowControl w:val="0"/>
                    <w:spacing w:before="0" w:beforeAutospacing="0" w:after="0" w:afterAutospacing="0" w:line="240" w:lineRule="auto"/>
                    <w:ind w:firstLine="0" w:firstLineChars="0"/>
                    <w:jc w:val="center"/>
                    <w:rPr>
                      <w:sz w:val="21"/>
                      <w:szCs w:val="21"/>
                    </w:rPr>
                  </w:pPr>
                  <w:r>
                    <w:rPr>
                      <w:rFonts w:hint="eastAsia"/>
                      <w:sz w:val="21"/>
                      <w:szCs w:val="21"/>
                    </w:rPr>
                    <w:t>否</w:t>
                  </w:r>
                </w:p>
              </w:tc>
            </w:tr>
            <w:tr w14:paraId="04BD80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4" w:type="pct"/>
                  <w:shd w:val="clear" w:color="auto" w:fill="auto"/>
                  <w:vAlign w:val="center"/>
                </w:tcPr>
                <w:p w14:paraId="08FEC8F2">
                  <w:pPr>
                    <w:pStyle w:val="16"/>
                    <w:widowControl w:val="0"/>
                    <w:spacing w:before="0" w:beforeAutospacing="0" w:after="0" w:afterAutospacing="0" w:line="240" w:lineRule="auto"/>
                    <w:ind w:firstLine="0" w:firstLineChars="0"/>
                    <w:jc w:val="center"/>
                    <w:rPr>
                      <w:sz w:val="21"/>
                      <w:szCs w:val="21"/>
                    </w:rPr>
                  </w:pPr>
                  <w:r>
                    <w:rPr>
                      <w:sz w:val="21"/>
                      <w:szCs w:val="21"/>
                    </w:rPr>
                    <w:t>地下水</w:t>
                  </w:r>
                </w:p>
              </w:tc>
              <w:tc>
                <w:tcPr>
                  <w:tcW w:w="2561" w:type="pct"/>
                  <w:shd w:val="clear" w:color="auto" w:fill="auto"/>
                  <w:vAlign w:val="center"/>
                </w:tcPr>
                <w:p w14:paraId="316F9C65">
                  <w:pPr>
                    <w:pStyle w:val="16"/>
                    <w:widowControl w:val="0"/>
                    <w:spacing w:before="0" w:beforeAutospacing="0" w:after="0" w:afterAutospacing="0" w:line="240" w:lineRule="auto"/>
                    <w:ind w:firstLine="0" w:firstLineChars="0"/>
                    <w:jc w:val="both"/>
                    <w:rPr>
                      <w:sz w:val="21"/>
                      <w:szCs w:val="21"/>
                    </w:rPr>
                  </w:pPr>
                  <w:r>
                    <w:rPr>
                      <w:sz w:val="21"/>
                      <w:szCs w:val="21"/>
                    </w:rPr>
                    <w:t>陆地石油和天然气开采：全部；</w:t>
                  </w:r>
                </w:p>
                <w:p w14:paraId="21CF962D">
                  <w:pPr>
                    <w:pStyle w:val="16"/>
                    <w:widowControl w:val="0"/>
                    <w:spacing w:before="0" w:beforeAutospacing="0" w:after="0" w:afterAutospacing="0" w:line="240" w:lineRule="auto"/>
                    <w:ind w:firstLine="0" w:firstLineChars="0"/>
                    <w:jc w:val="both"/>
                    <w:rPr>
                      <w:sz w:val="21"/>
                      <w:szCs w:val="21"/>
                    </w:rPr>
                  </w:pPr>
                  <w:r>
                    <w:rPr>
                      <w:sz w:val="21"/>
                      <w:szCs w:val="21"/>
                    </w:rPr>
                    <w:t>地下水</w:t>
                  </w:r>
                  <w:r>
                    <w:rPr>
                      <w:rFonts w:hint="eastAsia"/>
                      <w:sz w:val="21"/>
                      <w:szCs w:val="21"/>
                    </w:rPr>
                    <w:t>（</w:t>
                  </w:r>
                  <w:r>
                    <w:rPr>
                      <w:sz w:val="21"/>
                      <w:szCs w:val="21"/>
                    </w:rPr>
                    <w:t>含矿泉水</w:t>
                  </w:r>
                  <w:r>
                    <w:rPr>
                      <w:rFonts w:hint="eastAsia"/>
                      <w:sz w:val="21"/>
                      <w:szCs w:val="21"/>
                    </w:rPr>
                    <w:t>）</w:t>
                  </w:r>
                  <w:r>
                    <w:rPr>
                      <w:sz w:val="21"/>
                      <w:szCs w:val="21"/>
                    </w:rPr>
                    <w:t>开采：全部；</w:t>
                  </w:r>
                </w:p>
                <w:p w14:paraId="33C0FAC4">
                  <w:pPr>
                    <w:pStyle w:val="16"/>
                    <w:widowControl w:val="0"/>
                    <w:spacing w:before="0" w:beforeAutospacing="0" w:after="0" w:afterAutospacing="0" w:line="240" w:lineRule="auto"/>
                    <w:ind w:firstLine="0" w:firstLineChars="0"/>
                    <w:jc w:val="both"/>
                    <w:rPr>
                      <w:sz w:val="21"/>
                      <w:szCs w:val="21"/>
                    </w:rPr>
                  </w:pPr>
                  <w:r>
                    <w:rPr>
                      <w:sz w:val="21"/>
                      <w:szCs w:val="21"/>
                    </w:rPr>
                    <w:t>水利、水电、交通等：含穿越可溶岩地层隧道的项目</w:t>
                  </w:r>
                </w:p>
              </w:tc>
              <w:tc>
                <w:tcPr>
                  <w:tcW w:w="971" w:type="pct"/>
                  <w:shd w:val="clear" w:color="auto" w:fill="auto"/>
                  <w:vAlign w:val="center"/>
                </w:tcPr>
                <w:p w14:paraId="0D60F072">
                  <w:pPr>
                    <w:pStyle w:val="16"/>
                    <w:widowControl w:val="0"/>
                    <w:spacing w:before="0" w:beforeAutospacing="0" w:after="0" w:afterAutospacing="0" w:line="240" w:lineRule="auto"/>
                    <w:ind w:firstLine="0" w:firstLineChars="0"/>
                    <w:jc w:val="center"/>
                    <w:rPr>
                      <w:sz w:val="21"/>
                      <w:szCs w:val="21"/>
                    </w:rPr>
                  </w:pPr>
                  <w:r>
                    <w:rPr>
                      <w:sz w:val="21"/>
                      <w:szCs w:val="21"/>
                    </w:rPr>
                    <w:t>不涉及</w:t>
                  </w:r>
                </w:p>
              </w:tc>
              <w:tc>
                <w:tcPr>
                  <w:tcW w:w="562" w:type="pct"/>
                  <w:shd w:val="clear" w:color="auto" w:fill="auto"/>
                  <w:vAlign w:val="center"/>
                </w:tcPr>
                <w:p w14:paraId="5AF50494">
                  <w:pPr>
                    <w:pStyle w:val="16"/>
                    <w:widowControl w:val="0"/>
                    <w:spacing w:before="0" w:beforeAutospacing="0" w:after="0" w:afterAutospacing="0" w:line="240" w:lineRule="auto"/>
                    <w:ind w:firstLine="0" w:firstLineChars="0"/>
                    <w:jc w:val="center"/>
                    <w:rPr>
                      <w:sz w:val="21"/>
                      <w:szCs w:val="21"/>
                    </w:rPr>
                  </w:pPr>
                  <w:r>
                    <w:rPr>
                      <w:rFonts w:hint="eastAsia"/>
                      <w:sz w:val="21"/>
                      <w:szCs w:val="21"/>
                    </w:rPr>
                    <w:t>否</w:t>
                  </w:r>
                </w:p>
              </w:tc>
            </w:tr>
            <w:tr w14:paraId="1711AE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4" w:type="pct"/>
                  <w:shd w:val="clear" w:color="auto" w:fill="auto"/>
                  <w:vAlign w:val="center"/>
                </w:tcPr>
                <w:p w14:paraId="74F0D2D4">
                  <w:pPr>
                    <w:pStyle w:val="16"/>
                    <w:widowControl w:val="0"/>
                    <w:spacing w:before="0" w:beforeAutospacing="0" w:after="0" w:afterAutospacing="0" w:line="240" w:lineRule="auto"/>
                    <w:ind w:firstLine="0" w:firstLineChars="0"/>
                    <w:jc w:val="center"/>
                    <w:rPr>
                      <w:sz w:val="21"/>
                      <w:szCs w:val="21"/>
                    </w:rPr>
                  </w:pPr>
                  <w:r>
                    <w:rPr>
                      <w:sz w:val="21"/>
                      <w:szCs w:val="21"/>
                    </w:rPr>
                    <w:t>生态</w:t>
                  </w:r>
                </w:p>
              </w:tc>
              <w:tc>
                <w:tcPr>
                  <w:tcW w:w="2561" w:type="pct"/>
                  <w:shd w:val="clear" w:color="auto" w:fill="auto"/>
                  <w:vAlign w:val="center"/>
                </w:tcPr>
                <w:p w14:paraId="55D517AF">
                  <w:pPr>
                    <w:pStyle w:val="16"/>
                    <w:widowControl w:val="0"/>
                    <w:spacing w:before="0" w:beforeAutospacing="0" w:after="0" w:afterAutospacing="0" w:line="240" w:lineRule="auto"/>
                    <w:ind w:firstLine="0" w:firstLineChars="0"/>
                    <w:jc w:val="both"/>
                    <w:rPr>
                      <w:sz w:val="21"/>
                      <w:szCs w:val="21"/>
                    </w:rPr>
                  </w:pPr>
                  <w:r>
                    <w:rPr>
                      <w:sz w:val="21"/>
                      <w:szCs w:val="21"/>
                    </w:rPr>
                    <w:t>涉及环境敏感区</w:t>
                  </w:r>
                  <w:r>
                    <w:rPr>
                      <w:rFonts w:hint="eastAsia"/>
                      <w:sz w:val="21"/>
                      <w:szCs w:val="21"/>
                    </w:rPr>
                    <w:t>（</w:t>
                  </w:r>
                  <w:r>
                    <w:rPr>
                      <w:sz w:val="21"/>
                      <w:szCs w:val="21"/>
                    </w:rPr>
                    <w:t>不包括饮用水水源保护区，以居住、医疗卫生、文化教育、科研、行政办公为主要功能的区域，以及文物保护单位</w:t>
                  </w:r>
                  <w:r>
                    <w:rPr>
                      <w:rFonts w:hint="eastAsia"/>
                      <w:sz w:val="21"/>
                      <w:szCs w:val="21"/>
                    </w:rPr>
                    <w:t>）</w:t>
                  </w:r>
                  <w:r>
                    <w:rPr>
                      <w:sz w:val="21"/>
                      <w:szCs w:val="21"/>
                    </w:rPr>
                    <w:t>的项目</w:t>
                  </w:r>
                </w:p>
              </w:tc>
              <w:tc>
                <w:tcPr>
                  <w:tcW w:w="971" w:type="pct"/>
                  <w:shd w:val="clear" w:color="auto" w:fill="auto"/>
                  <w:vAlign w:val="center"/>
                </w:tcPr>
                <w:p w14:paraId="6AFA7A66">
                  <w:pPr>
                    <w:pStyle w:val="16"/>
                    <w:widowControl w:val="0"/>
                    <w:spacing w:before="0" w:beforeAutospacing="0" w:after="0" w:afterAutospacing="0" w:line="240" w:lineRule="auto"/>
                    <w:ind w:firstLine="0" w:firstLineChars="0"/>
                    <w:jc w:val="center"/>
                    <w:rPr>
                      <w:sz w:val="21"/>
                      <w:szCs w:val="21"/>
                    </w:rPr>
                  </w:pPr>
                  <w:r>
                    <w:rPr>
                      <w:sz w:val="21"/>
                      <w:szCs w:val="21"/>
                    </w:rPr>
                    <w:t>不涉及</w:t>
                  </w:r>
                </w:p>
              </w:tc>
              <w:tc>
                <w:tcPr>
                  <w:tcW w:w="562" w:type="pct"/>
                  <w:shd w:val="clear" w:color="auto" w:fill="auto"/>
                  <w:vAlign w:val="center"/>
                </w:tcPr>
                <w:p w14:paraId="2636957D">
                  <w:pPr>
                    <w:pStyle w:val="16"/>
                    <w:widowControl w:val="0"/>
                    <w:spacing w:before="0" w:beforeAutospacing="0" w:after="0" w:afterAutospacing="0" w:line="240" w:lineRule="auto"/>
                    <w:ind w:firstLine="0" w:firstLineChars="0"/>
                    <w:jc w:val="center"/>
                    <w:rPr>
                      <w:sz w:val="21"/>
                      <w:szCs w:val="21"/>
                    </w:rPr>
                  </w:pPr>
                  <w:r>
                    <w:rPr>
                      <w:rFonts w:hint="eastAsia"/>
                      <w:sz w:val="21"/>
                      <w:szCs w:val="21"/>
                    </w:rPr>
                    <w:t>否</w:t>
                  </w:r>
                </w:p>
              </w:tc>
            </w:tr>
            <w:tr w14:paraId="6BC6C5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4" w:type="pct"/>
                  <w:shd w:val="clear" w:color="auto" w:fill="auto"/>
                  <w:vAlign w:val="center"/>
                </w:tcPr>
                <w:p w14:paraId="1C6A13DB">
                  <w:pPr>
                    <w:pStyle w:val="16"/>
                    <w:widowControl w:val="0"/>
                    <w:spacing w:before="0" w:beforeAutospacing="0" w:after="0" w:afterAutospacing="0" w:line="240" w:lineRule="auto"/>
                    <w:ind w:firstLine="0" w:firstLineChars="0"/>
                    <w:jc w:val="center"/>
                    <w:rPr>
                      <w:sz w:val="21"/>
                      <w:szCs w:val="21"/>
                    </w:rPr>
                  </w:pPr>
                  <w:r>
                    <w:rPr>
                      <w:sz w:val="21"/>
                      <w:szCs w:val="21"/>
                    </w:rPr>
                    <w:t>大气</w:t>
                  </w:r>
                </w:p>
              </w:tc>
              <w:tc>
                <w:tcPr>
                  <w:tcW w:w="2561" w:type="pct"/>
                  <w:shd w:val="clear" w:color="auto" w:fill="auto"/>
                  <w:vAlign w:val="center"/>
                </w:tcPr>
                <w:p w14:paraId="2C88880F">
                  <w:pPr>
                    <w:pStyle w:val="16"/>
                    <w:widowControl w:val="0"/>
                    <w:spacing w:before="0" w:beforeAutospacing="0" w:after="0" w:afterAutospacing="0" w:line="240" w:lineRule="auto"/>
                    <w:ind w:firstLine="0" w:firstLineChars="0"/>
                    <w:jc w:val="both"/>
                    <w:rPr>
                      <w:sz w:val="21"/>
                      <w:szCs w:val="21"/>
                    </w:rPr>
                  </w:pPr>
                  <w:r>
                    <w:rPr>
                      <w:sz w:val="21"/>
                      <w:szCs w:val="21"/>
                    </w:rPr>
                    <w:t>油气、液体化工码头：全部；</w:t>
                  </w:r>
                </w:p>
                <w:p w14:paraId="0CD87694">
                  <w:pPr>
                    <w:pStyle w:val="16"/>
                    <w:widowControl w:val="0"/>
                    <w:spacing w:before="0" w:beforeAutospacing="0" w:after="0" w:afterAutospacing="0" w:line="240" w:lineRule="auto"/>
                    <w:ind w:firstLine="0" w:firstLineChars="0"/>
                    <w:jc w:val="both"/>
                    <w:rPr>
                      <w:sz w:val="21"/>
                      <w:szCs w:val="21"/>
                    </w:rPr>
                  </w:pPr>
                  <w:r>
                    <w:rPr>
                      <w:sz w:val="21"/>
                      <w:szCs w:val="21"/>
                    </w:rPr>
                    <w:t>干散货</w:t>
                  </w:r>
                  <w:r>
                    <w:rPr>
                      <w:rFonts w:hint="eastAsia"/>
                      <w:sz w:val="21"/>
                      <w:szCs w:val="21"/>
                    </w:rPr>
                    <w:t>（</w:t>
                  </w:r>
                  <w:r>
                    <w:rPr>
                      <w:sz w:val="21"/>
                      <w:szCs w:val="21"/>
                    </w:rPr>
                    <w:t>含煤炭、矿石</w:t>
                  </w:r>
                  <w:r>
                    <w:rPr>
                      <w:rFonts w:hint="eastAsia"/>
                      <w:sz w:val="21"/>
                      <w:szCs w:val="21"/>
                    </w:rPr>
                    <w:t>）</w:t>
                  </w:r>
                  <w:r>
                    <w:rPr>
                      <w:sz w:val="21"/>
                      <w:szCs w:val="21"/>
                    </w:rPr>
                    <w:t>、件杂、多用途、通用码头：涉及粉尘、挥发性有机物排放的项目</w:t>
                  </w:r>
                </w:p>
              </w:tc>
              <w:tc>
                <w:tcPr>
                  <w:tcW w:w="971" w:type="pct"/>
                  <w:shd w:val="clear" w:color="auto" w:fill="auto"/>
                  <w:vAlign w:val="center"/>
                </w:tcPr>
                <w:p w14:paraId="6749B80C">
                  <w:pPr>
                    <w:pStyle w:val="16"/>
                    <w:widowControl w:val="0"/>
                    <w:spacing w:before="0" w:beforeAutospacing="0" w:after="0" w:afterAutospacing="0" w:line="240" w:lineRule="auto"/>
                    <w:ind w:firstLine="0" w:firstLineChars="0"/>
                    <w:jc w:val="center"/>
                    <w:rPr>
                      <w:sz w:val="21"/>
                      <w:szCs w:val="21"/>
                    </w:rPr>
                  </w:pPr>
                  <w:r>
                    <w:rPr>
                      <w:sz w:val="21"/>
                      <w:szCs w:val="21"/>
                    </w:rPr>
                    <w:t>不涉及</w:t>
                  </w:r>
                </w:p>
              </w:tc>
              <w:tc>
                <w:tcPr>
                  <w:tcW w:w="562" w:type="pct"/>
                  <w:shd w:val="clear" w:color="auto" w:fill="auto"/>
                  <w:vAlign w:val="center"/>
                </w:tcPr>
                <w:p w14:paraId="12268B9D">
                  <w:pPr>
                    <w:pStyle w:val="16"/>
                    <w:widowControl w:val="0"/>
                    <w:spacing w:before="0" w:beforeAutospacing="0" w:after="0" w:afterAutospacing="0" w:line="240" w:lineRule="auto"/>
                    <w:ind w:firstLine="0" w:firstLineChars="0"/>
                    <w:jc w:val="center"/>
                    <w:rPr>
                      <w:sz w:val="21"/>
                      <w:szCs w:val="21"/>
                    </w:rPr>
                  </w:pPr>
                  <w:r>
                    <w:rPr>
                      <w:rFonts w:hint="eastAsia"/>
                      <w:sz w:val="21"/>
                      <w:szCs w:val="21"/>
                    </w:rPr>
                    <w:t>否</w:t>
                  </w:r>
                </w:p>
              </w:tc>
            </w:tr>
            <w:tr w14:paraId="550D01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4" w:type="pct"/>
                  <w:shd w:val="clear" w:color="auto" w:fill="auto"/>
                  <w:vAlign w:val="center"/>
                </w:tcPr>
                <w:p w14:paraId="43825458">
                  <w:pPr>
                    <w:pStyle w:val="16"/>
                    <w:widowControl w:val="0"/>
                    <w:spacing w:before="0" w:beforeAutospacing="0" w:after="0" w:afterAutospacing="0" w:line="240" w:lineRule="auto"/>
                    <w:ind w:firstLine="0" w:firstLineChars="0"/>
                    <w:jc w:val="center"/>
                    <w:rPr>
                      <w:sz w:val="21"/>
                      <w:szCs w:val="21"/>
                    </w:rPr>
                  </w:pPr>
                  <w:r>
                    <w:rPr>
                      <w:sz w:val="21"/>
                      <w:szCs w:val="21"/>
                    </w:rPr>
                    <w:t>噪声</w:t>
                  </w:r>
                </w:p>
              </w:tc>
              <w:tc>
                <w:tcPr>
                  <w:tcW w:w="2561" w:type="pct"/>
                  <w:shd w:val="clear" w:color="auto" w:fill="auto"/>
                  <w:vAlign w:val="center"/>
                </w:tcPr>
                <w:p w14:paraId="79EA9EE3">
                  <w:pPr>
                    <w:pStyle w:val="16"/>
                    <w:widowControl w:val="0"/>
                    <w:spacing w:before="0" w:beforeAutospacing="0" w:after="0" w:afterAutospacing="0" w:line="240" w:lineRule="auto"/>
                    <w:ind w:firstLine="0" w:firstLineChars="0"/>
                    <w:jc w:val="both"/>
                    <w:rPr>
                      <w:sz w:val="21"/>
                      <w:szCs w:val="21"/>
                    </w:rPr>
                  </w:pPr>
                  <w:r>
                    <w:rPr>
                      <w:sz w:val="21"/>
                      <w:szCs w:val="21"/>
                    </w:rPr>
                    <w:t>公路、</w:t>
                  </w:r>
                  <w:r>
                    <w:rPr>
                      <w:rFonts w:hint="eastAsia"/>
                      <w:sz w:val="21"/>
                      <w:szCs w:val="21"/>
                    </w:rPr>
                    <w:t>铁路、机</w:t>
                  </w:r>
                  <w:r>
                    <w:rPr>
                      <w:sz w:val="21"/>
                      <w:szCs w:val="21"/>
                    </w:rPr>
                    <w:t>场等交通运输业涉及环境敏感区</w:t>
                  </w:r>
                  <w:r>
                    <w:rPr>
                      <w:rFonts w:hint="eastAsia"/>
                      <w:sz w:val="21"/>
                      <w:szCs w:val="21"/>
                    </w:rPr>
                    <w:t>（</w:t>
                  </w:r>
                  <w:r>
                    <w:rPr>
                      <w:sz w:val="21"/>
                      <w:szCs w:val="21"/>
                    </w:rPr>
                    <w:t>以居住、医疗卫生、文化教育、科研、行政办公为主要功能的区域</w:t>
                  </w:r>
                  <w:r>
                    <w:rPr>
                      <w:rFonts w:hint="eastAsia"/>
                      <w:sz w:val="21"/>
                      <w:szCs w:val="21"/>
                    </w:rPr>
                    <w:t>）</w:t>
                  </w:r>
                  <w:r>
                    <w:rPr>
                      <w:sz w:val="21"/>
                      <w:szCs w:val="21"/>
                    </w:rPr>
                    <w:t>的项目；</w:t>
                  </w:r>
                </w:p>
                <w:p w14:paraId="38DE7263">
                  <w:pPr>
                    <w:pStyle w:val="16"/>
                    <w:widowControl w:val="0"/>
                    <w:spacing w:before="0" w:beforeAutospacing="0" w:after="0" w:afterAutospacing="0" w:line="240" w:lineRule="auto"/>
                    <w:ind w:firstLine="0" w:firstLineChars="0"/>
                    <w:jc w:val="both"/>
                    <w:rPr>
                      <w:sz w:val="21"/>
                      <w:szCs w:val="21"/>
                    </w:rPr>
                  </w:pPr>
                  <w:r>
                    <w:rPr>
                      <w:sz w:val="21"/>
                      <w:szCs w:val="21"/>
                    </w:rPr>
                    <w:t>城市道路</w:t>
                  </w:r>
                  <w:r>
                    <w:rPr>
                      <w:rFonts w:hint="eastAsia"/>
                      <w:sz w:val="21"/>
                      <w:szCs w:val="21"/>
                    </w:rPr>
                    <w:t>（</w:t>
                  </w:r>
                  <w:r>
                    <w:rPr>
                      <w:sz w:val="21"/>
                      <w:szCs w:val="21"/>
                    </w:rPr>
                    <w:t>不含维护，不含支路、人行天桥、人行地道</w:t>
                  </w:r>
                  <w:r>
                    <w:rPr>
                      <w:rFonts w:hint="eastAsia"/>
                      <w:sz w:val="21"/>
                      <w:szCs w:val="21"/>
                    </w:rPr>
                    <w:t>）</w:t>
                  </w:r>
                  <w:r>
                    <w:rPr>
                      <w:sz w:val="21"/>
                      <w:szCs w:val="21"/>
                    </w:rPr>
                    <w:t>：全部</w:t>
                  </w:r>
                </w:p>
              </w:tc>
              <w:tc>
                <w:tcPr>
                  <w:tcW w:w="971" w:type="pct"/>
                  <w:shd w:val="clear" w:color="auto" w:fill="auto"/>
                  <w:vAlign w:val="center"/>
                </w:tcPr>
                <w:p w14:paraId="48D7069F">
                  <w:pPr>
                    <w:pStyle w:val="16"/>
                    <w:widowControl w:val="0"/>
                    <w:spacing w:before="0" w:beforeAutospacing="0" w:after="0" w:afterAutospacing="0" w:line="240" w:lineRule="auto"/>
                    <w:ind w:firstLine="0" w:firstLineChars="0"/>
                    <w:jc w:val="center"/>
                    <w:rPr>
                      <w:sz w:val="21"/>
                      <w:szCs w:val="21"/>
                    </w:rPr>
                  </w:pPr>
                  <w:r>
                    <w:rPr>
                      <w:rFonts w:hint="eastAsia"/>
                      <w:sz w:val="21"/>
                      <w:szCs w:val="21"/>
                    </w:rPr>
                    <w:t>不涉及</w:t>
                  </w:r>
                </w:p>
              </w:tc>
              <w:tc>
                <w:tcPr>
                  <w:tcW w:w="562" w:type="pct"/>
                  <w:shd w:val="clear" w:color="auto" w:fill="auto"/>
                  <w:vAlign w:val="center"/>
                </w:tcPr>
                <w:p w14:paraId="7C25E69D">
                  <w:pPr>
                    <w:pStyle w:val="16"/>
                    <w:widowControl w:val="0"/>
                    <w:spacing w:before="0" w:beforeAutospacing="0" w:after="0" w:afterAutospacing="0" w:line="240" w:lineRule="auto"/>
                    <w:ind w:firstLine="0" w:firstLineChars="0"/>
                    <w:jc w:val="center"/>
                    <w:rPr>
                      <w:sz w:val="21"/>
                      <w:szCs w:val="21"/>
                    </w:rPr>
                  </w:pPr>
                  <w:r>
                    <w:rPr>
                      <w:rFonts w:hint="eastAsia"/>
                      <w:sz w:val="21"/>
                      <w:szCs w:val="21"/>
                    </w:rPr>
                    <w:t>否</w:t>
                  </w:r>
                </w:p>
              </w:tc>
            </w:tr>
            <w:tr w14:paraId="6D66D4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4" w:type="pct"/>
                  <w:shd w:val="clear" w:color="auto" w:fill="auto"/>
                  <w:vAlign w:val="center"/>
                </w:tcPr>
                <w:p w14:paraId="6F0378CA">
                  <w:pPr>
                    <w:pStyle w:val="16"/>
                    <w:widowControl w:val="0"/>
                    <w:spacing w:before="0" w:beforeAutospacing="0" w:after="0" w:afterAutospacing="0" w:line="240" w:lineRule="auto"/>
                    <w:ind w:firstLine="0" w:firstLineChars="0"/>
                    <w:jc w:val="center"/>
                    <w:rPr>
                      <w:sz w:val="21"/>
                      <w:szCs w:val="21"/>
                    </w:rPr>
                  </w:pPr>
                  <w:r>
                    <w:rPr>
                      <w:sz w:val="21"/>
                      <w:szCs w:val="21"/>
                    </w:rPr>
                    <w:t>环境风险</w:t>
                  </w:r>
                </w:p>
              </w:tc>
              <w:tc>
                <w:tcPr>
                  <w:tcW w:w="2561" w:type="pct"/>
                  <w:shd w:val="clear" w:color="auto" w:fill="auto"/>
                  <w:vAlign w:val="center"/>
                </w:tcPr>
                <w:p w14:paraId="733DC348">
                  <w:pPr>
                    <w:pStyle w:val="16"/>
                    <w:widowControl w:val="0"/>
                    <w:spacing w:before="0" w:beforeAutospacing="0" w:after="0" w:afterAutospacing="0" w:line="240" w:lineRule="auto"/>
                    <w:ind w:firstLine="0" w:firstLineChars="0"/>
                    <w:jc w:val="both"/>
                    <w:rPr>
                      <w:sz w:val="21"/>
                      <w:szCs w:val="21"/>
                    </w:rPr>
                  </w:pPr>
                  <w:r>
                    <w:rPr>
                      <w:sz w:val="21"/>
                      <w:szCs w:val="21"/>
                    </w:rPr>
                    <w:t>石油和天然气开采：全部；</w:t>
                  </w:r>
                </w:p>
                <w:p w14:paraId="2379A28F">
                  <w:pPr>
                    <w:pStyle w:val="16"/>
                    <w:widowControl w:val="0"/>
                    <w:spacing w:before="0" w:beforeAutospacing="0" w:after="0" w:afterAutospacing="0" w:line="240" w:lineRule="auto"/>
                    <w:ind w:firstLine="0" w:firstLineChars="0"/>
                    <w:jc w:val="both"/>
                    <w:rPr>
                      <w:sz w:val="21"/>
                      <w:szCs w:val="21"/>
                    </w:rPr>
                  </w:pPr>
                  <w:r>
                    <w:rPr>
                      <w:sz w:val="21"/>
                      <w:szCs w:val="21"/>
                    </w:rPr>
                    <w:t>油气、液体化工码头：全部；</w:t>
                  </w:r>
                </w:p>
                <w:p w14:paraId="0C5E161A">
                  <w:pPr>
                    <w:pStyle w:val="16"/>
                    <w:widowControl w:val="0"/>
                    <w:spacing w:before="0" w:beforeAutospacing="0" w:after="0" w:afterAutospacing="0" w:line="240" w:lineRule="auto"/>
                    <w:ind w:firstLine="0" w:firstLineChars="0"/>
                    <w:jc w:val="both"/>
                    <w:rPr>
                      <w:sz w:val="21"/>
                      <w:szCs w:val="21"/>
                    </w:rPr>
                  </w:pPr>
                  <w:r>
                    <w:rPr>
                      <w:sz w:val="21"/>
                      <w:szCs w:val="21"/>
                    </w:rPr>
                    <w:t>原油、成品油、天然气管线</w:t>
                  </w:r>
                  <w:r>
                    <w:rPr>
                      <w:rFonts w:hint="eastAsia"/>
                      <w:sz w:val="21"/>
                      <w:szCs w:val="21"/>
                    </w:rPr>
                    <w:t>（</w:t>
                  </w:r>
                  <w:r>
                    <w:rPr>
                      <w:sz w:val="21"/>
                      <w:szCs w:val="21"/>
                    </w:rPr>
                    <w:t>不含城镇天然气管线、企业厂区内管线</w:t>
                  </w:r>
                  <w:r>
                    <w:rPr>
                      <w:rFonts w:hint="eastAsia"/>
                      <w:sz w:val="21"/>
                      <w:szCs w:val="21"/>
                    </w:rPr>
                    <w:t>）</w:t>
                  </w:r>
                  <w:r>
                    <w:rPr>
                      <w:sz w:val="21"/>
                      <w:szCs w:val="21"/>
                    </w:rPr>
                    <w:t>、危险化学品输送管线</w:t>
                  </w:r>
                  <w:r>
                    <w:rPr>
                      <w:rFonts w:hint="eastAsia"/>
                      <w:sz w:val="21"/>
                      <w:szCs w:val="21"/>
                    </w:rPr>
                    <w:t>（</w:t>
                  </w:r>
                  <w:r>
                    <w:rPr>
                      <w:sz w:val="21"/>
                      <w:szCs w:val="21"/>
                    </w:rPr>
                    <w:t>不含企业厂区内管线</w:t>
                  </w:r>
                  <w:r>
                    <w:rPr>
                      <w:rFonts w:hint="eastAsia"/>
                      <w:sz w:val="21"/>
                      <w:szCs w:val="21"/>
                    </w:rPr>
                    <w:t>）</w:t>
                  </w:r>
                  <w:r>
                    <w:rPr>
                      <w:sz w:val="21"/>
                      <w:szCs w:val="21"/>
                    </w:rPr>
                    <w:t>：全部</w:t>
                  </w:r>
                </w:p>
              </w:tc>
              <w:tc>
                <w:tcPr>
                  <w:tcW w:w="971" w:type="pct"/>
                  <w:shd w:val="clear" w:color="auto" w:fill="auto"/>
                  <w:vAlign w:val="center"/>
                </w:tcPr>
                <w:p w14:paraId="1082A83C">
                  <w:pPr>
                    <w:pStyle w:val="16"/>
                    <w:widowControl w:val="0"/>
                    <w:spacing w:before="0" w:beforeAutospacing="0" w:after="0" w:afterAutospacing="0" w:line="240" w:lineRule="auto"/>
                    <w:ind w:firstLine="0" w:firstLineChars="0"/>
                    <w:jc w:val="center"/>
                    <w:rPr>
                      <w:sz w:val="21"/>
                      <w:szCs w:val="21"/>
                    </w:rPr>
                  </w:pPr>
                  <w:r>
                    <w:rPr>
                      <w:sz w:val="21"/>
                      <w:szCs w:val="21"/>
                    </w:rPr>
                    <w:t>不涉及</w:t>
                  </w:r>
                </w:p>
              </w:tc>
              <w:tc>
                <w:tcPr>
                  <w:tcW w:w="562" w:type="pct"/>
                  <w:shd w:val="clear" w:color="auto" w:fill="auto"/>
                  <w:vAlign w:val="center"/>
                </w:tcPr>
                <w:p w14:paraId="7F7CAF87">
                  <w:pPr>
                    <w:pStyle w:val="16"/>
                    <w:widowControl w:val="0"/>
                    <w:spacing w:before="0" w:beforeAutospacing="0" w:after="0" w:afterAutospacing="0" w:line="240" w:lineRule="auto"/>
                    <w:ind w:firstLine="0" w:firstLineChars="0"/>
                    <w:jc w:val="center"/>
                    <w:rPr>
                      <w:sz w:val="21"/>
                      <w:szCs w:val="21"/>
                    </w:rPr>
                  </w:pPr>
                  <w:r>
                    <w:rPr>
                      <w:rFonts w:hint="eastAsia"/>
                      <w:sz w:val="21"/>
                      <w:szCs w:val="21"/>
                    </w:rPr>
                    <w:t>否</w:t>
                  </w:r>
                </w:p>
              </w:tc>
            </w:tr>
            <w:tr w14:paraId="144CCF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4"/>
                  <w:shd w:val="clear" w:color="auto" w:fill="auto"/>
                  <w:vAlign w:val="center"/>
                </w:tcPr>
                <w:p w14:paraId="1D02ED0D">
                  <w:pPr>
                    <w:pStyle w:val="16"/>
                    <w:widowControl w:val="0"/>
                    <w:spacing w:before="0" w:beforeAutospacing="0" w:after="0" w:afterAutospacing="0" w:line="240" w:lineRule="auto"/>
                    <w:ind w:firstLine="0" w:firstLineChars="0"/>
                    <w:jc w:val="center"/>
                    <w:rPr>
                      <w:sz w:val="21"/>
                      <w:szCs w:val="21"/>
                    </w:rPr>
                  </w:pPr>
                  <w:r>
                    <w:rPr>
                      <w:sz w:val="21"/>
                      <w:szCs w:val="21"/>
                    </w:rPr>
                    <w:t>注：</w:t>
                  </w:r>
                  <w:r>
                    <w:rPr>
                      <w:rFonts w:hint="eastAsia"/>
                      <w:sz w:val="21"/>
                      <w:szCs w:val="21"/>
                    </w:rPr>
                    <w:t>“</w:t>
                  </w:r>
                  <w:r>
                    <w:rPr>
                      <w:sz w:val="21"/>
                      <w:szCs w:val="21"/>
                    </w:rPr>
                    <w:t>涉及环境敏感区</w:t>
                  </w:r>
                  <w:r>
                    <w:rPr>
                      <w:rFonts w:hint="eastAsia"/>
                      <w:sz w:val="21"/>
                      <w:szCs w:val="21"/>
                    </w:rPr>
                    <w:t>”</w:t>
                  </w:r>
                  <w:r>
                    <w:rPr>
                      <w:sz w:val="21"/>
                      <w:szCs w:val="21"/>
                    </w:rPr>
                    <w:t>是指建设项目位于、穿（跨）越（无害化通过的除外）环境敏感区，或环境影响范围涵盖环境敏感区。环境敏感区是指《建设项目环境影响评价分类管理名录》中针对该类项目所列的敏感区。</w:t>
                  </w:r>
                </w:p>
              </w:tc>
            </w:tr>
          </w:tbl>
          <w:p w14:paraId="61C83CBF">
            <w:pPr>
              <w:autoSpaceDE w:val="0"/>
              <w:autoSpaceDN w:val="0"/>
              <w:adjustRightInd w:val="0"/>
              <w:snapToGrid w:val="0"/>
              <w:ind w:firstLine="480"/>
              <w:rPr>
                <w:kern w:val="0"/>
              </w:rPr>
            </w:pPr>
            <w:r>
              <w:rPr>
                <w:rFonts w:hint="eastAsia"/>
                <w:kern w:val="0"/>
              </w:rPr>
              <w:t>综上，本项目不需要设置专项评价。</w:t>
            </w:r>
          </w:p>
        </w:tc>
      </w:tr>
      <w:tr w14:paraId="6BCC3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002" w:type="dxa"/>
            <w:tcMar>
              <w:top w:w="16" w:type="dxa"/>
              <w:left w:w="16" w:type="dxa"/>
              <w:right w:w="16" w:type="dxa"/>
            </w:tcMar>
            <w:vAlign w:val="center"/>
          </w:tcPr>
          <w:p w14:paraId="01AABC35">
            <w:pPr>
              <w:adjustRightInd w:val="0"/>
              <w:snapToGrid w:val="0"/>
              <w:ind w:firstLine="0" w:firstLineChars="0"/>
              <w:jc w:val="center"/>
            </w:pPr>
            <w:r>
              <w:t>规划情况</w:t>
            </w:r>
          </w:p>
        </w:tc>
        <w:tc>
          <w:tcPr>
            <w:tcW w:w="7017" w:type="dxa"/>
            <w:gridSpan w:val="3"/>
            <w:tcMar>
              <w:top w:w="16" w:type="dxa"/>
              <w:left w:w="16" w:type="dxa"/>
              <w:right w:w="16" w:type="dxa"/>
            </w:tcMar>
            <w:vAlign w:val="center"/>
          </w:tcPr>
          <w:p w14:paraId="0E030184">
            <w:pPr>
              <w:autoSpaceDE w:val="0"/>
              <w:autoSpaceDN w:val="0"/>
              <w:adjustRightInd w:val="0"/>
              <w:snapToGrid w:val="0"/>
              <w:ind w:firstLine="0" w:firstLineChars="0"/>
              <w:rPr>
                <w:kern w:val="0"/>
              </w:rPr>
            </w:pPr>
            <w:r>
              <w:rPr>
                <w:rFonts w:hint="eastAsia"/>
                <w:kern w:val="0"/>
              </w:rPr>
              <w:t>1、</w:t>
            </w:r>
            <w:r>
              <w:rPr>
                <w:kern w:val="0"/>
              </w:rPr>
              <w:t>规划名称</w:t>
            </w:r>
            <w:r>
              <w:rPr>
                <w:rFonts w:hint="eastAsia"/>
                <w:kern w:val="0"/>
              </w:rPr>
              <w:t>：四川省渠江流域防洪规划报告</w:t>
            </w:r>
          </w:p>
          <w:p w14:paraId="245DEAA4">
            <w:pPr>
              <w:autoSpaceDE w:val="0"/>
              <w:autoSpaceDN w:val="0"/>
              <w:adjustRightInd w:val="0"/>
              <w:snapToGrid w:val="0"/>
              <w:ind w:firstLine="0" w:firstLineChars="0"/>
              <w:rPr>
                <w:kern w:val="0"/>
              </w:rPr>
            </w:pPr>
            <w:r>
              <w:rPr>
                <w:rFonts w:hint="eastAsia"/>
                <w:kern w:val="0"/>
              </w:rPr>
              <w:t>审批机关：水利部、四川省人民政府</w:t>
            </w:r>
          </w:p>
          <w:p w14:paraId="41FF5D36">
            <w:pPr>
              <w:autoSpaceDE w:val="0"/>
              <w:autoSpaceDN w:val="0"/>
              <w:adjustRightInd w:val="0"/>
              <w:snapToGrid w:val="0"/>
              <w:ind w:firstLine="0" w:firstLineChars="0"/>
              <w:rPr>
                <w:kern w:val="0"/>
              </w:rPr>
            </w:pPr>
            <w:r>
              <w:rPr>
                <w:rFonts w:hint="eastAsia"/>
                <w:kern w:val="0"/>
              </w:rPr>
              <w:t>审批文件名称及文号：《四川省渠江流域防洪规划的批复》（水规计〔2012〕81号）</w:t>
            </w:r>
          </w:p>
          <w:p w14:paraId="7CA7ACF7">
            <w:pPr>
              <w:autoSpaceDE w:val="0"/>
              <w:autoSpaceDN w:val="0"/>
              <w:adjustRightInd w:val="0"/>
              <w:snapToGrid w:val="0"/>
              <w:ind w:firstLine="0" w:firstLineChars="0"/>
              <w:rPr>
                <w:kern w:val="0"/>
              </w:rPr>
            </w:pPr>
            <w:r>
              <w:rPr>
                <w:rFonts w:hint="eastAsia"/>
                <w:kern w:val="0"/>
              </w:rPr>
              <w:t>2、</w:t>
            </w:r>
            <w:r>
              <w:rPr>
                <w:kern w:val="0"/>
              </w:rPr>
              <w:t>规划名称</w:t>
            </w:r>
            <w:r>
              <w:rPr>
                <w:rFonts w:hint="eastAsia"/>
                <w:kern w:val="0"/>
              </w:rPr>
              <w:t>：</w:t>
            </w:r>
            <w:r>
              <w:rPr>
                <w:rFonts w:hint="eastAsia"/>
                <w:spacing w:val="-3"/>
              </w:rPr>
              <w:t>四川省“</w:t>
            </w:r>
            <w:r>
              <w:rPr>
                <w:spacing w:val="-3"/>
              </w:rPr>
              <w:t>十四五</w:t>
            </w:r>
            <w:r>
              <w:rPr>
                <w:rFonts w:hint="eastAsia"/>
                <w:spacing w:val="-3"/>
              </w:rPr>
              <w:t>”</w:t>
            </w:r>
            <w:r>
              <w:rPr>
                <w:spacing w:val="-3"/>
              </w:rPr>
              <w:t>水安全保障规划</w:t>
            </w:r>
          </w:p>
          <w:p w14:paraId="47A38374">
            <w:pPr>
              <w:autoSpaceDE w:val="0"/>
              <w:autoSpaceDN w:val="0"/>
              <w:adjustRightInd w:val="0"/>
              <w:snapToGrid w:val="0"/>
              <w:ind w:firstLine="0" w:firstLineChars="0"/>
              <w:rPr>
                <w:kern w:val="0"/>
              </w:rPr>
            </w:pPr>
            <w:r>
              <w:rPr>
                <w:spacing w:val="-2"/>
              </w:rPr>
              <w:t>审批机关：</w:t>
            </w:r>
            <w:r>
              <w:rPr>
                <w:rFonts w:hint="eastAsia"/>
                <w:spacing w:val="-2"/>
              </w:rPr>
              <w:t>四川省人民政府</w:t>
            </w:r>
          </w:p>
          <w:p w14:paraId="66F6DF91">
            <w:pPr>
              <w:autoSpaceDE w:val="0"/>
              <w:autoSpaceDN w:val="0"/>
              <w:adjustRightInd w:val="0"/>
              <w:snapToGrid w:val="0"/>
              <w:ind w:firstLine="0" w:firstLineChars="0"/>
              <w:rPr>
                <w:kern w:val="0"/>
              </w:rPr>
            </w:pPr>
            <w:r>
              <w:rPr>
                <w:rFonts w:hint="eastAsia"/>
                <w:kern w:val="0"/>
              </w:rPr>
              <w:t>审批文件名称及文号：《四川省人民政府关于印发〈四川省 “十四五” 水安全保障规划〉的通知》（川府发〔2021〕18号）</w:t>
            </w:r>
          </w:p>
          <w:p w14:paraId="27EBA321">
            <w:pPr>
              <w:autoSpaceDE w:val="0"/>
              <w:autoSpaceDN w:val="0"/>
              <w:adjustRightInd w:val="0"/>
              <w:snapToGrid w:val="0"/>
              <w:ind w:firstLine="0" w:firstLineChars="0"/>
              <w:rPr>
                <w:kern w:val="0"/>
              </w:rPr>
            </w:pPr>
            <w:r>
              <w:rPr>
                <w:rFonts w:hint="eastAsia"/>
                <w:kern w:val="0"/>
              </w:rPr>
              <w:t>3、</w:t>
            </w:r>
            <w:r>
              <w:rPr>
                <w:kern w:val="0"/>
              </w:rPr>
              <w:t>规划名称</w:t>
            </w:r>
            <w:r>
              <w:rPr>
                <w:rFonts w:hint="eastAsia"/>
                <w:kern w:val="0"/>
              </w:rPr>
              <w:t>：</w:t>
            </w:r>
            <w:r>
              <w:rPr>
                <w:spacing w:val="-3"/>
              </w:rPr>
              <w:t>巴中市</w:t>
            </w:r>
            <w:r>
              <w:rPr>
                <w:rFonts w:hint="eastAsia"/>
                <w:spacing w:val="-3"/>
              </w:rPr>
              <w:t>“</w:t>
            </w:r>
            <w:r>
              <w:rPr>
                <w:spacing w:val="-3"/>
              </w:rPr>
              <w:t>十四五</w:t>
            </w:r>
            <w:r>
              <w:rPr>
                <w:rFonts w:hint="eastAsia"/>
                <w:spacing w:val="-3"/>
              </w:rPr>
              <w:t>”</w:t>
            </w:r>
            <w:r>
              <w:rPr>
                <w:spacing w:val="-3"/>
              </w:rPr>
              <w:t>水安全保障规划</w:t>
            </w:r>
          </w:p>
          <w:p w14:paraId="15DE0095">
            <w:pPr>
              <w:autoSpaceDE w:val="0"/>
              <w:autoSpaceDN w:val="0"/>
              <w:adjustRightInd w:val="0"/>
              <w:snapToGrid w:val="0"/>
              <w:ind w:firstLine="0" w:firstLineChars="0"/>
              <w:rPr>
                <w:kern w:val="0"/>
              </w:rPr>
            </w:pPr>
            <w:r>
              <w:rPr>
                <w:spacing w:val="-2"/>
              </w:rPr>
              <w:t>审批机关：巴中市人民政府</w:t>
            </w:r>
          </w:p>
          <w:p w14:paraId="00C91492">
            <w:pPr>
              <w:autoSpaceDE w:val="0"/>
              <w:autoSpaceDN w:val="0"/>
              <w:adjustRightInd w:val="0"/>
              <w:snapToGrid w:val="0"/>
              <w:ind w:firstLine="0" w:firstLineChars="0"/>
              <w:rPr>
                <w:kern w:val="0"/>
              </w:rPr>
            </w:pPr>
            <w:r>
              <w:rPr>
                <w:rFonts w:hint="eastAsia"/>
                <w:kern w:val="0"/>
              </w:rPr>
              <w:t>审批文件名称及文号：关于印发《巴中市“十四五”水安全保障规划》的通知（巴府发〔2021〕10号）</w:t>
            </w:r>
          </w:p>
          <w:p w14:paraId="3D26E09C">
            <w:pPr>
              <w:autoSpaceDE w:val="0"/>
              <w:autoSpaceDN w:val="0"/>
              <w:adjustRightInd w:val="0"/>
              <w:snapToGrid w:val="0"/>
              <w:ind w:firstLine="0" w:firstLineChars="0"/>
              <w:rPr>
                <w:kern w:val="0"/>
              </w:rPr>
            </w:pPr>
            <w:r>
              <w:rPr>
                <w:rFonts w:hint="eastAsia"/>
                <w:kern w:val="0"/>
              </w:rPr>
              <w:t>4、</w:t>
            </w:r>
            <w:r>
              <w:rPr>
                <w:kern w:val="0"/>
              </w:rPr>
              <w:t>规划名称</w:t>
            </w:r>
            <w:r>
              <w:rPr>
                <w:rFonts w:hint="eastAsia"/>
                <w:kern w:val="0"/>
              </w:rPr>
              <w:t>：</w:t>
            </w:r>
            <w:r>
              <w:rPr>
                <w:rFonts w:hint="eastAsia"/>
                <w:spacing w:val="-3"/>
              </w:rPr>
              <w:t>巴中市国土空间总体规划（2021-2035年）</w:t>
            </w:r>
          </w:p>
          <w:p w14:paraId="178383A9">
            <w:pPr>
              <w:autoSpaceDE w:val="0"/>
              <w:autoSpaceDN w:val="0"/>
              <w:adjustRightInd w:val="0"/>
              <w:snapToGrid w:val="0"/>
              <w:ind w:firstLine="0" w:firstLineChars="0"/>
              <w:rPr>
                <w:kern w:val="0"/>
              </w:rPr>
            </w:pPr>
            <w:r>
              <w:rPr>
                <w:spacing w:val="-2"/>
              </w:rPr>
              <w:t>审批机关：</w:t>
            </w:r>
            <w:r>
              <w:rPr>
                <w:rFonts w:hint="eastAsia"/>
                <w:spacing w:val="-2"/>
              </w:rPr>
              <w:t>四川省人民政府</w:t>
            </w:r>
          </w:p>
          <w:p w14:paraId="2B5EB82C">
            <w:pPr>
              <w:autoSpaceDE w:val="0"/>
              <w:autoSpaceDN w:val="0"/>
              <w:adjustRightInd w:val="0"/>
              <w:snapToGrid w:val="0"/>
              <w:ind w:firstLine="0" w:firstLineChars="0"/>
              <w:rPr>
                <w:kern w:val="0"/>
              </w:rPr>
            </w:pPr>
            <w:r>
              <w:rPr>
                <w:rFonts w:hint="eastAsia"/>
                <w:kern w:val="0"/>
              </w:rPr>
              <w:t>审批文件名称及文号：《四川省人民政府关于〈</w:t>
            </w:r>
            <w:r>
              <w:rPr>
                <w:rFonts w:hint="eastAsia"/>
                <w:spacing w:val="-3"/>
              </w:rPr>
              <w:t>巴中市国土空间总体规划（2021-2035年）</w:t>
            </w:r>
            <w:r>
              <w:rPr>
                <w:rFonts w:hint="eastAsia"/>
                <w:kern w:val="0"/>
              </w:rPr>
              <w:t>〉的批复》（川府函〔2024〕65号）</w:t>
            </w:r>
          </w:p>
        </w:tc>
      </w:tr>
      <w:tr w14:paraId="30AB9C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2002" w:type="dxa"/>
            <w:tcMar>
              <w:top w:w="16" w:type="dxa"/>
              <w:left w:w="16" w:type="dxa"/>
              <w:right w:w="16" w:type="dxa"/>
            </w:tcMar>
            <w:vAlign w:val="center"/>
          </w:tcPr>
          <w:p w14:paraId="14985397">
            <w:pPr>
              <w:keepNext/>
              <w:keepLines/>
              <w:adjustRightInd w:val="0"/>
              <w:snapToGrid w:val="0"/>
              <w:ind w:firstLine="0" w:firstLineChars="0"/>
              <w:jc w:val="center"/>
            </w:pPr>
            <w:r>
              <w:t>规划环境影响</w:t>
            </w:r>
          </w:p>
          <w:p w14:paraId="32CB8021">
            <w:pPr>
              <w:keepNext/>
              <w:keepLines/>
              <w:adjustRightInd w:val="0"/>
              <w:snapToGrid w:val="0"/>
              <w:ind w:firstLine="0" w:firstLineChars="0"/>
              <w:jc w:val="center"/>
            </w:pPr>
            <w:r>
              <w:t>评价情况</w:t>
            </w:r>
          </w:p>
        </w:tc>
        <w:tc>
          <w:tcPr>
            <w:tcW w:w="7017" w:type="dxa"/>
            <w:gridSpan w:val="3"/>
            <w:tcMar>
              <w:top w:w="16" w:type="dxa"/>
              <w:left w:w="16" w:type="dxa"/>
              <w:right w:w="16" w:type="dxa"/>
            </w:tcMar>
            <w:vAlign w:val="center"/>
          </w:tcPr>
          <w:p w14:paraId="6FC8A262">
            <w:pPr>
              <w:autoSpaceDE w:val="0"/>
              <w:autoSpaceDN w:val="0"/>
              <w:adjustRightInd w:val="0"/>
              <w:snapToGrid w:val="0"/>
              <w:ind w:firstLine="0" w:firstLineChars="0"/>
              <w:rPr>
                <w:rFonts w:hint="eastAsia"/>
                <w:kern w:val="0"/>
              </w:rPr>
            </w:pPr>
            <w:r>
              <w:rPr>
                <w:rFonts w:hint="eastAsia"/>
                <w:kern w:val="0"/>
              </w:rPr>
              <w:t>规划环境影响评价文件名称：《四川巴中经济开发区控制性详细规划修编规划环境影响报告书》</w:t>
            </w:r>
          </w:p>
          <w:p w14:paraId="06007C60">
            <w:pPr>
              <w:autoSpaceDE w:val="0"/>
              <w:autoSpaceDN w:val="0"/>
              <w:adjustRightInd w:val="0"/>
              <w:snapToGrid w:val="0"/>
              <w:ind w:firstLine="0" w:firstLineChars="0"/>
              <w:rPr>
                <w:rFonts w:hint="eastAsia"/>
                <w:kern w:val="0"/>
              </w:rPr>
            </w:pPr>
            <w:r>
              <w:rPr>
                <w:rFonts w:hint="eastAsia"/>
                <w:kern w:val="0"/>
              </w:rPr>
              <w:t>召集审查机关：四川省生态环境厅</w:t>
            </w:r>
          </w:p>
          <w:p w14:paraId="12EEEAC5">
            <w:pPr>
              <w:autoSpaceDE w:val="0"/>
              <w:autoSpaceDN w:val="0"/>
              <w:adjustRightInd w:val="0"/>
              <w:snapToGrid w:val="0"/>
              <w:ind w:firstLine="0" w:firstLineChars="0"/>
              <w:rPr>
                <w:kern w:val="0"/>
              </w:rPr>
            </w:pPr>
            <w:r>
              <w:rPr>
                <w:rFonts w:hint="eastAsia"/>
                <w:kern w:val="0"/>
              </w:rPr>
              <w:t>审查文件名称及文号：关于印发《四川巴中经济开发区控制性详细规划修编规 划环境影响报告书》审查意见的函（川环建函﹝2020﹞79号）</w:t>
            </w:r>
          </w:p>
        </w:tc>
      </w:tr>
      <w:tr w14:paraId="49BBDE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002" w:type="dxa"/>
            <w:tcMar>
              <w:top w:w="16" w:type="dxa"/>
              <w:left w:w="16" w:type="dxa"/>
              <w:right w:w="16" w:type="dxa"/>
            </w:tcMar>
            <w:vAlign w:val="center"/>
          </w:tcPr>
          <w:p w14:paraId="42A4193D">
            <w:pPr>
              <w:adjustRightInd w:val="0"/>
              <w:snapToGrid w:val="0"/>
              <w:ind w:firstLine="0" w:firstLineChars="0"/>
              <w:jc w:val="center"/>
            </w:pPr>
            <w:r>
              <w:rPr>
                <w:rFonts w:hint="eastAsia"/>
              </w:rPr>
              <w:t>规划及规划环境影响评价符合性分析</w:t>
            </w:r>
          </w:p>
        </w:tc>
        <w:tc>
          <w:tcPr>
            <w:tcW w:w="7017" w:type="dxa"/>
            <w:gridSpan w:val="3"/>
            <w:tcMar>
              <w:top w:w="16" w:type="dxa"/>
              <w:left w:w="16" w:type="dxa"/>
              <w:right w:w="16" w:type="dxa"/>
            </w:tcMar>
            <w:vAlign w:val="center"/>
          </w:tcPr>
          <w:p w14:paraId="2C6909B6">
            <w:pPr>
              <w:autoSpaceDE w:val="0"/>
              <w:autoSpaceDN w:val="0"/>
              <w:adjustRightInd w:val="0"/>
              <w:snapToGrid w:val="0"/>
              <w:ind w:left="120" w:leftChars="50" w:right="120" w:rightChars="50" w:firstLine="0" w:firstLineChars="0"/>
              <w:rPr>
                <w:b/>
                <w:bCs/>
                <w:kern w:val="0"/>
              </w:rPr>
            </w:pPr>
            <w:r>
              <w:rPr>
                <w:rFonts w:hint="eastAsia"/>
                <w:b/>
                <w:bCs/>
                <w:kern w:val="0"/>
              </w:rPr>
              <w:t>1、与《四川省渠江流域防洪规划报告》符合性分析</w:t>
            </w:r>
          </w:p>
          <w:p w14:paraId="54A648B5">
            <w:pPr>
              <w:ind w:firstLine="480"/>
            </w:pPr>
            <w:r>
              <w:rPr>
                <w:rFonts w:hint="eastAsia"/>
              </w:rPr>
              <w:t>20</w:t>
            </w:r>
            <w:r>
              <w:t>11年11月，《四川省渠江流域防洪规划报告》通过了水利部水利水电规划设计总院的审查，并以水总规〔2011〕1185号《关于报送四川省渠江流域防洪规划报告审查意见的报告》出具了审查意见，具体内容如下：</w:t>
            </w:r>
          </w:p>
          <w:p w14:paraId="0A402D6F">
            <w:pPr>
              <w:ind w:firstLine="480"/>
            </w:pPr>
            <w:r>
              <w:t>基本同意《规划报告》提出的流域内重要城镇的防洪标准。巴中城区、达州城区和广安城区近期均为20年一遇，远期均为50年一遇；县级城镇和建制镇近期为10年一遇，远期为20年一遇；一般集镇近远期均为10年一遇。</w:t>
            </w:r>
          </w:p>
          <w:p w14:paraId="5B1BC175">
            <w:pPr>
              <w:ind w:firstLine="480"/>
            </w:pPr>
            <w:r>
              <w:t>综上，本次渠江（巴河）干流巴中市中心城区、平昌县城、南江县城划界标准采用20年一遇，沿线重点乡镇划界标准采用10年一遇。其他一般乡镇及乡村河段划界标准采用10年一遇。</w:t>
            </w:r>
          </w:p>
          <w:p w14:paraId="52D97FF1">
            <w:pPr>
              <w:ind w:firstLine="480"/>
              <w:rPr>
                <w:b/>
                <w:bCs/>
              </w:rPr>
            </w:pPr>
            <w:r>
              <w:rPr>
                <w:rFonts w:hint="eastAsia"/>
              </w:rPr>
              <w:t>本项目主要建内容为</w:t>
            </w:r>
            <w:r>
              <w:rPr>
                <w:rFonts w:hint="eastAsia"/>
                <w:b/>
                <w:bCs/>
              </w:rPr>
              <w:t>新建生态隔离带30000m</w:t>
            </w:r>
            <w:r>
              <w:rPr>
                <w:rFonts w:hint="eastAsia"/>
                <w:b/>
                <w:bCs/>
                <w:vertAlign w:val="superscript"/>
              </w:rPr>
              <w:t>2</w:t>
            </w:r>
            <w:r>
              <w:rPr>
                <w:rFonts w:hint="eastAsia"/>
                <w:b/>
                <w:bCs/>
              </w:rPr>
              <w:t>，生态护岸50122.41m</w:t>
            </w:r>
            <w:r>
              <w:rPr>
                <w:rFonts w:hint="eastAsia"/>
                <w:b/>
                <w:bCs/>
                <w:vertAlign w:val="superscript"/>
              </w:rPr>
              <w:t>2</w:t>
            </w:r>
            <w:r>
              <w:rPr>
                <w:rFonts w:hint="eastAsia"/>
                <w:b/>
                <w:bCs/>
              </w:rPr>
              <w:t>（6公里），生态步道及护栏3公里等配套基础设施，含新建一座控制导流设施（生态景观控流闸、工程规模属小（1）型），位于巴河与檬子河交汇处以东300米处。</w:t>
            </w:r>
          </w:p>
          <w:p w14:paraId="7D0E239A">
            <w:pPr>
              <w:ind w:firstLine="480"/>
            </w:pPr>
            <w:r>
              <w:rPr>
                <w:rFonts w:hint="eastAsia"/>
              </w:rPr>
              <w:t>本项目</w:t>
            </w:r>
            <w:r>
              <w:rPr>
                <w:rFonts w:hint="eastAsia"/>
                <w:lang w:val="en-US" w:eastAsia="zh-CN"/>
              </w:rPr>
              <w:t>控流导流设施（生态景观控流闸）</w:t>
            </w:r>
            <w:r>
              <w:rPr>
                <w:rFonts w:hint="eastAsia"/>
              </w:rPr>
              <w:t>防洪标准按20年一遇设计，50年一遇校核</w:t>
            </w:r>
            <w:r>
              <w:rPr>
                <w:rFonts w:hint="eastAsia"/>
                <w:lang w:eastAsia="zh-CN"/>
              </w:rPr>
              <w:t>；</w:t>
            </w:r>
            <w:r>
              <w:rPr>
                <w:rFonts w:hint="eastAsia"/>
                <w:lang w:val="en-US" w:eastAsia="zh-CN"/>
              </w:rPr>
              <w:t>生态护岸防洪标准按50</w:t>
            </w:r>
            <w:r>
              <w:rPr>
                <w:rFonts w:hint="eastAsia"/>
              </w:rPr>
              <w:t>年一遇枯水期标准执行，满足</w:t>
            </w:r>
            <w:r>
              <w:t>《四川省渠江流域防洪规划报告》</w:t>
            </w:r>
            <w:r>
              <w:rPr>
                <w:rFonts w:hint="eastAsia"/>
              </w:rPr>
              <w:t>相关要求。</w:t>
            </w:r>
          </w:p>
          <w:p w14:paraId="2278D018">
            <w:pPr>
              <w:ind w:firstLine="0" w:firstLineChars="0"/>
            </w:pPr>
            <w:r>
              <w:rPr>
                <w:rFonts w:hint="eastAsia"/>
                <w:b/>
                <w:bCs/>
              </w:rPr>
              <w:t>2、与《</w:t>
            </w:r>
            <w:r>
              <w:rPr>
                <w:rFonts w:hint="eastAsia"/>
                <w:b/>
                <w:bCs/>
                <w:spacing w:val="-3"/>
              </w:rPr>
              <w:t>四川省“</w:t>
            </w:r>
            <w:r>
              <w:rPr>
                <w:b/>
                <w:bCs/>
                <w:spacing w:val="-3"/>
              </w:rPr>
              <w:t>十四五</w:t>
            </w:r>
            <w:r>
              <w:rPr>
                <w:rFonts w:hint="eastAsia"/>
                <w:b/>
                <w:bCs/>
                <w:spacing w:val="-3"/>
              </w:rPr>
              <w:t>”</w:t>
            </w:r>
            <w:r>
              <w:rPr>
                <w:b/>
                <w:bCs/>
                <w:spacing w:val="-3"/>
              </w:rPr>
              <w:t>水安全保障规划</w:t>
            </w:r>
            <w:r>
              <w:rPr>
                <w:rFonts w:hint="eastAsia"/>
                <w:b/>
                <w:bCs/>
              </w:rPr>
              <w:t>》符合性分析</w:t>
            </w:r>
          </w:p>
          <w:p w14:paraId="0FD3FA05">
            <w:pPr>
              <w:ind w:firstLine="480"/>
            </w:pPr>
            <w:r>
              <w:rPr>
                <w:rFonts w:hint="eastAsia"/>
              </w:rPr>
              <w:t>本项目与《四川省“十四五”水安全保障规划》的相关要求相符，符合性分析详见下表。</w:t>
            </w:r>
          </w:p>
          <w:p w14:paraId="522B485D">
            <w:pPr>
              <w:ind w:firstLine="0" w:firstLineChars="0"/>
              <w:jc w:val="center"/>
              <w:rPr>
                <w:b/>
                <w:bCs/>
                <w:sz w:val="21"/>
                <w:szCs w:val="21"/>
              </w:rPr>
            </w:pPr>
            <w:r>
              <w:rPr>
                <w:rFonts w:hint="eastAsia"/>
                <w:b/>
                <w:bCs/>
                <w:sz w:val="21"/>
                <w:szCs w:val="21"/>
              </w:rPr>
              <w:t>表1-2  与《四川省“十四五”水安全保障规划》符合性分析</w:t>
            </w:r>
          </w:p>
          <w:tbl>
            <w:tblPr>
              <w:tblStyle w:val="19"/>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16"/>
              <w:gridCol w:w="4093"/>
              <w:gridCol w:w="1293"/>
              <w:gridCol w:w="655"/>
            </w:tblGrid>
            <w:tr w14:paraId="72A8E6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65" w:hRule="atLeast"/>
                <w:jc w:val="center"/>
              </w:trPr>
              <w:tc>
                <w:tcPr>
                  <w:tcW w:w="816" w:type="dxa"/>
                  <w:tcBorders>
                    <w:tl2br w:val="nil"/>
                    <w:tr2bl w:val="nil"/>
                  </w:tcBorders>
                  <w:vAlign w:val="center"/>
                </w:tcPr>
                <w:p w14:paraId="6183FA9D">
                  <w:pPr>
                    <w:pStyle w:val="16"/>
                    <w:widowControl w:val="0"/>
                    <w:spacing w:before="0" w:beforeAutospacing="0" w:after="0" w:afterAutospacing="0" w:line="276" w:lineRule="auto"/>
                    <w:ind w:firstLine="0" w:firstLineChars="0"/>
                    <w:jc w:val="center"/>
                    <w:rPr>
                      <w:b/>
                      <w:bCs/>
                      <w:sz w:val="21"/>
                      <w:szCs w:val="21"/>
                    </w:rPr>
                  </w:pPr>
                  <w:r>
                    <w:rPr>
                      <w:rFonts w:hint="eastAsia"/>
                      <w:b/>
                      <w:bCs/>
                      <w:sz w:val="21"/>
                      <w:szCs w:val="21"/>
                    </w:rPr>
                    <w:t>政策名称</w:t>
                  </w:r>
                </w:p>
              </w:tc>
              <w:tc>
                <w:tcPr>
                  <w:tcW w:w="4093" w:type="dxa"/>
                  <w:tcBorders>
                    <w:tl2br w:val="nil"/>
                    <w:tr2bl w:val="nil"/>
                  </w:tcBorders>
                  <w:vAlign w:val="center"/>
                </w:tcPr>
                <w:p w14:paraId="1F324948">
                  <w:pPr>
                    <w:pStyle w:val="16"/>
                    <w:widowControl w:val="0"/>
                    <w:spacing w:before="0" w:beforeAutospacing="0" w:after="0" w:afterAutospacing="0" w:line="276" w:lineRule="auto"/>
                    <w:ind w:firstLine="0" w:firstLineChars="0"/>
                    <w:jc w:val="center"/>
                    <w:rPr>
                      <w:b/>
                      <w:bCs/>
                      <w:sz w:val="21"/>
                      <w:szCs w:val="21"/>
                    </w:rPr>
                  </w:pPr>
                  <w:r>
                    <w:rPr>
                      <w:rFonts w:hint="eastAsia"/>
                      <w:b/>
                      <w:bCs/>
                      <w:sz w:val="21"/>
                      <w:szCs w:val="21"/>
                    </w:rPr>
                    <w:t>具体要求</w:t>
                  </w:r>
                </w:p>
              </w:tc>
              <w:tc>
                <w:tcPr>
                  <w:tcW w:w="1293" w:type="dxa"/>
                  <w:tcBorders>
                    <w:tl2br w:val="nil"/>
                    <w:tr2bl w:val="nil"/>
                  </w:tcBorders>
                  <w:vAlign w:val="center"/>
                </w:tcPr>
                <w:p w14:paraId="67320660">
                  <w:pPr>
                    <w:pStyle w:val="16"/>
                    <w:widowControl w:val="0"/>
                    <w:spacing w:before="0" w:beforeAutospacing="0" w:after="0" w:afterAutospacing="0" w:line="276" w:lineRule="auto"/>
                    <w:ind w:firstLine="0" w:firstLineChars="0"/>
                    <w:jc w:val="center"/>
                    <w:rPr>
                      <w:b/>
                      <w:bCs/>
                      <w:sz w:val="21"/>
                      <w:szCs w:val="21"/>
                    </w:rPr>
                  </w:pPr>
                  <w:r>
                    <w:rPr>
                      <w:rFonts w:hint="eastAsia"/>
                      <w:b/>
                      <w:bCs/>
                      <w:sz w:val="21"/>
                      <w:szCs w:val="21"/>
                    </w:rPr>
                    <w:t>本工程情况</w:t>
                  </w:r>
                </w:p>
              </w:tc>
              <w:tc>
                <w:tcPr>
                  <w:tcW w:w="655" w:type="dxa"/>
                  <w:tcBorders>
                    <w:tl2br w:val="nil"/>
                    <w:tr2bl w:val="nil"/>
                  </w:tcBorders>
                  <w:vAlign w:val="center"/>
                </w:tcPr>
                <w:p w14:paraId="052B8C10">
                  <w:pPr>
                    <w:pStyle w:val="16"/>
                    <w:widowControl w:val="0"/>
                    <w:spacing w:before="0" w:beforeAutospacing="0" w:after="0" w:afterAutospacing="0" w:line="276" w:lineRule="auto"/>
                    <w:ind w:firstLine="0" w:firstLineChars="0"/>
                    <w:jc w:val="center"/>
                    <w:rPr>
                      <w:b/>
                      <w:bCs/>
                      <w:sz w:val="21"/>
                      <w:szCs w:val="21"/>
                    </w:rPr>
                  </w:pPr>
                  <w:r>
                    <w:rPr>
                      <w:rFonts w:hint="eastAsia"/>
                      <w:b/>
                      <w:bCs/>
                      <w:sz w:val="21"/>
                      <w:szCs w:val="21"/>
                    </w:rPr>
                    <w:t>符合性</w:t>
                  </w:r>
                </w:p>
              </w:tc>
            </w:tr>
            <w:tr w14:paraId="3282C9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16" w:type="dxa"/>
                  <w:vMerge w:val="restart"/>
                  <w:tcBorders>
                    <w:tl2br w:val="nil"/>
                    <w:tr2bl w:val="nil"/>
                  </w:tcBorders>
                  <w:vAlign w:val="center"/>
                </w:tcPr>
                <w:p w14:paraId="54A382E7">
                  <w:pPr>
                    <w:pStyle w:val="16"/>
                    <w:widowControl w:val="0"/>
                    <w:spacing w:before="0" w:beforeAutospacing="0" w:after="0" w:afterAutospacing="0" w:line="276" w:lineRule="auto"/>
                    <w:ind w:firstLine="0" w:firstLineChars="0"/>
                    <w:jc w:val="center"/>
                    <w:rPr>
                      <w:sz w:val="21"/>
                      <w:szCs w:val="21"/>
                    </w:rPr>
                  </w:pPr>
                  <w:r>
                    <w:rPr>
                      <w:rFonts w:hint="eastAsia"/>
                      <w:sz w:val="21"/>
                      <w:szCs w:val="21"/>
                    </w:rPr>
                    <w:t>《四川省“十四五”水安全保障规划》</w:t>
                  </w:r>
                </w:p>
              </w:tc>
              <w:tc>
                <w:tcPr>
                  <w:tcW w:w="4093" w:type="dxa"/>
                  <w:tcBorders>
                    <w:tl2br w:val="nil"/>
                    <w:tr2bl w:val="nil"/>
                  </w:tcBorders>
                  <w:vAlign w:val="center"/>
                </w:tcPr>
                <w:p w14:paraId="1FE1B38F">
                  <w:pPr>
                    <w:pStyle w:val="16"/>
                    <w:widowControl w:val="0"/>
                    <w:spacing w:before="0" w:beforeAutospacing="0" w:after="0" w:afterAutospacing="0" w:line="276" w:lineRule="auto"/>
                    <w:ind w:firstLine="0" w:firstLineChars="0"/>
                    <w:jc w:val="center"/>
                    <w:rPr>
                      <w:sz w:val="21"/>
                      <w:szCs w:val="21"/>
                    </w:rPr>
                  </w:pPr>
                  <w:r>
                    <w:rPr>
                      <w:rFonts w:hint="eastAsia"/>
                      <w:sz w:val="21"/>
                      <w:szCs w:val="21"/>
                    </w:rPr>
                    <w:t>第七章 加强水生态保护和水环境治理：第六节实施水生态修复与治理：坚持综合施策、协同推进，对岷江、沱江、黄河、泸沽湖、邛海等重点河湖及部分中小河湖，采取保障生态流量、截污治污、自然修复、河道治理、清淤疏浚、生物调控等措施，实施河湖水域和滨岸带修复与治理，恢复河湖生态系统结构和功能，构建河湖生态廊道。加强重要河湖水生生物栖息地治理修复，营造适宜生境。推进水系连通及水美乡村建设试点，改善农村人居环境。</w:t>
                  </w:r>
                </w:p>
              </w:tc>
              <w:tc>
                <w:tcPr>
                  <w:tcW w:w="1293" w:type="dxa"/>
                  <w:vMerge w:val="restart"/>
                  <w:tcBorders>
                    <w:tl2br w:val="nil"/>
                    <w:tr2bl w:val="nil"/>
                  </w:tcBorders>
                  <w:vAlign w:val="center"/>
                </w:tcPr>
                <w:p w14:paraId="30B22E0C">
                  <w:pPr>
                    <w:pStyle w:val="16"/>
                    <w:widowControl w:val="0"/>
                    <w:spacing w:before="0" w:beforeAutospacing="0" w:after="0" w:afterAutospacing="0" w:line="276" w:lineRule="auto"/>
                    <w:ind w:firstLine="0" w:firstLineChars="0"/>
                    <w:jc w:val="center"/>
                    <w:rPr>
                      <w:sz w:val="21"/>
                      <w:szCs w:val="21"/>
                    </w:rPr>
                  </w:pPr>
                  <w:r>
                    <w:rPr>
                      <w:rFonts w:ascii="Times New Roman" w:hAnsi="Times New Roman"/>
                      <w:sz w:val="21"/>
                      <w:szCs w:val="21"/>
                    </w:rPr>
                    <w:t>工程通过闸坝控流保障生态流量、构建河湖生态廊道，同步建设</w:t>
                  </w:r>
                  <w:r>
                    <w:rPr>
                      <w:rFonts w:hint="eastAsia" w:ascii="Times New Roman" w:hAnsi="Times New Roman"/>
                      <w:sz w:val="21"/>
                      <w:szCs w:val="21"/>
                    </w:rPr>
                    <w:t>生态护岸</w:t>
                  </w:r>
                  <w:r>
                    <w:rPr>
                      <w:rFonts w:ascii="Times New Roman" w:hAnsi="Times New Roman"/>
                      <w:sz w:val="21"/>
                      <w:szCs w:val="21"/>
                    </w:rPr>
                    <w:t>，50年一遇防洪能力。</w:t>
                  </w:r>
                </w:p>
              </w:tc>
              <w:tc>
                <w:tcPr>
                  <w:tcW w:w="655" w:type="dxa"/>
                  <w:tcBorders>
                    <w:tl2br w:val="nil"/>
                    <w:tr2bl w:val="nil"/>
                  </w:tcBorders>
                  <w:vAlign w:val="center"/>
                </w:tcPr>
                <w:p w14:paraId="3E9D4592">
                  <w:pPr>
                    <w:pStyle w:val="16"/>
                    <w:widowControl w:val="0"/>
                    <w:spacing w:before="0" w:beforeAutospacing="0" w:after="0" w:afterAutospacing="0" w:line="276" w:lineRule="auto"/>
                    <w:ind w:firstLine="0" w:firstLineChars="0"/>
                    <w:jc w:val="center"/>
                    <w:rPr>
                      <w:sz w:val="21"/>
                      <w:szCs w:val="21"/>
                    </w:rPr>
                  </w:pPr>
                  <w:r>
                    <w:rPr>
                      <w:rFonts w:hint="eastAsia"/>
                      <w:sz w:val="21"/>
                      <w:szCs w:val="21"/>
                    </w:rPr>
                    <w:t>符合</w:t>
                  </w:r>
                </w:p>
              </w:tc>
            </w:tr>
            <w:tr w14:paraId="7C21AA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16" w:type="dxa"/>
                  <w:vMerge w:val="continue"/>
                  <w:tcBorders>
                    <w:tl2br w:val="nil"/>
                    <w:tr2bl w:val="nil"/>
                  </w:tcBorders>
                  <w:vAlign w:val="center"/>
                </w:tcPr>
                <w:p w14:paraId="5E6FACEF">
                  <w:pPr>
                    <w:pStyle w:val="16"/>
                    <w:widowControl w:val="0"/>
                    <w:spacing w:before="0" w:beforeAutospacing="0" w:after="0" w:afterAutospacing="0" w:line="276" w:lineRule="auto"/>
                    <w:ind w:firstLine="0" w:firstLineChars="0"/>
                    <w:jc w:val="center"/>
                    <w:rPr>
                      <w:sz w:val="21"/>
                      <w:szCs w:val="21"/>
                    </w:rPr>
                  </w:pPr>
                </w:p>
              </w:tc>
              <w:tc>
                <w:tcPr>
                  <w:tcW w:w="4093" w:type="dxa"/>
                  <w:tcBorders>
                    <w:tl2br w:val="nil"/>
                    <w:tr2bl w:val="nil"/>
                  </w:tcBorders>
                  <w:vAlign w:val="center"/>
                </w:tcPr>
                <w:p w14:paraId="7D4A435B">
                  <w:pPr>
                    <w:pStyle w:val="16"/>
                    <w:widowControl w:val="0"/>
                    <w:spacing w:before="0" w:beforeAutospacing="0" w:after="0" w:afterAutospacing="0" w:line="276" w:lineRule="auto"/>
                    <w:ind w:firstLine="0" w:firstLineChars="0"/>
                    <w:jc w:val="center"/>
                    <w:rPr>
                      <w:sz w:val="21"/>
                      <w:szCs w:val="21"/>
                    </w:rPr>
                  </w:pPr>
                  <w:r>
                    <w:rPr>
                      <w:rFonts w:hint="eastAsia"/>
                      <w:sz w:val="21"/>
                      <w:szCs w:val="21"/>
                    </w:rPr>
                    <w:t>第八章 提升水旱灾害防御能力：第三节 加强主要江河和中小河流防洪治理：加快实施流域面积</w:t>
                  </w:r>
                  <w:r>
                    <w:rPr>
                      <w:rFonts w:ascii="Times New Roman" w:hAnsi="Times New Roman"/>
                      <w:sz w:val="21"/>
                      <w:szCs w:val="21"/>
                    </w:rPr>
                    <w:t>3000平方千米以上主要江河防洪治理，加强中小河流治理，优先解决城镇河段防洪不达标、近年洪涝灾害频发、河堤损毁严重等问题。提升改造城市防洪排涝设施，因地制宜建设海绵城市，有效治理城市内涝问题，全部消除城市严重易涝积水</w:t>
                  </w:r>
                  <w:r>
                    <w:rPr>
                      <w:rFonts w:hint="eastAsia"/>
                      <w:sz w:val="21"/>
                      <w:szCs w:val="21"/>
                    </w:rPr>
                    <w:t>区段。加强河心洲岛防洪设施建设，提高防洪排涝能力。</w:t>
                  </w:r>
                </w:p>
              </w:tc>
              <w:tc>
                <w:tcPr>
                  <w:tcW w:w="1293" w:type="dxa"/>
                  <w:vMerge w:val="continue"/>
                  <w:tcBorders>
                    <w:tl2br w:val="nil"/>
                    <w:tr2bl w:val="nil"/>
                  </w:tcBorders>
                  <w:vAlign w:val="center"/>
                </w:tcPr>
                <w:p w14:paraId="250707E6">
                  <w:pPr>
                    <w:pStyle w:val="16"/>
                    <w:widowControl w:val="0"/>
                    <w:spacing w:before="0" w:beforeAutospacing="0" w:after="0" w:afterAutospacing="0" w:line="276" w:lineRule="auto"/>
                    <w:ind w:firstLine="0" w:firstLineChars="0"/>
                    <w:jc w:val="center"/>
                    <w:rPr>
                      <w:sz w:val="21"/>
                      <w:szCs w:val="21"/>
                    </w:rPr>
                  </w:pPr>
                </w:p>
              </w:tc>
              <w:tc>
                <w:tcPr>
                  <w:tcW w:w="655" w:type="dxa"/>
                  <w:tcBorders>
                    <w:tl2br w:val="nil"/>
                    <w:tr2bl w:val="nil"/>
                  </w:tcBorders>
                  <w:vAlign w:val="center"/>
                </w:tcPr>
                <w:p w14:paraId="19C6D68D">
                  <w:pPr>
                    <w:pStyle w:val="16"/>
                    <w:widowControl w:val="0"/>
                    <w:spacing w:before="0" w:beforeAutospacing="0" w:after="0" w:afterAutospacing="0" w:line="276" w:lineRule="auto"/>
                    <w:ind w:firstLine="0" w:firstLineChars="0"/>
                    <w:jc w:val="center"/>
                    <w:rPr>
                      <w:sz w:val="21"/>
                      <w:szCs w:val="21"/>
                    </w:rPr>
                  </w:pPr>
                  <w:r>
                    <w:rPr>
                      <w:rFonts w:hint="eastAsia"/>
                      <w:sz w:val="21"/>
                      <w:szCs w:val="21"/>
                    </w:rPr>
                    <w:t>符合</w:t>
                  </w:r>
                </w:p>
              </w:tc>
            </w:tr>
          </w:tbl>
          <w:p w14:paraId="3294E5B4">
            <w:pPr>
              <w:ind w:right="120" w:rightChars="50" w:firstLine="0" w:firstLineChars="0"/>
              <w:rPr>
                <w:b/>
                <w:bCs/>
              </w:rPr>
            </w:pPr>
            <w:r>
              <w:rPr>
                <w:rFonts w:hint="eastAsia"/>
                <w:b/>
                <w:bCs/>
              </w:rPr>
              <w:t>3、与《</w:t>
            </w:r>
            <w:r>
              <w:rPr>
                <w:b/>
                <w:bCs/>
                <w:spacing w:val="-3"/>
              </w:rPr>
              <w:t>巴中市</w:t>
            </w:r>
            <w:r>
              <w:rPr>
                <w:rFonts w:hint="eastAsia"/>
                <w:b/>
                <w:bCs/>
                <w:spacing w:val="-3"/>
              </w:rPr>
              <w:t>“</w:t>
            </w:r>
            <w:r>
              <w:rPr>
                <w:b/>
                <w:bCs/>
                <w:spacing w:val="-3"/>
              </w:rPr>
              <w:t>十四五</w:t>
            </w:r>
            <w:r>
              <w:rPr>
                <w:rFonts w:hint="eastAsia"/>
                <w:b/>
                <w:bCs/>
                <w:spacing w:val="-3"/>
              </w:rPr>
              <w:t>”</w:t>
            </w:r>
            <w:r>
              <w:rPr>
                <w:b/>
                <w:bCs/>
                <w:spacing w:val="-3"/>
              </w:rPr>
              <w:t>水安全保障规划</w:t>
            </w:r>
            <w:r>
              <w:rPr>
                <w:rFonts w:hint="eastAsia"/>
                <w:b/>
                <w:bCs/>
              </w:rPr>
              <w:t>》符合性分析</w:t>
            </w:r>
          </w:p>
          <w:p w14:paraId="153D01D6">
            <w:pPr>
              <w:ind w:firstLine="480"/>
            </w:pPr>
            <w:r>
              <w:t>根据《巴中市</w:t>
            </w:r>
            <w:r>
              <w:rPr>
                <w:rFonts w:hint="eastAsia"/>
              </w:rPr>
              <w:t>“</w:t>
            </w:r>
            <w:r>
              <w:t>十四五</w:t>
            </w:r>
            <w:r>
              <w:rPr>
                <w:rFonts w:hint="eastAsia"/>
              </w:rPr>
              <w:t>”</w:t>
            </w:r>
            <w:r>
              <w:t>生态环境保护规划》</w:t>
            </w:r>
            <w:r>
              <w:rPr>
                <w:rFonts w:hint="eastAsia"/>
              </w:rPr>
              <w:t>：</w:t>
            </w:r>
          </w:p>
          <w:p w14:paraId="607C213E">
            <w:pPr>
              <w:ind w:firstLine="480"/>
            </w:pPr>
            <w:r>
              <w:rPr>
                <w:rFonts w:hint="eastAsia"/>
              </w:rPr>
              <w:t>（1）加强巴河流域水环境综合治理，统筹水资源利用、水环境治理和水生态保护。重点推进集中式饮用水水源保护，稳步推进水污染防治、整体提升流域水环境质量，兼顾岸上水里、上下游、左右岸，实现“岸绿水清、鱼翔浅底、人水和谐”的美丽河湖景象。</w:t>
            </w:r>
          </w:p>
          <w:p w14:paraId="151431B3">
            <w:pPr>
              <w:ind w:firstLine="480"/>
            </w:pPr>
            <w:r>
              <w:rPr>
                <w:rFonts w:hint="eastAsia"/>
              </w:rPr>
              <w:t>（2）落实最严格水资源管理制度。统筹生活、工业、农业、生态环境等用水需求，落实最严格水资源管理制度，开展水资源消耗总量和强度双控行动。依法管水治水，建立覆盖市、县（区）水资源“三条红线”控制指标体系，建立各乡镇行政区域的用水总量控制指标体系，大力推进农业、工业、城镇节水，建设节水型社会。</w:t>
            </w:r>
          </w:p>
          <w:p w14:paraId="42C36244">
            <w:pPr>
              <w:ind w:firstLine="480"/>
            </w:pPr>
            <w:r>
              <w:rPr>
                <w:rFonts w:hint="eastAsia"/>
              </w:rPr>
              <w:t>（3）在河湖保护方面——加快构建碧水长流的河湖保护体系。纵深推进河长制湖长制，主要河湖水域岸线得到有效管控，流域面积50km</w:t>
            </w:r>
            <w:r>
              <w:rPr>
                <w:rFonts w:hint="eastAsia"/>
                <w:vertAlign w:val="superscript"/>
              </w:rPr>
              <w:t>2</w:t>
            </w:r>
            <w:r>
              <w:rPr>
                <w:rFonts w:hint="eastAsia"/>
              </w:rPr>
              <w:t>以上河流管理范 围全面划定，江河湖库水源涵养与保护能力明显提升，重点河湖生态流量保障目标满足程度达到90%以上，水环境状况明显改善，重要江河湖泊水功能区水质达标率达到98%以上。人为水土流失得到有效控制，重点地区水土流失得到 有效治理，新增水土流失治理面积650km</w:t>
            </w:r>
            <w:r>
              <w:rPr>
                <w:rFonts w:hint="eastAsia"/>
                <w:vertAlign w:val="superscript"/>
              </w:rPr>
              <w:t>2</w:t>
            </w:r>
            <w:r>
              <w:rPr>
                <w:rFonts w:hint="eastAsia"/>
              </w:rPr>
              <w:t>（不含林业、农业、国土等水土保持 生态工程），全市水土保持率提高到70%以上。</w:t>
            </w:r>
          </w:p>
          <w:p w14:paraId="5C9D940E">
            <w:pPr>
              <w:ind w:firstLine="480"/>
            </w:pPr>
            <w:r>
              <w:rPr>
                <w:rFonts w:hint="eastAsia"/>
              </w:rPr>
              <w:t>（4）在水旱灾害防治方面——加快构建高效科学的水旱灾害防治体系。加 强防洪控制性水库工程建设，完成防汛薄弱环节建设，重点城镇、重要河段基 本达到国家规定的防洪排涝标准，全面消除现有病险水库安全隐患，对新出现 的病险水库及时除险加固，5级及以上堤防达标率提高到80%，非工程措施体系进一步优化，水旱灾害风险底数全面清楚，水旱灾害风险防范化解能力进一步增强。</w:t>
            </w:r>
          </w:p>
          <w:p w14:paraId="2445D69F">
            <w:pPr>
              <w:ind w:firstLine="480"/>
            </w:pPr>
            <w:r>
              <w:t>本项目</w:t>
            </w:r>
            <w:r>
              <w:rPr>
                <w:rFonts w:hint="eastAsia"/>
              </w:rPr>
              <w:t>控制导流设施</w:t>
            </w:r>
            <w:r>
              <w:t>可实现檬子河河道水资源统一调度管控，解决河段季节性断流问题，稳定维持河道生态用水，保障河道基本生态下泄流量；工程兼具蓄水、行洪功能，非汛期蓄水维持河道常态水面，汛期闸门全开敞泄，防洪保护范围内规划标准洪水可有效防御。配套生态护岸、生态隔离带等工程，削减入河污染负荷，修复河流生态廊道，基本实现水资源节约与高效利用、流域水环境质量有效提升。因此，在切实做好生态环境保护的前提下，对巴河支流檬子河流域水资源优化配置、水环境综合整治、美丽河湖打造起到积极促进作用，为此，工程建设符合《巴中市</w:t>
            </w:r>
            <w:r>
              <w:rPr>
                <w:rFonts w:hint="eastAsia"/>
              </w:rPr>
              <w:t>“</w:t>
            </w:r>
            <w:r>
              <w:t>十四五</w:t>
            </w:r>
            <w:r>
              <w:rPr>
                <w:rFonts w:hint="eastAsia"/>
              </w:rPr>
              <w:t>”</w:t>
            </w:r>
            <w:r>
              <w:t>生态环境保护规划》相关要求。</w:t>
            </w:r>
          </w:p>
          <w:p w14:paraId="26475D11">
            <w:pPr>
              <w:ind w:right="120" w:rightChars="50" w:firstLine="0" w:firstLineChars="0"/>
              <w:rPr>
                <w:b/>
                <w:bCs/>
              </w:rPr>
            </w:pPr>
            <w:r>
              <w:rPr>
                <w:rFonts w:hint="eastAsia"/>
                <w:b/>
                <w:bCs/>
              </w:rPr>
              <w:t>5、与《巴中市国土空间总体规划（2021-2035年）》符合性分析</w:t>
            </w:r>
          </w:p>
          <w:p w14:paraId="1ACA1DB5">
            <w:pPr>
              <w:ind w:firstLine="480"/>
            </w:pPr>
            <w:r>
              <w:rPr>
                <w:rFonts w:hint="eastAsia"/>
              </w:rPr>
              <w:t>《巴中市国土空间总体规划（2021-2035年）》提出：“第120条 构建“节水优先、河流畅通”的水资源保护体系：保障河道空间畅通连贯。保持河道畅通，确保行洪安全，保持原河流岸线基本不动，结合市政道路规划、排水规划，合理确定区间暴雨洪水的分配。加快实施流域面积200平方千米以上主要支流及中小河流防洪治理，优先解决中小河流城镇河段防洪不达标、洪涝灾害频发、河堤损毁严重的问题。第121条 加快构建现代水利基础设施生态网络体系：坚持“确有需要、生态安全、可以持续”的原则，按照“建水网、开水源”的思路，加快建设一批生态水利工程。结合城市防洪能力建设、中小河流治理、山洪沟治理等工程，加强流域水土保持及水系连通；以城乡供水一体化为目标，通过实施重点水源工程建设、农村饮水安全巩固提升等工程，补齐农村供水设施短板，逐步实现城乡供水一体化，全面提升供水安全保障能力。”</w:t>
            </w:r>
          </w:p>
          <w:p w14:paraId="56E27C00">
            <w:pPr>
              <w:ind w:firstLine="480"/>
              <w:rPr>
                <w:rFonts w:hint="eastAsia"/>
              </w:rPr>
            </w:pPr>
            <w:r>
              <w:rPr>
                <w:rFonts w:ascii="宋体" w:hAnsi="宋体" w:cs="宋体"/>
              </w:rPr>
              <w:t>本项目为巴州区檬子河流域综合水环境治理工程</w:t>
            </w:r>
            <w:r>
              <w:rPr>
                <w:rFonts w:hint="eastAsia" w:ascii="宋体" w:hAnsi="宋体" w:cs="宋体"/>
              </w:rPr>
              <w:t>，项目建设能够补齐檬子河城区段防洪，助力全市水资源保护与水利生态网络体系搭建，为此项目建设与</w:t>
            </w:r>
            <w:r>
              <w:rPr>
                <w:rFonts w:hint="eastAsia"/>
              </w:rPr>
              <w:t>《巴中市国土空间总体规划（2021-2035年）》相关要求相符。</w:t>
            </w:r>
          </w:p>
          <w:p w14:paraId="523290F3">
            <w:pPr>
              <w:ind w:left="0" w:leftChars="0" w:firstLine="0" w:firstLineChars="0"/>
              <w:rPr>
                <w:rFonts w:hint="eastAsia" w:eastAsia="宋体"/>
                <w:b/>
                <w:bCs/>
                <w:lang w:val="en-US" w:eastAsia="zh-CN"/>
              </w:rPr>
            </w:pPr>
            <w:r>
              <w:rPr>
                <w:rFonts w:hint="eastAsia"/>
                <w:b/>
                <w:bCs/>
                <w:lang w:val="en-US" w:eastAsia="zh-CN"/>
              </w:rPr>
              <w:t>6、与四川巴中经济开发区规划修编及规划环评符合性分析</w:t>
            </w:r>
          </w:p>
          <w:p w14:paraId="786A5F92">
            <w:pPr>
              <w:ind w:firstLine="480"/>
              <w:rPr>
                <w:rFonts w:hint="eastAsia"/>
              </w:rPr>
            </w:pPr>
            <w:r>
              <w:rPr>
                <w:rFonts w:hint="eastAsia"/>
              </w:rPr>
              <w:t>2022 年11月四川巴中经济开发区管理委员会组织编制了《四川巴中经济开 发区规划修编》，规划面积1677.3513hm</w:t>
            </w:r>
            <w:r>
              <w:rPr>
                <w:rFonts w:hint="eastAsia"/>
                <w:vertAlign w:val="superscript"/>
              </w:rPr>
              <w:t>2</w:t>
            </w:r>
            <w:r>
              <w:rPr>
                <w:rFonts w:hint="eastAsia"/>
                <w:lang w:eastAsia="zh-CN"/>
              </w:rPr>
              <w:t>（</w:t>
            </w:r>
            <w:r>
              <w:rPr>
                <w:rFonts w:hint="eastAsia"/>
              </w:rPr>
              <w:t>包括核心区规划面积约1389.9942hm</w:t>
            </w:r>
            <w:r>
              <w:rPr>
                <w:rFonts w:hint="eastAsia"/>
                <w:vertAlign w:val="superscript"/>
              </w:rPr>
              <w:t>2</w:t>
            </w:r>
            <w:r>
              <w:rPr>
                <w:rFonts w:hint="eastAsia"/>
              </w:rPr>
              <w:t>、曾口区块规划面积约191.8105hm</w:t>
            </w:r>
            <w:r>
              <w:rPr>
                <w:rFonts w:hint="eastAsia"/>
                <w:vertAlign w:val="superscript"/>
              </w:rPr>
              <w:t>2</w:t>
            </w:r>
            <w:r>
              <w:rPr>
                <w:rFonts w:hint="eastAsia"/>
              </w:rPr>
              <w:t>及金堂区块规划面积约95.5466hm</w:t>
            </w:r>
            <w:r>
              <w:rPr>
                <w:rFonts w:hint="eastAsia"/>
                <w:vertAlign w:val="superscript"/>
              </w:rPr>
              <w:t>2</w:t>
            </w:r>
            <w:r>
              <w:rPr>
                <w:rFonts w:hint="eastAsia"/>
                <w:lang w:eastAsia="zh-CN"/>
              </w:rPr>
              <w:t>）</w:t>
            </w:r>
            <w:r>
              <w:rPr>
                <w:rFonts w:hint="eastAsia"/>
              </w:rPr>
              <w:t>，以机械、电子、服装为主导产业，辅助发展生物医药、新能源新材料及天然气化工。</w:t>
            </w:r>
          </w:p>
          <w:p w14:paraId="0C130EE8">
            <w:pPr>
              <w:ind w:firstLine="480"/>
              <w:rPr>
                <w:rFonts w:hint="eastAsia"/>
              </w:rPr>
            </w:pPr>
            <w:r>
              <w:rPr>
                <w:rFonts w:hint="eastAsia"/>
              </w:rPr>
              <w:t>根据《四川巴中经济开发区规划修编规划环境影响报告书》及审查意见，提出的意见：</w:t>
            </w:r>
          </w:p>
          <w:p w14:paraId="084D49ED">
            <w:pPr>
              <w:ind w:firstLine="480"/>
              <w:rPr>
                <w:rFonts w:hint="eastAsia"/>
              </w:rPr>
            </w:pPr>
            <w:r>
              <w:rPr>
                <w:rFonts w:hint="eastAsia"/>
              </w:rPr>
              <w:t>（一）严格落实长江经济带“共抓大保护，不搞大开发”的总体要求，坚持生态优先、绿色发展，严格执行《中华人民共和国长江保护法》《四川省嘉陵江流域生态环境保护条例》和长江经济带发展负面清单等法规、政策相关要求，坚持统筹协调、科学规划，严格落实生态环境分区管控要求，以高品质生态环境支撑高质量发展。</w:t>
            </w:r>
          </w:p>
          <w:p w14:paraId="46A2D645">
            <w:pPr>
              <w:ind w:firstLine="480"/>
              <w:rPr>
                <w:rFonts w:hint="eastAsia"/>
              </w:rPr>
            </w:pPr>
            <w:r>
              <w:rPr>
                <w:rFonts w:hint="eastAsia"/>
              </w:rPr>
              <w:t>本项目为</w:t>
            </w:r>
            <w:r>
              <w:rPr>
                <w:rFonts w:hint="eastAsia"/>
                <w:lang w:val="en-US" w:eastAsia="zh-CN"/>
              </w:rPr>
              <w:t>檬子河流域防洪排涝</w:t>
            </w:r>
            <w:r>
              <w:rPr>
                <w:rFonts w:hint="eastAsia"/>
              </w:rPr>
              <w:t>工程，提高</w:t>
            </w:r>
            <w:r>
              <w:rPr>
                <w:rFonts w:hint="eastAsia"/>
                <w:lang w:val="en-US" w:eastAsia="zh-CN"/>
              </w:rPr>
              <w:t>檬子河防洪能力</w:t>
            </w:r>
            <w:r>
              <w:rPr>
                <w:rFonts w:hint="eastAsia"/>
              </w:rPr>
              <w:t>，本项目的建设严格落实生态环境分区管控要求，因此，本项目与四川巴中经济开发区规划相符。</w:t>
            </w:r>
          </w:p>
        </w:tc>
      </w:tr>
      <w:tr w14:paraId="26197F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002" w:type="dxa"/>
            <w:tcMar>
              <w:top w:w="16" w:type="dxa"/>
              <w:left w:w="16" w:type="dxa"/>
              <w:right w:w="16" w:type="dxa"/>
            </w:tcMar>
            <w:vAlign w:val="center"/>
          </w:tcPr>
          <w:p w14:paraId="474AE7D7">
            <w:pPr>
              <w:adjustRightInd w:val="0"/>
              <w:snapToGrid w:val="0"/>
              <w:ind w:firstLine="0" w:firstLineChars="0"/>
              <w:jc w:val="center"/>
            </w:pPr>
            <w:bookmarkStart w:id="3" w:name="_Hlk56690880"/>
            <w:r>
              <w:t>其他符合性分析</w:t>
            </w:r>
          </w:p>
        </w:tc>
        <w:tc>
          <w:tcPr>
            <w:tcW w:w="7017" w:type="dxa"/>
            <w:gridSpan w:val="3"/>
            <w:tcMar>
              <w:top w:w="16" w:type="dxa"/>
              <w:left w:w="16" w:type="dxa"/>
              <w:right w:w="16" w:type="dxa"/>
            </w:tcMar>
            <w:vAlign w:val="center"/>
          </w:tcPr>
          <w:p w14:paraId="1FACF6BA">
            <w:pPr>
              <w:ind w:firstLine="0" w:firstLineChars="0"/>
              <w:rPr>
                <w:b/>
                <w:bCs/>
              </w:rPr>
            </w:pPr>
            <w:r>
              <w:rPr>
                <w:rFonts w:hint="eastAsia"/>
                <w:b/>
                <w:bCs/>
              </w:rPr>
              <w:t>1、产业政策符合性分析</w:t>
            </w:r>
          </w:p>
          <w:p w14:paraId="49820C52">
            <w:pPr>
              <w:ind w:firstLine="480"/>
            </w:pPr>
            <w:r>
              <w:t>根据《国民经济行业分类》（GB/T4754-2017），本项目属于 E4822 河湖治理及防洪设施工程建筑（</w:t>
            </w:r>
            <w:r>
              <w:rPr>
                <w:rFonts w:hint="eastAsia"/>
              </w:rPr>
              <w:t>“</w:t>
            </w:r>
            <w:r>
              <w:t>指水利土石方工程服务：水工建筑物基础处理工程服务、水工大坝工程服务、河湖整治工程服务、堤防工程服务</w:t>
            </w:r>
            <w:r>
              <w:rPr>
                <w:rFonts w:hint="eastAsia"/>
              </w:rPr>
              <w:t>”</w:t>
            </w:r>
            <w:r>
              <w:t>）。本项目符合《产业结构调整指导目录（2024年本）》第一类 鼓励类 中第二条</w:t>
            </w:r>
            <w:r>
              <w:rPr>
                <w:rFonts w:hint="eastAsia"/>
              </w:rPr>
              <w:t>“</w:t>
            </w:r>
            <w:r>
              <w:t>水利</w:t>
            </w:r>
            <w:r>
              <w:rPr>
                <w:rFonts w:hint="eastAsia"/>
              </w:rPr>
              <w:t>”</w:t>
            </w:r>
            <w:r>
              <w:t>、第 3 条</w:t>
            </w:r>
            <w:r>
              <w:rPr>
                <w:rFonts w:hint="eastAsia"/>
              </w:rPr>
              <w:t>“</w:t>
            </w:r>
            <w:r>
              <w:t>江河湖海堤防建设及河道治理工程</w:t>
            </w:r>
            <w:r>
              <w:rPr>
                <w:rFonts w:hint="eastAsia"/>
              </w:rPr>
              <w:t>”</w:t>
            </w:r>
            <w:r>
              <w:t>，同时本项目建设不属于国土资源部国家发展和改革委员会</w:t>
            </w:r>
            <w:r>
              <w:rPr>
                <w:rFonts w:hint="eastAsia"/>
              </w:rPr>
              <w:t>“</w:t>
            </w:r>
            <w:r>
              <w:t>关于发布实施《限制用地项目目录（2012年本）》和《禁止用地项目目录（2012年本）》的通知</w:t>
            </w:r>
            <w:r>
              <w:rPr>
                <w:rFonts w:hint="eastAsia"/>
              </w:rPr>
              <w:t>”</w:t>
            </w:r>
            <w:r>
              <w:t>（国家发展改革委令第 9 号）中规定的项目，工程建设符合国家现行产业政策，因此本项目属于</w:t>
            </w:r>
            <w:r>
              <w:rPr>
                <w:rFonts w:hint="eastAsia"/>
              </w:rPr>
              <w:t>“</w:t>
            </w:r>
            <w:r>
              <w:t>鼓励类</w:t>
            </w:r>
            <w:r>
              <w:rPr>
                <w:rFonts w:hint="eastAsia"/>
              </w:rPr>
              <w:t>”</w:t>
            </w:r>
            <w:r>
              <w:t>项目。</w:t>
            </w:r>
          </w:p>
          <w:p w14:paraId="1D1F7BF6">
            <w:pPr>
              <w:ind w:firstLine="480"/>
            </w:pPr>
            <w:r>
              <w:rPr>
                <w:rFonts w:hint="eastAsia"/>
              </w:rPr>
              <w:t>本项目2025年11月8日取得建设项目用地预审与选址意见书（用字第5119022025XS0017569号）；2025年11月18日取得巴中市发展和改革委员会《关于巴中市檬子河流域水环境综合治理项目（一期）可行性研究报告（代项目建议书）的批复》（巴发改审〔2025〕49号），项目代码：2511-511900-04-01-534832；2026年3月13日取得巴中市发展和改革委员会《关于巴中市檬子河流域水环境综合治理项目（一期）初步设计及概算的批复》（巴发改审〔2026〕16号）。</w:t>
            </w:r>
          </w:p>
          <w:p w14:paraId="5BE33B7F">
            <w:pPr>
              <w:ind w:firstLine="480"/>
            </w:pPr>
            <w:r>
              <w:t>因此，本项目的建设符合国家现行的产业政策。</w:t>
            </w:r>
          </w:p>
          <w:p w14:paraId="376E5AA4">
            <w:pPr>
              <w:ind w:right="120" w:rightChars="50" w:firstLine="0" w:firstLineChars="0"/>
              <w:rPr>
                <w:b/>
                <w:bCs/>
              </w:rPr>
            </w:pPr>
            <w:r>
              <w:rPr>
                <w:rFonts w:hint="eastAsia"/>
                <w:b/>
                <w:bCs/>
              </w:rPr>
              <w:t>2、用地符合性分析</w:t>
            </w:r>
          </w:p>
          <w:p w14:paraId="1F9827D0">
            <w:pPr>
              <w:ind w:firstLine="480"/>
            </w:pPr>
            <w:r>
              <w:rPr>
                <w:rFonts w:hint="eastAsia"/>
              </w:rPr>
              <w:t>本项目总用地</w:t>
            </w:r>
            <w:r>
              <w:rPr>
                <w:rFonts w:hint="eastAsia"/>
                <w:lang w:val="en-US" w:eastAsia="zh-CN"/>
              </w:rPr>
              <w:t>20.94</w:t>
            </w:r>
            <w:r>
              <w:rPr>
                <w:rFonts w:hint="eastAsia"/>
              </w:rPr>
              <w:t>hm²，其中，水域面积8.756hm²（临时占地），陆地面积</w:t>
            </w:r>
            <w:r>
              <w:rPr>
                <w:rFonts w:hint="eastAsia"/>
                <w:lang w:val="en-US" w:eastAsia="zh-CN"/>
              </w:rPr>
              <w:t>12.184</w:t>
            </w:r>
            <w:r>
              <w:rPr>
                <w:rFonts w:hint="eastAsia"/>
              </w:rPr>
              <w:t>hm²（永久占地），占地类型为耕地、建设用地、其他用地、水域及水利设施用地。项目于2025年11月8日取得巴中市自然资源和规划局核发《建设项目用地预审与选址意见书》（用字第5119022025XS0017569号），项目占地范围不涉及基本农田。</w:t>
            </w:r>
          </w:p>
          <w:p w14:paraId="2B3C0F0F">
            <w:pPr>
              <w:ind w:firstLine="480"/>
            </w:pPr>
            <w:r>
              <w:t>结合实际情况和施工需要，需要设置施工工区等</w:t>
            </w:r>
            <w:r>
              <w:rPr>
                <w:rFonts w:hint="eastAsia"/>
              </w:rPr>
              <w:t>临时工程，</w:t>
            </w:r>
            <w:r>
              <w:t>环评要求工程施工期结束后立即进行迹地恢复，以消除工程临时占地对生态环境的影响。本项目不涉及占用</w:t>
            </w:r>
            <w:r>
              <w:rPr>
                <w:rFonts w:hint="eastAsia"/>
              </w:rPr>
              <w:t>巴州区</w:t>
            </w:r>
            <w:r>
              <w:t>生态保护红线、基本农田等禁止用地。符合用地要求。</w:t>
            </w:r>
          </w:p>
          <w:p w14:paraId="3A1A8AA4">
            <w:pPr>
              <w:ind w:firstLine="0" w:firstLineChars="0"/>
              <w:rPr>
                <w:b/>
                <w:bCs/>
              </w:rPr>
            </w:pPr>
            <w:r>
              <w:rPr>
                <w:rFonts w:hint="eastAsia"/>
                <w:b/>
                <w:bCs/>
              </w:rPr>
              <w:t>3</w:t>
            </w:r>
            <w:r>
              <w:rPr>
                <w:b/>
                <w:bCs/>
              </w:rPr>
              <w:t>、与《中华人民共和国长江保护法》符合性</w:t>
            </w:r>
            <w:r>
              <w:rPr>
                <w:rFonts w:hint="eastAsia"/>
                <w:b/>
                <w:bCs/>
              </w:rPr>
              <w:t>分析</w:t>
            </w:r>
          </w:p>
          <w:p w14:paraId="27458767">
            <w:pPr>
              <w:ind w:firstLine="480"/>
            </w:pPr>
            <w:r>
              <w:t>中华人民共和国长江保护法》第三条长江流域经济社会发展，应当坚持生态优先、绿色发展，共抓大保护、不搞大开发；长江保护应当坚持统筹协调、科学规划、创新驱动、系统治理。</w:t>
            </w:r>
          </w:p>
          <w:p w14:paraId="31683B62">
            <w:pPr>
              <w:ind w:firstLine="480"/>
            </w:pPr>
            <w:r>
              <w:t>第二十九条长江流域水资源保护与利用，应当根据流域综合规划，优先满足城乡居民生活用水，保障基本生态用水，并统筹农业、工业用水以及航运等需要。</w:t>
            </w:r>
          </w:p>
          <w:p w14:paraId="06BAE497">
            <w:pPr>
              <w:ind w:firstLine="480"/>
            </w:pPr>
            <w:r>
              <w:t>第三十一条国家加强长江流域生态用水保障中提出，长江干流、重要支流和重要湖泊上游的水利水电、航运枢纽等工程应当将生态用水调度纳入日常运行调度规程，建立常规生态调度机制，保证河湖生态流量。</w:t>
            </w:r>
          </w:p>
          <w:p w14:paraId="4AE01AFE">
            <w:pPr>
              <w:ind w:firstLine="480"/>
            </w:pPr>
            <w:r>
              <w:t>第三十五条长江流域县级以上地方人民政府及其有关部门应当合理布局饮用水水源取水口，制定饮用水安全突发事件应急预案，加强饮用水备用应急水源建设，对饮用水水源的水环境质量进行实时监测。</w:t>
            </w:r>
          </w:p>
          <w:p w14:paraId="31105813">
            <w:pPr>
              <w:ind w:firstLine="480"/>
            </w:pPr>
            <w:r>
              <w:t>第五十九条在长江流域水生生物产卵场、索饵场、越冬场和洄游通道等重要栖息地应当实施生态环境修复和其他保护措施。对鱼类等水生生物洄游产生阻隔的涉水工程应当结合实际采取建设过鱼设施、河湖连通、生态调度、灌江纳苗、基因保存、增殖放流、人工繁育等多种措施，充分满足水生生物的生态需求。</w:t>
            </w:r>
          </w:p>
          <w:p w14:paraId="5B0FA92B">
            <w:pPr>
              <w:widowControl/>
              <w:ind w:firstLine="480"/>
              <w:jc w:val="left"/>
            </w:pPr>
            <w:r>
              <w:t>巴中市檬子河流域水环境综合治理项目（一期）通过</w:t>
            </w:r>
            <w:r>
              <w:rPr>
                <w:rFonts w:hint="eastAsia"/>
                <w:kern w:val="0"/>
                <w:lang w:eastAsia="zh-CN" w:bidi="ar"/>
              </w:rPr>
              <w:t>生态景观控流闸</w:t>
            </w:r>
            <w:r>
              <w:rPr>
                <w:kern w:val="0"/>
                <w:lang w:bidi="ar"/>
              </w:rPr>
              <w:t>、生态护岸、生态隔离带、生态步道及护栏3公里等配套设施的建设，实现檬子河河道水环境、水生态、水安全系统化治理；项目新建闸坝，常态生态蓄水位为346.00m，可消除河道季节性断流问题，将生态用水调度纳入工程运行管理，建立常态化生态调度机制，优先保障河道基本生态用水。</w:t>
            </w:r>
          </w:p>
          <w:p w14:paraId="742B3259">
            <w:pPr>
              <w:ind w:firstLine="480"/>
            </w:pPr>
            <w:r>
              <w:rPr>
                <w:rFonts w:hint="eastAsia"/>
              </w:rPr>
              <w:t>根据巴中市农业农村局“关于《</w:t>
            </w:r>
            <w:r>
              <w:t>巴中市檬子河流域水环境综合治理项目（一期）</w:t>
            </w:r>
            <w:r>
              <w:rPr>
                <w:rFonts w:hint="eastAsia"/>
              </w:rPr>
              <w:t>》是否涉及重要水生生物自然保护区、水产种质资源保护区及珍惜鱼类‘</w:t>
            </w:r>
            <w:r>
              <w:rPr>
                <w:rFonts w:hint="eastAsia"/>
                <w:lang w:eastAsia="zh-CN"/>
              </w:rPr>
              <w:t>三场一通道</w:t>
            </w:r>
            <w:r>
              <w:rPr>
                <w:rFonts w:hint="eastAsia"/>
              </w:rPr>
              <w:t>’情况”的复函，本项目不涉及重要水生生物自然保护区、水产种质资源保护区及珍惜鱼类“</w:t>
            </w:r>
            <w:r>
              <w:rPr>
                <w:rFonts w:hint="eastAsia"/>
                <w:lang w:eastAsia="zh-CN"/>
              </w:rPr>
              <w:t>三场一通道</w:t>
            </w:r>
            <w:r>
              <w:rPr>
                <w:rFonts w:hint="eastAsia"/>
              </w:rPr>
              <w:t>”。同时，工程建设为尽量降低工程实施对评价河段水生生物及其生境的影响，采取了相关的生态保护措施。故，工程建设符合《中华人民共和国长江保护法》的相关要求。</w:t>
            </w:r>
          </w:p>
          <w:p w14:paraId="38376D0E">
            <w:pPr>
              <w:ind w:firstLine="0" w:firstLineChars="0"/>
              <w:rPr>
                <w:b/>
                <w:bCs/>
              </w:rPr>
            </w:pPr>
            <w:r>
              <w:rPr>
                <w:rFonts w:hint="eastAsia"/>
                <w:b/>
                <w:bCs/>
              </w:rPr>
              <w:t>4、与《四川省、重庆市长江经济带发展负面清单实施细则（试行，2022年版）》符合性分析</w:t>
            </w:r>
          </w:p>
          <w:p w14:paraId="415F9212">
            <w:pPr>
              <w:ind w:firstLine="0" w:firstLineChars="0"/>
              <w:jc w:val="center"/>
              <w:rPr>
                <w:b/>
                <w:bCs/>
                <w:sz w:val="21"/>
                <w:szCs w:val="21"/>
              </w:rPr>
            </w:pPr>
            <w:r>
              <w:rPr>
                <w:rFonts w:hint="eastAsia"/>
                <w:b/>
                <w:bCs/>
                <w:sz w:val="21"/>
                <w:szCs w:val="21"/>
              </w:rPr>
              <w:t>表1-3  本项目与《四川省、重庆市长江经济带发展负面清单实施细则（试行，2022年版）》符合性分析一览表</w:t>
            </w:r>
          </w:p>
          <w:tbl>
            <w:tblPr>
              <w:tblStyle w:val="19"/>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3280"/>
              <w:gridCol w:w="1773"/>
              <w:gridCol w:w="655"/>
            </w:tblGrid>
            <w:tr w14:paraId="0669F9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49" w:type="dxa"/>
                  <w:tcBorders>
                    <w:tl2br w:val="nil"/>
                    <w:tr2bl w:val="nil"/>
                  </w:tcBorders>
                  <w:vAlign w:val="center"/>
                </w:tcPr>
                <w:p w14:paraId="0A738A2B">
                  <w:pPr>
                    <w:pStyle w:val="16"/>
                    <w:widowControl w:val="0"/>
                    <w:spacing w:before="0" w:beforeAutospacing="0" w:after="0" w:afterAutospacing="0" w:line="276" w:lineRule="auto"/>
                    <w:ind w:firstLine="0" w:firstLineChars="0"/>
                    <w:jc w:val="center"/>
                    <w:rPr>
                      <w:b/>
                      <w:bCs/>
                      <w:sz w:val="21"/>
                      <w:szCs w:val="21"/>
                    </w:rPr>
                  </w:pPr>
                  <w:r>
                    <w:rPr>
                      <w:rFonts w:hint="eastAsia"/>
                      <w:b/>
                      <w:bCs/>
                      <w:sz w:val="21"/>
                      <w:szCs w:val="21"/>
                    </w:rPr>
                    <w:t>政策名称</w:t>
                  </w:r>
                </w:p>
              </w:tc>
              <w:tc>
                <w:tcPr>
                  <w:tcW w:w="3280" w:type="dxa"/>
                  <w:tcBorders>
                    <w:tl2br w:val="nil"/>
                    <w:tr2bl w:val="nil"/>
                  </w:tcBorders>
                  <w:vAlign w:val="center"/>
                </w:tcPr>
                <w:p w14:paraId="0D884DFE">
                  <w:pPr>
                    <w:pStyle w:val="16"/>
                    <w:widowControl w:val="0"/>
                    <w:spacing w:before="0" w:beforeAutospacing="0" w:after="0" w:afterAutospacing="0" w:line="276" w:lineRule="auto"/>
                    <w:ind w:firstLine="0" w:firstLineChars="0"/>
                    <w:jc w:val="center"/>
                    <w:rPr>
                      <w:b/>
                      <w:bCs/>
                      <w:sz w:val="21"/>
                      <w:szCs w:val="21"/>
                    </w:rPr>
                  </w:pPr>
                  <w:r>
                    <w:rPr>
                      <w:rFonts w:hint="eastAsia"/>
                      <w:b/>
                      <w:bCs/>
                      <w:sz w:val="21"/>
                      <w:szCs w:val="21"/>
                    </w:rPr>
                    <w:t>具体要求</w:t>
                  </w:r>
                </w:p>
              </w:tc>
              <w:tc>
                <w:tcPr>
                  <w:tcW w:w="1773" w:type="dxa"/>
                  <w:tcBorders>
                    <w:tl2br w:val="nil"/>
                    <w:tr2bl w:val="nil"/>
                  </w:tcBorders>
                  <w:vAlign w:val="center"/>
                </w:tcPr>
                <w:p w14:paraId="4124CFDB">
                  <w:pPr>
                    <w:pStyle w:val="16"/>
                    <w:widowControl w:val="0"/>
                    <w:spacing w:before="0" w:beforeAutospacing="0" w:after="0" w:afterAutospacing="0" w:line="276" w:lineRule="auto"/>
                    <w:ind w:firstLine="0" w:firstLineChars="0"/>
                    <w:jc w:val="center"/>
                    <w:rPr>
                      <w:b/>
                      <w:bCs/>
                      <w:sz w:val="21"/>
                      <w:szCs w:val="21"/>
                    </w:rPr>
                  </w:pPr>
                  <w:r>
                    <w:rPr>
                      <w:rFonts w:hint="eastAsia"/>
                      <w:b/>
                      <w:bCs/>
                      <w:sz w:val="21"/>
                      <w:szCs w:val="21"/>
                    </w:rPr>
                    <w:t>本工程情况</w:t>
                  </w:r>
                </w:p>
              </w:tc>
              <w:tc>
                <w:tcPr>
                  <w:tcW w:w="655" w:type="dxa"/>
                  <w:tcBorders>
                    <w:tl2br w:val="nil"/>
                    <w:tr2bl w:val="nil"/>
                  </w:tcBorders>
                  <w:vAlign w:val="center"/>
                </w:tcPr>
                <w:p w14:paraId="3C46E272">
                  <w:pPr>
                    <w:pStyle w:val="16"/>
                    <w:widowControl w:val="0"/>
                    <w:spacing w:before="0" w:beforeAutospacing="0" w:after="0" w:afterAutospacing="0" w:line="276" w:lineRule="auto"/>
                    <w:ind w:firstLine="0" w:firstLineChars="0"/>
                    <w:jc w:val="center"/>
                    <w:rPr>
                      <w:b/>
                      <w:bCs/>
                      <w:sz w:val="21"/>
                      <w:szCs w:val="21"/>
                    </w:rPr>
                  </w:pPr>
                  <w:r>
                    <w:rPr>
                      <w:rFonts w:hint="eastAsia"/>
                      <w:b/>
                      <w:bCs/>
                      <w:sz w:val="21"/>
                      <w:szCs w:val="21"/>
                    </w:rPr>
                    <w:t>符合性</w:t>
                  </w:r>
                </w:p>
              </w:tc>
            </w:tr>
            <w:tr w14:paraId="6CD028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49" w:type="dxa"/>
                  <w:vMerge w:val="restart"/>
                  <w:tcBorders>
                    <w:tl2br w:val="nil"/>
                    <w:tr2bl w:val="nil"/>
                  </w:tcBorders>
                  <w:vAlign w:val="center"/>
                </w:tcPr>
                <w:p w14:paraId="2A9ECF0F">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《四川省、重庆市长江经济带发展负面清单实施细则》（试行，2022年版）（川长江办〔2022〕17号）</w:t>
                  </w:r>
                </w:p>
              </w:tc>
              <w:tc>
                <w:tcPr>
                  <w:tcW w:w="3280" w:type="dxa"/>
                  <w:tcBorders>
                    <w:tl2br w:val="nil"/>
                    <w:tr2bl w:val="nil"/>
                  </w:tcBorders>
                  <w:vAlign w:val="center"/>
                </w:tcPr>
                <w:p w14:paraId="297A2E8B">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第五条禁止新建、改建和扩建不符合《全国内河航道与港口布局规划》等全国港口规划，以及《四川省内河水运发展规划》《泸州一宜宾一乐山港口群布局规划》《重庆港总体规划（2035年）》等省级港口布局规划及市级港口总体规划的码头项目。第六条禁止新建、改建和扩建不符合《长江干线过江通道布局规划（2020-2035年）》的过长江通道项目（含桥梁隧道），国家发展改革委同意过长江通道线位调整的除外。</w:t>
                  </w:r>
                </w:p>
              </w:tc>
              <w:tc>
                <w:tcPr>
                  <w:tcW w:w="1773" w:type="dxa"/>
                  <w:tcBorders>
                    <w:tl2br w:val="nil"/>
                    <w:tr2bl w:val="nil"/>
                  </w:tcBorders>
                  <w:vAlign w:val="center"/>
                </w:tcPr>
                <w:p w14:paraId="4F5857E5">
                  <w:pPr>
                    <w:pStyle w:val="16"/>
                    <w:widowControl w:val="0"/>
                    <w:spacing w:before="0" w:beforeAutospacing="0" w:after="0" w:afterAutospacing="0" w:line="276" w:lineRule="auto"/>
                    <w:ind w:firstLine="0" w:firstLineChars="0"/>
                    <w:jc w:val="center"/>
                    <w:rPr>
                      <w:sz w:val="21"/>
                      <w:szCs w:val="21"/>
                    </w:rPr>
                  </w:pPr>
                  <w:r>
                    <w:rPr>
                      <w:rFonts w:hint="eastAsia"/>
                      <w:sz w:val="21"/>
                      <w:szCs w:val="21"/>
                    </w:rPr>
                    <w:t>本工程属于</w:t>
                  </w:r>
                  <w:r>
                    <w:rPr>
                      <w:rFonts w:hint="eastAsia"/>
                      <w:sz w:val="21"/>
                      <w:szCs w:val="21"/>
                      <w:lang w:eastAsia="zh-CN"/>
                    </w:rPr>
                    <w:t>防洪除涝</w:t>
                  </w:r>
                  <w:r>
                    <w:rPr>
                      <w:rFonts w:hint="eastAsia"/>
                      <w:sz w:val="21"/>
                      <w:szCs w:val="21"/>
                    </w:rPr>
                    <w:t>工程，不属于港口、码头及过长江通道项目。</w:t>
                  </w:r>
                </w:p>
              </w:tc>
              <w:tc>
                <w:tcPr>
                  <w:tcW w:w="655" w:type="dxa"/>
                  <w:tcBorders>
                    <w:tl2br w:val="nil"/>
                    <w:tr2bl w:val="nil"/>
                  </w:tcBorders>
                  <w:vAlign w:val="center"/>
                </w:tcPr>
                <w:p w14:paraId="0B30DE63">
                  <w:pPr>
                    <w:pStyle w:val="16"/>
                    <w:widowControl w:val="0"/>
                    <w:spacing w:before="0" w:beforeAutospacing="0" w:after="0" w:afterAutospacing="0" w:line="276" w:lineRule="auto"/>
                    <w:ind w:firstLine="0" w:firstLineChars="0"/>
                    <w:jc w:val="center"/>
                    <w:rPr>
                      <w:sz w:val="21"/>
                      <w:szCs w:val="21"/>
                    </w:rPr>
                  </w:pPr>
                  <w:r>
                    <w:rPr>
                      <w:rFonts w:hint="eastAsia"/>
                      <w:sz w:val="21"/>
                      <w:szCs w:val="21"/>
                    </w:rPr>
                    <w:t>符合</w:t>
                  </w:r>
                </w:p>
              </w:tc>
            </w:tr>
            <w:tr w14:paraId="52C1EE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49" w:type="dxa"/>
                  <w:vMerge w:val="continue"/>
                  <w:tcBorders>
                    <w:tl2br w:val="nil"/>
                    <w:tr2bl w:val="nil"/>
                  </w:tcBorders>
                  <w:vAlign w:val="center"/>
                </w:tcPr>
                <w:p w14:paraId="08B05FA0">
                  <w:pPr>
                    <w:pStyle w:val="16"/>
                    <w:widowControl w:val="0"/>
                    <w:spacing w:before="0" w:beforeAutospacing="0" w:after="0" w:afterAutospacing="0" w:line="276" w:lineRule="auto"/>
                    <w:ind w:firstLine="0" w:firstLineChars="0"/>
                    <w:jc w:val="center"/>
                    <w:rPr>
                      <w:rFonts w:ascii="Times New Roman" w:hAnsi="Times New Roman"/>
                      <w:sz w:val="21"/>
                      <w:szCs w:val="21"/>
                    </w:rPr>
                  </w:pPr>
                </w:p>
              </w:tc>
              <w:tc>
                <w:tcPr>
                  <w:tcW w:w="3280" w:type="dxa"/>
                  <w:tcBorders>
                    <w:tl2br w:val="nil"/>
                    <w:tr2bl w:val="nil"/>
                  </w:tcBorders>
                  <w:vAlign w:val="center"/>
                </w:tcPr>
                <w:p w14:paraId="71512BCD">
                  <w:pPr>
                    <w:pStyle w:val="16"/>
                    <w:widowControl w:val="0"/>
                    <w:spacing w:before="0" w:beforeAutospacing="0" w:after="0" w:afterAutospacing="0" w:line="276" w:lineRule="auto"/>
                    <w:ind w:firstLine="0" w:firstLineChars="0"/>
                    <w:jc w:val="both"/>
                    <w:rPr>
                      <w:sz w:val="21"/>
                      <w:szCs w:val="21"/>
                    </w:rPr>
                  </w:pPr>
                  <w:r>
                    <w:rPr>
                      <w:rFonts w:hint="eastAsia"/>
                      <w:sz w:val="21"/>
                      <w:szCs w:val="21"/>
                    </w:rPr>
                    <w:t>第七条禁止在自然保护区核心区、缓冲区的岸线和河段范围内投资建设旅游和生产经营项目。自然保护区的内部未分区的，依照本实施细则核心区和缓冲区的规定管控。</w:t>
                  </w:r>
                </w:p>
                <w:p w14:paraId="520A5DE5">
                  <w:pPr>
                    <w:pStyle w:val="16"/>
                    <w:widowControl w:val="0"/>
                    <w:spacing w:before="0" w:beforeAutospacing="0" w:after="0" w:afterAutospacing="0" w:line="276" w:lineRule="auto"/>
                    <w:ind w:firstLine="0" w:firstLineChars="0"/>
                    <w:jc w:val="both"/>
                    <w:rPr>
                      <w:sz w:val="21"/>
                      <w:szCs w:val="21"/>
                    </w:rPr>
                  </w:pPr>
                  <w:r>
                    <w:rPr>
                      <w:rFonts w:hint="eastAsia"/>
                      <w:sz w:val="21"/>
                      <w:szCs w:val="21"/>
                    </w:rPr>
                    <w:t>第八条禁止违反风景名胜区规划，在风景名胜区内设立各类开发区。禁止在风景名胜区核心景区的岸线和河段范围内建设宾馆、招待所、培训中心、疗养院以及与风景名胜资源保护无关的项目。</w:t>
                  </w:r>
                </w:p>
              </w:tc>
              <w:tc>
                <w:tcPr>
                  <w:tcW w:w="1773" w:type="dxa"/>
                  <w:tcBorders>
                    <w:tl2br w:val="nil"/>
                    <w:tr2bl w:val="nil"/>
                  </w:tcBorders>
                  <w:vAlign w:val="center"/>
                </w:tcPr>
                <w:p w14:paraId="72C0EEEF">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hint="eastAsia" w:ascii="Times New Roman" w:hAnsi="Times New Roman"/>
                      <w:sz w:val="21"/>
                      <w:szCs w:val="21"/>
                    </w:rPr>
                    <w:t>本项目位于巴中市巴州区檬子河流域，不涉及自然保护区、风景名胜区。</w:t>
                  </w:r>
                </w:p>
              </w:tc>
              <w:tc>
                <w:tcPr>
                  <w:tcW w:w="655" w:type="dxa"/>
                  <w:tcBorders>
                    <w:tl2br w:val="nil"/>
                    <w:tr2bl w:val="nil"/>
                  </w:tcBorders>
                  <w:vAlign w:val="center"/>
                </w:tcPr>
                <w:p w14:paraId="6E9B315F">
                  <w:pPr>
                    <w:pStyle w:val="16"/>
                    <w:widowControl w:val="0"/>
                    <w:spacing w:before="0" w:beforeAutospacing="0" w:after="0" w:afterAutospacing="0" w:line="276" w:lineRule="auto"/>
                    <w:ind w:firstLine="0" w:firstLineChars="0"/>
                    <w:jc w:val="center"/>
                    <w:rPr>
                      <w:sz w:val="21"/>
                      <w:szCs w:val="21"/>
                    </w:rPr>
                  </w:pPr>
                  <w:r>
                    <w:rPr>
                      <w:rFonts w:hint="eastAsia"/>
                      <w:sz w:val="21"/>
                      <w:szCs w:val="21"/>
                    </w:rPr>
                    <w:t>符合</w:t>
                  </w:r>
                </w:p>
              </w:tc>
            </w:tr>
            <w:tr w14:paraId="063288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49" w:type="dxa"/>
                  <w:vMerge w:val="continue"/>
                  <w:tcBorders>
                    <w:tl2br w:val="nil"/>
                    <w:tr2bl w:val="nil"/>
                  </w:tcBorders>
                  <w:vAlign w:val="center"/>
                </w:tcPr>
                <w:p w14:paraId="74F0B1C8">
                  <w:pPr>
                    <w:pStyle w:val="16"/>
                    <w:widowControl w:val="0"/>
                    <w:spacing w:before="0" w:beforeAutospacing="0" w:after="0" w:afterAutospacing="0" w:line="276" w:lineRule="auto"/>
                    <w:ind w:firstLine="0" w:firstLineChars="0"/>
                    <w:jc w:val="center"/>
                    <w:rPr>
                      <w:rFonts w:ascii="Times New Roman" w:hAnsi="Times New Roman"/>
                      <w:sz w:val="21"/>
                      <w:szCs w:val="21"/>
                    </w:rPr>
                  </w:pPr>
                </w:p>
              </w:tc>
              <w:tc>
                <w:tcPr>
                  <w:tcW w:w="3280" w:type="dxa"/>
                  <w:tcBorders>
                    <w:tl2br w:val="nil"/>
                    <w:tr2bl w:val="nil"/>
                  </w:tcBorders>
                  <w:vAlign w:val="center"/>
                </w:tcPr>
                <w:p w14:paraId="50E13FCA">
                  <w:pPr>
                    <w:pStyle w:val="16"/>
                    <w:widowControl w:val="0"/>
                    <w:spacing w:before="0" w:beforeAutospacing="0" w:after="0" w:afterAutospacing="0" w:line="276" w:lineRule="auto"/>
                    <w:ind w:firstLine="0" w:firstLineChars="0"/>
                    <w:jc w:val="both"/>
                    <w:rPr>
                      <w:sz w:val="21"/>
                      <w:szCs w:val="21"/>
                    </w:rPr>
                  </w:pPr>
                  <w:r>
                    <w:rPr>
                      <w:rFonts w:hint="eastAsia"/>
                      <w:sz w:val="21"/>
                      <w:szCs w:val="21"/>
                    </w:rPr>
                    <w:t>第九条禁止在饮用水水源准保护区的岸线和河段范围内新建、扩建对水体污染严重的建设项目，禁止改建增加排污量的建设项目。</w:t>
                  </w:r>
                </w:p>
                <w:p w14:paraId="6C590537">
                  <w:pPr>
                    <w:pStyle w:val="16"/>
                    <w:widowControl w:val="0"/>
                    <w:spacing w:before="0" w:beforeAutospacing="0" w:after="0" w:afterAutospacing="0" w:line="276" w:lineRule="auto"/>
                    <w:ind w:firstLine="0" w:firstLineChars="0"/>
                    <w:jc w:val="both"/>
                    <w:rPr>
                      <w:sz w:val="21"/>
                      <w:szCs w:val="21"/>
                    </w:rPr>
                  </w:pPr>
                  <w:r>
                    <w:rPr>
                      <w:rFonts w:hint="eastAsia"/>
                      <w:sz w:val="21"/>
                      <w:szCs w:val="21"/>
                    </w:rPr>
                    <w:t>第十条饮用水水源二级保护区的岸线和河段范围内，除应遵守准保护区规定外，禁止新建、改建、扩建排放污染物的投资建设项目；禁止从事采石（砂）、对水体有污染的水产养殖等活动。</w:t>
                  </w:r>
                </w:p>
                <w:p w14:paraId="2E2A1135">
                  <w:pPr>
                    <w:pStyle w:val="16"/>
                    <w:widowControl w:val="0"/>
                    <w:spacing w:before="0" w:beforeAutospacing="0" w:after="0" w:afterAutospacing="0" w:line="276" w:lineRule="auto"/>
                    <w:ind w:firstLine="0" w:firstLineChars="0"/>
                    <w:jc w:val="both"/>
                    <w:rPr>
                      <w:sz w:val="21"/>
                      <w:szCs w:val="21"/>
                    </w:rPr>
                  </w:pPr>
                  <w:r>
                    <w:rPr>
                      <w:rFonts w:hint="eastAsia"/>
                      <w:sz w:val="21"/>
                      <w:szCs w:val="21"/>
                    </w:rPr>
                    <w:t>第十一条饮用水水源一级保护区的岸线和河段范围内，除应遵守二级保护区规定外，禁止新建、改建、扩建与供（取）水设施和保护水源无关的项目，以及网箱养殖、畜禽养殖旅游等可能污染饮用水水体的投资建设项目。</w:t>
                  </w:r>
                </w:p>
              </w:tc>
              <w:tc>
                <w:tcPr>
                  <w:tcW w:w="1773" w:type="dxa"/>
                  <w:tcBorders>
                    <w:tl2br w:val="nil"/>
                    <w:tr2bl w:val="nil"/>
                  </w:tcBorders>
                  <w:vAlign w:val="center"/>
                </w:tcPr>
                <w:p w14:paraId="1EE2EC68">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根据巴中市巴州生态环境局关于</w:t>
                  </w:r>
                  <w:r>
                    <w:rPr>
                      <w:rFonts w:hint="eastAsia" w:ascii="Times New Roman" w:hAnsi="Times New Roman"/>
                      <w:sz w:val="21"/>
                      <w:szCs w:val="21"/>
                    </w:rPr>
                    <w:t>“</w:t>
                  </w:r>
                  <w:r>
                    <w:rPr>
                      <w:rFonts w:ascii="Times New Roman" w:hAnsi="Times New Roman"/>
                      <w:sz w:val="21"/>
                      <w:szCs w:val="21"/>
                    </w:rPr>
                    <w:t>《关于申请核查巴中市檬子河流域水环境综合治理项目（一期）是否涉及</w:t>
                  </w:r>
                  <w:r>
                    <w:rPr>
                      <w:rFonts w:hint="eastAsia" w:ascii="Times New Roman" w:hAnsi="Times New Roman"/>
                      <w:sz w:val="21"/>
                      <w:szCs w:val="21"/>
                    </w:rPr>
                    <w:t>‘</w:t>
                  </w:r>
                  <w:r>
                    <w:rPr>
                      <w:rFonts w:ascii="Times New Roman" w:hAnsi="Times New Roman"/>
                      <w:sz w:val="21"/>
                      <w:szCs w:val="21"/>
                    </w:rPr>
                    <w:t>饮用水水源保护区</w:t>
                  </w:r>
                  <w:r>
                    <w:rPr>
                      <w:rFonts w:hint="eastAsia" w:ascii="Times New Roman" w:hAnsi="Times New Roman"/>
                      <w:sz w:val="21"/>
                      <w:szCs w:val="21"/>
                    </w:rPr>
                    <w:t>’</w:t>
                  </w:r>
                  <w:r>
                    <w:rPr>
                      <w:rFonts w:ascii="Times New Roman" w:hAnsi="Times New Roman"/>
                      <w:sz w:val="21"/>
                      <w:szCs w:val="21"/>
                    </w:rPr>
                    <w:t>情况的函》</w:t>
                  </w:r>
                  <w:r>
                    <w:rPr>
                      <w:rFonts w:hint="eastAsia" w:ascii="Times New Roman" w:hAnsi="Times New Roman"/>
                      <w:sz w:val="21"/>
                      <w:szCs w:val="21"/>
                    </w:rPr>
                    <w:t>”</w:t>
                  </w:r>
                  <w:r>
                    <w:rPr>
                      <w:rFonts w:ascii="Times New Roman" w:hAnsi="Times New Roman"/>
                      <w:sz w:val="21"/>
                      <w:szCs w:val="21"/>
                    </w:rPr>
                    <w:t>的复函，本项目选址不涉及饮用水水源保护区。</w:t>
                  </w:r>
                </w:p>
              </w:tc>
              <w:tc>
                <w:tcPr>
                  <w:tcW w:w="655" w:type="dxa"/>
                  <w:tcBorders>
                    <w:tl2br w:val="nil"/>
                    <w:tr2bl w:val="nil"/>
                  </w:tcBorders>
                  <w:vAlign w:val="center"/>
                </w:tcPr>
                <w:p w14:paraId="02941692">
                  <w:pPr>
                    <w:pStyle w:val="16"/>
                    <w:widowControl w:val="0"/>
                    <w:spacing w:before="0" w:beforeAutospacing="0" w:after="0" w:afterAutospacing="0" w:line="276" w:lineRule="auto"/>
                    <w:ind w:firstLine="0" w:firstLineChars="0"/>
                    <w:jc w:val="center"/>
                    <w:rPr>
                      <w:sz w:val="21"/>
                      <w:szCs w:val="21"/>
                    </w:rPr>
                  </w:pPr>
                  <w:r>
                    <w:rPr>
                      <w:rFonts w:hint="eastAsia"/>
                      <w:sz w:val="21"/>
                      <w:szCs w:val="21"/>
                    </w:rPr>
                    <w:t>符合</w:t>
                  </w:r>
                </w:p>
              </w:tc>
            </w:tr>
            <w:tr w14:paraId="3AF0FA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49" w:type="dxa"/>
                  <w:vMerge w:val="continue"/>
                  <w:tcBorders>
                    <w:tl2br w:val="nil"/>
                    <w:tr2bl w:val="nil"/>
                  </w:tcBorders>
                  <w:vAlign w:val="center"/>
                </w:tcPr>
                <w:p w14:paraId="5BB5F470">
                  <w:pPr>
                    <w:pStyle w:val="16"/>
                    <w:widowControl w:val="0"/>
                    <w:spacing w:before="0" w:beforeAutospacing="0" w:after="0" w:afterAutospacing="0" w:line="276" w:lineRule="auto"/>
                    <w:ind w:firstLine="0" w:firstLineChars="0"/>
                    <w:jc w:val="center"/>
                    <w:rPr>
                      <w:rFonts w:ascii="Times New Roman" w:hAnsi="Times New Roman"/>
                      <w:sz w:val="21"/>
                      <w:szCs w:val="21"/>
                    </w:rPr>
                  </w:pPr>
                </w:p>
              </w:tc>
              <w:tc>
                <w:tcPr>
                  <w:tcW w:w="3280" w:type="dxa"/>
                  <w:tcBorders>
                    <w:tl2br w:val="nil"/>
                    <w:tr2bl w:val="nil"/>
                  </w:tcBorders>
                  <w:vAlign w:val="center"/>
                </w:tcPr>
                <w:p w14:paraId="6E6F5BB8">
                  <w:pPr>
                    <w:pStyle w:val="16"/>
                    <w:widowControl w:val="0"/>
                    <w:spacing w:before="0" w:beforeAutospacing="0" w:after="0" w:afterAutospacing="0" w:line="276" w:lineRule="auto"/>
                    <w:ind w:firstLine="0" w:firstLineChars="0"/>
                    <w:jc w:val="both"/>
                    <w:rPr>
                      <w:sz w:val="21"/>
                      <w:szCs w:val="21"/>
                    </w:rPr>
                  </w:pPr>
                  <w:r>
                    <w:rPr>
                      <w:rFonts w:hint="eastAsia"/>
                      <w:sz w:val="21"/>
                      <w:szCs w:val="21"/>
                    </w:rPr>
                    <w:t>第十二条禁止在水产种质资源保护区岸线和河段范围内新建围湖造田、围湖造地或挖沙采石等投资建设项目。</w:t>
                  </w:r>
                </w:p>
                <w:p w14:paraId="411E9A1B">
                  <w:pPr>
                    <w:pStyle w:val="16"/>
                    <w:widowControl w:val="0"/>
                    <w:spacing w:before="0" w:beforeAutospacing="0" w:after="0" w:afterAutospacing="0" w:line="276" w:lineRule="auto"/>
                    <w:ind w:firstLine="0" w:firstLineChars="0"/>
                    <w:jc w:val="both"/>
                    <w:rPr>
                      <w:sz w:val="21"/>
                      <w:szCs w:val="21"/>
                    </w:rPr>
                  </w:pPr>
                  <w:r>
                    <w:rPr>
                      <w:rFonts w:hint="eastAsia"/>
                      <w:sz w:val="21"/>
                      <w:szCs w:val="21"/>
                    </w:rPr>
                    <w:t>第十三条禁止在国家湿地公园的岸线和河段范围内开（围）垦、填埋或者排干湿地，截断湿地水源，挖沙、采矿，倾倒有毒有害物质、废弃物、垃圾，从事房地产、度假村、高尔夫球场、风力发电、光伏发电等任何不符合主体功能定位的建设项目和开发活动，破坏野生动物栖息地和迁徙通道、鱼类洄游通道。</w:t>
                  </w:r>
                </w:p>
              </w:tc>
              <w:tc>
                <w:tcPr>
                  <w:tcW w:w="1773" w:type="dxa"/>
                  <w:tcBorders>
                    <w:tl2br w:val="nil"/>
                    <w:tr2bl w:val="nil"/>
                  </w:tcBorders>
                  <w:vAlign w:val="center"/>
                </w:tcPr>
                <w:p w14:paraId="4E0AC5D0">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根据巴中市农业农村局</w:t>
                  </w:r>
                  <w:r>
                    <w:rPr>
                      <w:rFonts w:hint="eastAsia" w:ascii="Times New Roman" w:hAnsi="Times New Roman"/>
                      <w:sz w:val="21"/>
                      <w:szCs w:val="21"/>
                    </w:rPr>
                    <w:t>“</w:t>
                  </w:r>
                  <w:r>
                    <w:rPr>
                      <w:rFonts w:ascii="Times New Roman" w:hAnsi="Times New Roman"/>
                      <w:sz w:val="21"/>
                      <w:szCs w:val="21"/>
                    </w:rPr>
                    <w:t>关于《巴中市檬子河流域水环境综合治理项目（一期）》是否涉及重要水生生物自然保护区、水产种质资源保护区及珍惜鱼类‘</w:t>
                  </w:r>
                  <w:r>
                    <w:rPr>
                      <w:rFonts w:hint="eastAsia" w:ascii="Times New Roman" w:hAnsi="Times New Roman"/>
                      <w:sz w:val="21"/>
                      <w:szCs w:val="21"/>
                      <w:lang w:eastAsia="zh-CN"/>
                    </w:rPr>
                    <w:t>三场一通道</w:t>
                  </w:r>
                  <w:r>
                    <w:rPr>
                      <w:rFonts w:ascii="Times New Roman" w:hAnsi="Times New Roman"/>
                      <w:sz w:val="21"/>
                      <w:szCs w:val="21"/>
                    </w:rPr>
                    <w:t>’情况</w:t>
                  </w:r>
                  <w:r>
                    <w:rPr>
                      <w:rFonts w:hint="eastAsia" w:ascii="Times New Roman" w:hAnsi="Times New Roman"/>
                      <w:sz w:val="21"/>
                      <w:szCs w:val="21"/>
                    </w:rPr>
                    <w:t>”</w:t>
                  </w:r>
                  <w:r>
                    <w:rPr>
                      <w:rFonts w:ascii="Times New Roman" w:hAnsi="Times New Roman"/>
                      <w:sz w:val="21"/>
                      <w:szCs w:val="21"/>
                    </w:rPr>
                    <w:t>的复函，本项目不涉及重要水生生物自然保护区、水产种质资源保护区及珍惜鱼类</w:t>
                  </w:r>
                  <w:r>
                    <w:rPr>
                      <w:rFonts w:hint="eastAsia" w:ascii="Times New Roman" w:hAnsi="Times New Roman"/>
                      <w:sz w:val="21"/>
                      <w:szCs w:val="21"/>
                    </w:rPr>
                    <w:t>“</w:t>
                  </w:r>
                  <w:r>
                    <w:rPr>
                      <w:rFonts w:hint="eastAsia" w:ascii="Times New Roman" w:hAnsi="Times New Roman"/>
                      <w:sz w:val="21"/>
                      <w:szCs w:val="21"/>
                      <w:lang w:eastAsia="zh-CN"/>
                    </w:rPr>
                    <w:t>三场一通道</w:t>
                  </w:r>
                  <w:r>
                    <w:rPr>
                      <w:rFonts w:hint="eastAsia" w:ascii="Times New Roman" w:hAnsi="Times New Roman"/>
                      <w:sz w:val="21"/>
                      <w:szCs w:val="21"/>
                    </w:rPr>
                    <w:t>”</w:t>
                  </w:r>
                  <w:r>
                    <w:rPr>
                      <w:rFonts w:ascii="Times New Roman" w:hAnsi="Times New Roman"/>
                      <w:sz w:val="21"/>
                      <w:szCs w:val="21"/>
                    </w:rPr>
                    <w:t>。</w:t>
                  </w:r>
                  <w:r>
                    <w:rPr>
                      <w:rFonts w:hint="eastAsia" w:ascii="Times New Roman" w:hAnsi="Times New Roman"/>
                      <w:sz w:val="21"/>
                      <w:szCs w:val="21"/>
                    </w:rPr>
                    <w:t>本项目不涉及国家湿地公园。</w:t>
                  </w:r>
                </w:p>
              </w:tc>
              <w:tc>
                <w:tcPr>
                  <w:tcW w:w="655" w:type="dxa"/>
                  <w:tcBorders>
                    <w:tl2br w:val="nil"/>
                    <w:tr2bl w:val="nil"/>
                  </w:tcBorders>
                  <w:vAlign w:val="center"/>
                </w:tcPr>
                <w:p w14:paraId="0E53ABC2">
                  <w:pPr>
                    <w:pStyle w:val="16"/>
                    <w:widowControl w:val="0"/>
                    <w:spacing w:before="0" w:beforeAutospacing="0" w:after="0" w:afterAutospacing="0" w:line="276" w:lineRule="auto"/>
                    <w:ind w:firstLine="0" w:firstLineChars="0"/>
                    <w:jc w:val="center"/>
                    <w:rPr>
                      <w:sz w:val="21"/>
                      <w:szCs w:val="21"/>
                    </w:rPr>
                  </w:pPr>
                  <w:r>
                    <w:rPr>
                      <w:rFonts w:hint="eastAsia"/>
                      <w:sz w:val="21"/>
                      <w:szCs w:val="21"/>
                    </w:rPr>
                    <w:t>符合</w:t>
                  </w:r>
                </w:p>
              </w:tc>
            </w:tr>
            <w:tr w14:paraId="480761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49" w:type="dxa"/>
                  <w:vMerge w:val="continue"/>
                  <w:tcBorders>
                    <w:tl2br w:val="nil"/>
                    <w:tr2bl w:val="nil"/>
                  </w:tcBorders>
                  <w:vAlign w:val="center"/>
                </w:tcPr>
                <w:p w14:paraId="49BC9195">
                  <w:pPr>
                    <w:pStyle w:val="16"/>
                    <w:widowControl w:val="0"/>
                    <w:spacing w:before="0" w:beforeAutospacing="0" w:after="0" w:afterAutospacing="0" w:line="276" w:lineRule="auto"/>
                    <w:ind w:firstLine="0" w:firstLineChars="0"/>
                    <w:jc w:val="center"/>
                    <w:rPr>
                      <w:rFonts w:ascii="Times New Roman" w:hAnsi="Times New Roman"/>
                      <w:sz w:val="21"/>
                      <w:szCs w:val="21"/>
                    </w:rPr>
                  </w:pPr>
                </w:p>
              </w:tc>
              <w:tc>
                <w:tcPr>
                  <w:tcW w:w="3280" w:type="dxa"/>
                  <w:tcBorders>
                    <w:tl2br w:val="nil"/>
                    <w:tr2bl w:val="nil"/>
                  </w:tcBorders>
                  <w:vAlign w:val="center"/>
                </w:tcPr>
                <w:p w14:paraId="6229ED66">
                  <w:pPr>
                    <w:pStyle w:val="16"/>
                    <w:widowControl w:val="0"/>
                    <w:spacing w:before="0" w:beforeAutospacing="0" w:after="0" w:afterAutospacing="0" w:line="276" w:lineRule="auto"/>
                    <w:ind w:firstLine="0" w:firstLineChars="0"/>
                    <w:jc w:val="both"/>
                    <w:rPr>
                      <w:sz w:val="21"/>
                      <w:szCs w:val="21"/>
                    </w:rPr>
                  </w:pPr>
                  <w:r>
                    <w:rPr>
                      <w:rFonts w:hint="eastAsia"/>
                      <w:sz w:val="21"/>
                      <w:szCs w:val="21"/>
                    </w:rPr>
                    <w:t>第十四条禁止违法利用、占用长江流域河湖岸线。禁止在《长江岸线保护和开发利用总体规划》划定</w:t>
                  </w:r>
                </w:p>
                <w:p w14:paraId="7D854DF3">
                  <w:pPr>
                    <w:pStyle w:val="16"/>
                    <w:widowControl w:val="0"/>
                    <w:spacing w:before="0" w:beforeAutospacing="0" w:after="0" w:afterAutospacing="0" w:line="276" w:lineRule="auto"/>
                    <w:ind w:firstLine="0" w:firstLineChars="0"/>
                    <w:jc w:val="both"/>
                    <w:rPr>
                      <w:sz w:val="21"/>
                      <w:szCs w:val="21"/>
                    </w:rPr>
                  </w:pPr>
                  <w:r>
                    <w:rPr>
                      <w:rFonts w:hint="eastAsia"/>
                      <w:sz w:val="21"/>
                      <w:szCs w:val="21"/>
                    </w:rPr>
                    <w:t>的岸线保护区和岸线保留区内投资建设除事关公共安全及公众利益的防洪护岸、河道治理、供水、生态环境保护、航道整治、国家重要基础设施以外的项目</w:t>
                  </w:r>
                  <w:r>
                    <w:rPr>
                      <w:rFonts w:hint="eastAsia"/>
                      <w:sz w:val="21"/>
                      <w:szCs w:val="21"/>
                      <w:lang w:val="en-US" w:eastAsia="zh-CN"/>
                    </w:rPr>
                    <w:t xml:space="preserve"> </w:t>
                  </w:r>
                  <w:r>
                    <w:rPr>
                      <w:rFonts w:hint="eastAsia"/>
                      <w:sz w:val="21"/>
                      <w:szCs w:val="21"/>
                    </w:rPr>
                    <w:t>。</w:t>
                  </w:r>
                </w:p>
                <w:p w14:paraId="7E0C52B1">
                  <w:pPr>
                    <w:pStyle w:val="16"/>
                    <w:widowControl w:val="0"/>
                    <w:spacing w:before="0" w:beforeAutospacing="0" w:after="0" w:afterAutospacing="0" w:line="276" w:lineRule="auto"/>
                    <w:ind w:firstLine="0" w:firstLineChars="0"/>
                    <w:jc w:val="both"/>
                    <w:rPr>
                      <w:sz w:val="21"/>
                      <w:szCs w:val="21"/>
                    </w:rPr>
                  </w:pPr>
                  <w:r>
                    <w:rPr>
                      <w:rFonts w:hint="eastAsia"/>
                      <w:sz w:val="21"/>
                      <w:szCs w:val="21"/>
                    </w:rPr>
                    <w:t>第十五条禁止在《全国重要江河湖泊水功能区划》划定的河段及湖泊保护区、保留区内投资建设不利于水资源及自然生态保护的项目。</w:t>
                  </w:r>
                </w:p>
              </w:tc>
              <w:tc>
                <w:tcPr>
                  <w:tcW w:w="1773" w:type="dxa"/>
                  <w:tcBorders>
                    <w:tl2br w:val="nil"/>
                    <w:tr2bl w:val="nil"/>
                  </w:tcBorders>
                  <w:vAlign w:val="center"/>
                </w:tcPr>
                <w:p w14:paraId="39CD5466">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本项目不在《长江岸线保护和开发利用总体规划》划定的岸线保护区内；不涉及《全国重要江河湖泊水功能区划》划定的河段保护区、保留区</w:t>
                  </w:r>
                  <w:r>
                    <w:rPr>
                      <w:rFonts w:hint="eastAsia" w:ascii="Times New Roman" w:hAnsi="Times New Roman"/>
                      <w:sz w:val="21"/>
                      <w:szCs w:val="21"/>
                    </w:rPr>
                    <w:t>。</w:t>
                  </w:r>
                </w:p>
              </w:tc>
              <w:tc>
                <w:tcPr>
                  <w:tcW w:w="655" w:type="dxa"/>
                  <w:tcBorders>
                    <w:tl2br w:val="nil"/>
                    <w:tr2bl w:val="nil"/>
                  </w:tcBorders>
                  <w:vAlign w:val="center"/>
                </w:tcPr>
                <w:p w14:paraId="152BAFE3">
                  <w:pPr>
                    <w:pStyle w:val="16"/>
                    <w:widowControl w:val="0"/>
                    <w:spacing w:before="0" w:beforeAutospacing="0" w:after="0" w:afterAutospacing="0" w:line="276" w:lineRule="auto"/>
                    <w:ind w:firstLine="0" w:firstLineChars="0"/>
                    <w:jc w:val="center"/>
                    <w:rPr>
                      <w:sz w:val="21"/>
                      <w:szCs w:val="21"/>
                    </w:rPr>
                  </w:pPr>
                  <w:r>
                    <w:rPr>
                      <w:rFonts w:hint="eastAsia"/>
                      <w:sz w:val="21"/>
                      <w:szCs w:val="21"/>
                    </w:rPr>
                    <w:t>符合</w:t>
                  </w:r>
                </w:p>
              </w:tc>
            </w:tr>
            <w:tr w14:paraId="176377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49" w:type="dxa"/>
                  <w:vMerge w:val="continue"/>
                  <w:tcBorders>
                    <w:tl2br w:val="nil"/>
                    <w:tr2bl w:val="nil"/>
                  </w:tcBorders>
                  <w:vAlign w:val="center"/>
                </w:tcPr>
                <w:p w14:paraId="5E2E4A8D">
                  <w:pPr>
                    <w:pStyle w:val="16"/>
                    <w:widowControl w:val="0"/>
                    <w:spacing w:before="0" w:beforeAutospacing="0" w:after="0" w:afterAutospacing="0" w:line="276" w:lineRule="auto"/>
                    <w:ind w:firstLine="0" w:firstLineChars="0"/>
                    <w:jc w:val="center"/>
                    <w:rPr>
                      <w:rFonts w:ascii="Times New Roman" w:hAnsi="Times New Roman"/>
                      <w:sz w:val="21"/>
                      <w:szCs w:val="21"/>
                    </w:rPr>
                  </w:pPr>
                </w:p>
              </w:tc>
              <w:tc>
                <w:tcPr>
                  <w:tcW w:w="3280" w:type="dxa"/>
                  <w:tcBorders>
                    <w:tl2br w:val="nil"/>
                    <w:tr2bl w:val="nil"/>
                  </w:tcBorders>
                  <w:vAlign w:val="center"/>
                </w:tcPr>
                <w:p w14:paraId="30EEFE68">
                  <w:pPr>
                    <w:pStyle w:val="16"/>
                    <w:widowControl w:val="0"/>
                    <w:spacing w:before="0" w:beforeAutospacing="0" w:after="0" w:afterAutospacing="0" w:line="276" w:lineRule="auto"/>
                    <w:ind w:firstLine="0" w:firstLineChars="0"/>
                    <w:jc w:val="both"/>
                    <w:rPr>
                      <w:sz w:val="21"/>
                      <w:szCs w:val="21"/>
                    </w:rPr>
                  </w:pPr>
                  <w:r>
                    <w:rPr>
                      <w:rFonts w:hint="eastAsia"/>
                      <w:sz w:val="21"/>
                      <w:szCs w:val="21"/>
                    </w:rPr>
                    <w:t>第十六条禁止在长江流域江河、湖泊新设、改设或者扩大排污口，经有管辖权的生态环境主管部门或者长江流域生态环境监督管理机构同意的除外。</w:t>
                  </w:r>
                </w:p>
              </w:tc>
              <w:tc>
                <w:tcPr>
                  <w:tcW w:w="1773" w:type="dxa"/>
                  <w:tcBorders>
                    <w:tl2br w:val="nil"/>
                    <w:tr2bl w:val="nil"/>
                  </w:tcBorders>
                  <w:vAlign w:val="center"/>
                </w:tcPr>
                <w:p w14:paraId="5BA2A6EF">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hint="eastAsia" w:ascii="Times New Roman" w:hAnsi="Times New Roman"/>
                      <w:sz w:val="21"/>
                      <w:szCs w:val="21"/>
                    </w:rPr>
                    <w:t>本项目不设置排污口。</w:t>
                  </w:r>
                </w:p>
              </w:tc>
              <w:tc>
                <w:tcPr>
                  <w:tcW w:w="655" w:type="dxa"/>
                  <w:tcBorders>
                    <w:tl2br w:val="nil"/>
                    <w:tr2bl w:val="nil"/>
                  </w:tcBorders>
                  <w:vAlign w:val="center"/>
                </w:tcPr>
                <w:p w14:paraId="09EAFFC9">
                  <w:pPr>
                    <w:pStyle w:val="16"/>
                    <w:widowControl w:val="0"/>
                    <w:spacing w:before="0" w:beforeAutospacing="0" w:after="0" w:afterAutospacing="0" w:line="276" w:lineRule="auto"/>
                    <w:ind w:firstLine="0" w:firstLineChars="0"/>
                    <w:jc w:val="center"/>
                    <w:rPr>
                      <w:sz w:val="21"/>
                      <w:szCs w:val="21"/>
                    </w:rPr>
                  </w:pPr>
                  <w:r>
                    <w:rPr>
                      <w:rFonts w:hint="eastAsia"/>
                      <w:sz w:val="21"/>
                      <w:szCs w:val="21"/>
                    </w:rPr>
                    <w:t>符合</w:t>
                  </w:r>
                </w:p>
              </w:tc>
            </w:tr>
            <w:tr w14:paraId="62D4BF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49" w:type="dxa"/>
                  <w:vMerge w:val="continue"/>
                  <w:tcBorders>
                    <w:tl2br w:val="nil"/>
                    <w:tr2bl w:val="nil"/>
                  </w:tcBorders>
                  <w:vAlign w:val="center"/>
                </w:tcPr>
                <w:p w14:paraId="5DDE97F6">
                  <w:pPr>
                    <w:pStyle w:val="16"/>
                    <w:widowControl w:val="0"/>
                    <w:spacing w:before="0" w:beforeAutospacing="0" w:after="0" w:afterAutospacing="0" w:line="276" w:lineRule="auto"/>
                    <w:ind w:firstLine="0" w:firstLineChars="0"/>
                    <w:jc w:val="center"/>
                    <w:rPr>
                      <w:rFonts w:ascii="Times New Roman" w:hAnsi="Times New Roman"/>
                      <w:sz w:val="21"/>
                      <w:szCs w:val="21"/>
                    </w:rPr>
                  </w:pPr>
                </w:p>
              </w:tc>
              <w:tc>
                <w:tcPr>
                  <w:tcW w:w="3280" w:type="dxa"/>
                  <w:tcBorders>
                    <w:tl2br w:val="nil"/>
                    <w:tr2bl w:val="nil"/>
                  </w:tcBorders>
                  <w:vAlign w:val="center"/>
                </w:tcPr>
                <w:p w14:paraId="3F78AA2F">
                  <w:pPr>
                    <w:pStyle w:val="16"/>
                    <w:widowControl w:val="0"/>
                    <w:spacing w:before="0" w:beforeAutospacing="0" w:after="0" w:afterAutospacing="0" w:line="276" w:lineRule="auto"/>
                    <w:ind w:firstLine="0" w:firstLineChars="0"/>
                    <w:jc w:val="both"/>
                    <w:rPr>
                      <w:sz w:val="21"/>
                      <w:szCs w:val="21"/>
                    </w:rPr>
                  </w:pPr>
                  <w:r>
                    <w:rPr>
                      <w:rFonts w:ascii="Times New Roman" w:hAnsi="Times New Roman"/>
                      <w:sz w:val="21"/>
                      <w:szCs w:val="21"/>
                    </w:rPr>
                    <w:t>第十七条禁止在长江、大渡河、岷江、赤水河、沱江、嘉陵江、乌江、汉江和51个（四川省45个、重庆市6个）水生生物保护区开展生产性捕捞。</w:t>
                  </w:r>
                </w:p>
              </w:tc>
              <w:tc>
                <w:tcPr>
                  <w:tcW w:w="1773" w:type="dxa"/>
                  <w:tcBorders>
                    <w:tl2br w:val="nil"/>
                    <w:tr2bl w:val="nil"/>
                  </w:tcBorders>
                  <w:vAlign w:val="center"/>
                </w:tcPr>
                <w:p w14:paraId="1325A38B">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hint="eastAsia" w:ascii="Times New Roman" w:hAnsi="Times New Roman"/>
                      <w:sz w:val="21"/>
                      <w:szCs w:val="21"/>
                    </w:rPr>
                    <w:t>本项目不涉及生产性捕捞。</w:t>
                  </w:r>
                </w:p>
              </w:tc>
              <w:tc>
                <w:tcPr>
                  <w:tcW w:w="655" w:type="dxa"/>
                  <w:tcBorders>
                    <w:tl2br w:val="nil"/>
                    <w:tr2bl w:val="nil"/>
                  </w:tcBorders>
                  <w:vAlign w:val="center"/>
                </w:tcPr>
                <w:p w14:paraId="25FFD680">
                  <w:pPr>
                    <w:pStyle w:val="16"/>
                    <w:widowControl w:val="0"/>
                    <w:spacing w:before="0" w:beforeAutospacing="0" w:after="0" w:afterAutospacing="0" w:line="276" w:lineRule="auto"/>
                    <w:ind w:firstLine="0" w:firstLineChars="0"/>
                    <w:jc w:val="center"/>
                    <w:rPr>
                      <w:sz w:val="21"/>
                      <w:szCs w:val="21"/>
                    </w:rPr>
                  </w:pPr>
                  <w:r>
                    <w:rPr>
                      <w:rFonts w:hint="eastAsia"/>
                      <w:sz w:val="21"/>
                      <w:szCs w:val="21"/>
                    </w:rPr>
                    <w:t>符合</w:t>
                  </w:r>
                </w:p>
              </w:tc>
            </w:tr>
            <w:tr w14:paraId="3F563E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49" w:type="dxa"/>
                  <w:vMerge w:val="continue"/>
                  <w:tcBorders>
                    <w:tl2br w:val="nil"/>
                    <w:tr2bl w:val="nil"/>
                  </w:tcBorders>
                  <w:vAlign w:val="center"/>
                </w:tcPr>
                <w:p w14:paraId="16C4350C">
                  <w:pPr>
                    <w:pStyle w:val="16"/>
                    <w:widowControl w:val="0"/>
                    <w:spacing w:before="0" w:beforeAutospacing="0" w:after="0" w:afterAutospacing="0" w:line="276" w:lineRule="auto"/>
                    <w:ind w:firstLine="0" w:firstLineChars="0"/>
                    <w:jc w:val="center"/>
                    <w:rPr>
                      <w:rFonts w:ascii="Times New Roman" w:hAnsi="Times New Roman"/>
                      <w:sz w:val="21"/>
                      <w:szCs w:val="21"/>
                    </w:rPr>
                  </w:pPr>
                </w:p>
              </w:tc>
              <w:tc>
                <w:tcPr>
                  <w:tcW w:w="3280" w:type="dxa"/>
                  <w:tcBorders>
                    <w:tl2br w:val="nil"/>
                    <w:tr2bl w:val="nil"/>
                  </w:tcBorders>
                  <w:vAlign w:val="center"/>
                </w:tcPr>
                <w:p w14:paraId="0033DE23">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第十八条禁止在长江干支流、重要湖泊岸线一公里范围内新建、扩建化工园区和化工项目。</w:t>
                  </w:r>
                </w:p>
                <w:p w14:paraId="60DD90D9">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第十九条禁止在长江干流岸线三公里范围内和重要支流岸线一公里范围内新建、改建、扩建尾矿库、冶炼渣库、磷石膏库，以提升安全、生态环境保护水平为目的的改建除外。</w:t>
                  </w:r>
                </w:p>
                <w:p w14:paraId="2F0AAE26">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第二十条禁止在生态保护红线区域、永久基本农田集中区域和其他需要特别保护的区域内选址建设尾矿库、冶炼渣库、磷石音库。</w:t>
                  </w:r>
                </w:p>
              </w:tc>
              <w:tc>
                <w:tcPr>
                  <w:tcW w:w="1773" w:type="dxa"/>
                  <w:tcBorders>
                    <w:tl2br w:val="nil"/>
                    <w:tr2bl w:val="nil"/>
                  </w:tcBorders>
                  <w:vAlign w:val="center"/>
                </w:tcPr>
                <w:p w14:paraId="47C7BD73">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hint="eastAsia"/>
                      <w:sz w:val="21"/>
                      <w:szCs w:val="21"/>
                    </w:rPr>
                    <w:t>本工程属于</w:t>
                  </w:r>
                  <w:r>
                    <w:rPr>
                      <w:rFonts w:hint="eastAsia"/>
                      <w:sz w:val="21"/>
                      <w:szCs w:val="21"/>
                      <w:lang w:eastAsia="zh-CN"/>
                    </w:rPr>
                    <w:t>防洪除涝</w:t>
                  </w:r>
                  <w:r>
                    <w:rPr>
                      <w:rFonts w:hint="eastAsia"/>
                      <w:sz w:val="21"/>
                      <w:szCs w:val="21"/>
                    </w:rPr>
                    <w:t>、工程</w:t>
                  </w:r>
                  <w:r>
                    <w:rPr>
                      <w:rFonts w:hint="eastAsia" w:ascii="Times New Roman" w:hAnsi="Times New Roman"/>
                      <w:sz w:val="21"/>
                      <w:szCs w:val="21"/>
                    </w:rPr>
                    <w:t>，不属于钢铁、石化、化工、焦化、建材、有色、制浆造纸等高污染项目。</w:t>
                  </w:r>
                </w:p>
              </w:tc>
              <w:tc>
                <w:tcPr>
                  <w:tcW w:w="655" w:type="dxa"/>
                  <w:tcBorders>
                    <w:tl2br w:val="nil"/>
                    <w:tr2bl w:val="nil"/>
                  </w:tcBorders>
                  <w:vAlign w:val="center"/>
                </w:tcPr>
                <w:p w14:paraId="54BBAFDB">
                  <w:pPr>
                    <w:pStyle w:val="16"/>
                    <w:widowControl w:val="0"/>
                    <w:spacing w:before="0" w:beforeAutospacing="0" w:after="0" w:afterAutospacing="0" w:line="276" w:lineRule="auto"/>
                    <w:ind w:firstLine="0" w:firstLineChars="0"/>
                    <w:jc w:val="center"/>
                    <w:rPr>
                      <w:sz w:val="21"/>
                      <w:szCs w:val="21"/>
                    </w:rPr>
                  </w:pPr>
                  <w:r>
                    <w:rPr>
                      <w:rFonts w:hint="eastAsia"/>
                      <w:sz w:val="21"/>
                      <w:szCs w:val="21"/>
                    </w:rPr>
                    <w:t>符合</w:t>
                  </w:r>
                </w:p>
              </w:tc>
            </w:tr>
            <w:tr w14:paraId="362727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49" w:type="dxa"/>
                  <w:vMerge w:val="continue"/>
                  <w:tcBorders>
                    <w:tl2br w:val="nil"/>
                    <w:tr2bl w:val="nil"/>
                  </w:tcBorders>
                  <w:vAlign w:val="center"/>
                </w:tcPr>
                <w:p w14:paraId="6AAA6077">
                  <w:pPr>
                    <w:pStyle w:val="16"/>
                    <w:widowControl w:val="0"/>
                    <w:spacing w:before="0" w:beforeAutospacing="0" w:after="0" w:afterAutospacing="0" w:line="276" w:lineRule="auto"/>
                    <w:ind w:firstLine="0" w:firstLineChars="0"/>
                    <w:jc w:val="center"/>
                    <w:rPr>
                      <w:rFonts w:ascii="Times New Roman" w:hAnsi="Times New Roman"/>
                      <w:sz w:val="21"/>
                      <w:szCs w:val="21"/>
                    </w:rPr>
                  </w:pPr>
                </w:p>
              </w:tc>
              <w:tc>
                <w:tcPr>
                  <w:tcW w:w="3280" w:type="dxa"/>
                  <w:tcBorders>
                    <w:tl2br w:val="nil"/>
                    <w:tr2bl w:val="nil"/>
                  </w:tcBorders>
                  <w:vAlign w:val="center"/>
                </w:tcPr>
                <w:p w14:paraId="2543ACBE">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第二十二条禁止新建、扩建不符合国家石化、现代煤化工等产业布局规划的项目。</w:t>
                  </w:r>
                </w:p>
              </w:tc>
              <w:tc>
                <w:tcPr>
                  <w:tcW w:w="1773" w:type="dxa"/>
                  <w:tcBorders>
                    <w:tl2br w:val="nil"/>
                    <w:tr2bl w:val="nil"/>
                  </w:tcBorders>
                  <w:vAlign w:val="center"/>
                </w:tcPr>
                <w:p w14:paraId="3046C400">
                  <w:pPr>
                    <w:pStyle w:val="16"/>
                    <w:widowControl w:val="0"/>
                    <w:spacing w:before="0" w:beforeAutospacing="0" w:after="0" w:afterAutospacing="0" w:line="276" w:lineRule="auto"/>
                    <w:ind w:firstLine="0" w:firstLineChars="0"/>
                    <w:jc w:val="center"/>
                    <w:rPr>
                      <w:sz w:val="21"/>
                      <w:szCs w:val="21"/>
                    </w:rPr>
                  </w:pPr>
                  <w:r>
                    <w:rPr>
                      <w:rFonts w:hint="eastAsia"/>
                      <w:sz w:val="21"/>
                      <w:szCs w:val="21"/>
                    </w:rPr>
                    <w:t>本工程属于</w:t>
                  </w:r>
                  <w:r>
                    <w:rPr>
                      <w:rFonts w:hint="eastAsia"/>
                      <w:sz w:val="21"/>
                      <w:szCs w:val="21"/>
                      <w:lang w:eastAsia="zh-CN"/>
                    </w:rPr>
                    <w:t>防洪除涝</w:t>
                  </w:r>
                  <w:r>
                    <w:rPr>
                      <w:rFonts w:hint="eastAsia"/>
                      <w:sz w:val="21"/>
                      <w:szCs w:val="21"/>
                    </w:rPr>
                    <w:t>工程，不属于石化、现代煤化工等产业。</w:t>
                  </w:r>
                </w:p>
              </w:tc>
              <w:tc>
                <w:tcPr>
                  <w:tcW w:w="655" w:type="dxa"/>
                  <w:tcBorders>
                    <w:tl2br w:val="nil"/>
                    <w:tr2bl w:val="nil"/>
                  </w:tcBorders>
                  <w:vAlign w:val="center"/>
                </w:tcPr>
                <w:p w14:paraId="25D9F8B6">
                  <w:pPr>
                    <w:pStyle w:val="16"/>
                    <w:widowControl w:val="0"/>
                    <w:spacing w:before="0" w:beforeAutospacing="0" w:after="0" w:afterAutospacing="0" w:line="276" w:lineRule="auto"/>
                    <w:ind w:firstLine="0" w:firstLineChars="0"/>
                    <w:jc w:val="center"/>
                    <w:rPr>
                      <w:sz w:val="21"/>
                      <w:szCs w:val="21"/>
                    </w:rPr>
                  </w:pPr>
                  <w:r>
                    <w:rPr>
                      <w:rFonts w:hint="eastAsia"/>
                      <w:sz w:val="21"/>
                      <w:szCs w:val="21"/>
                    </w:rPr>
                    <w:t>符合</w:t>
                  </w:r>
                </w:p>
              </w:tc>
            </w:tr>
            <w:tr w14:paraId="6A542C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49" w:type="dxa"/>
                  <w:vMerge w:val="continue"/>
                  <w:tcBorders>
                    <w:tl2br w:val="nil"/>
                    <w:tr2bl w:val="nil"/>
                  </w:tcBorders>
                  <w:vAlign w:val="center"/>
                </w:tcPr>
                <w:p w14:paraId="17198085">
                  <w:pPr>
                    <w:pStyle w:val="16"/>
                    <w:widowControl w:val="0"/>
                    <w:spacing w:before="0" w:beforeAutospacing="0" w:after="0" w:afterAutospacing="0" w:line="276" w:lineRule="auto"/>
                    <w:ind w:firstLine="0" w:firstLineChars="0"/>
                    <w:jc w:val="center"/>
                    <w:rPr>
                      <w:rFonts w:ascii="Times New Roman" w:hAnsi="Times New Roman"/>
                      <w:sz w:val="21"/>
                      <w:szCs w:val="21"/>
                    </w:rPr>
                  </w:pPr>
                </w:p>
              </w:tc>
              <w:tc>
                <w:tcPr>
                  <w:tcW w:w="3280" w:type="dxa"/>
                  <w:tcBorders>
                    <w:tl2br w:val="nil"/>
                    <w:tr2bl w:val="nil"/>
                  </w:tcBorders>
                  <w:vAlign w:val="center"/>
                </w:tcPr>
                <w:p w14:paraId="48641F9E">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第二十三条禁止新建、扩建法律法规和相关政策明令禁止的落后产能项目。对《产业结构调整指导目</w:t>
                  </w:r>
                </w:p>
                <w:p w14:paraId="441DDE2B">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录》中淘汰类项目，禁止投资；限制类的新建项目，禁止投资，对属于限制类的现有生产能力，允许企业在一定期限内采取措施改造升级。</w:t>
                  </w:r>
                </w:p>
              </w:tc>
              <w:tc>
                <w:tcPr>
                  <w:tcW w:w="1773" w:type="dxa"/>
                  <w:vMerge w:val="restart"/>
                  <w:tcBorders>
                    <w:tl2br w:val="nil"/>
                    <w:tr2bl w:val="nil"/>
                  </w:tcBorders>
                  <w:vAlign w:val="center"/>
                </w:tcPr>
                <w:p w14:paraId="48E0F56E">
                  <w:pPr>
                    <w:pStyle w:val="16"/>
                    <w:widowControl w:val="0"/>
                    <w:spacing w:before="0" w:beforeAutospacing="0" w:after="0" w:afterAutospacing="0" w:line="276" w:lineRule="auto"/>
                    <w:ind w:firstLine="0" w:firstLineChars="0"/>
                    <w:jc w:val="center"/>
                    <w:rPr>
                      <w:sz w:val="21"/>
                      <w:szCs w:val="21"/>
                    </w:rPr>
                  </w:pPr>
                  <w:r>
                    <w:rPr>
                      <w:rFonts w:hint="eastAsia"/>
                      <w:sz w:val="21"/>
                      <w:szCs w:val="21"/>
                    </w:rPr>
                    <w:t>本工程属于</w:t>
                  </w:r>
                  <w:r>
                    <w:rPr>
                      <w:rFonts w:hint="eastAsia"/>
                      <w:sz w:val="21"/>
                      <w:szCs w:val="21"/>
                      <w:lang w:eastAsia="zh-CN"/>
                    </w:rPr>
                    <w:t>防洪除涝</w:t>
                  </w:r>
                  <w:r>
                    <w:rPr>
                      <w:rFonts w:hint="eastAsia"/>
                      <w:sz w:val="21"/>
                      <w:szCs w:val="21"/>
                    </w:rPr>
                    <w:t>工程，符合国家现行的产业政策，不属于高耗能、高排放、低水平项目。</w:t>
                  </w:r>
                </w:p>
              </w:tc>
              <w:tc>
                <w:tcPr>
                  <w:tcW w:w="655" w:type="dxa"/>
                  <w:tcBorders>
                    <w:tl2br w:val="nil"/>
                    <w:tr2bl w:val="nil"/>
                  </w:tcBorders>
                  <w:vAlign w:val="center"/>
                </w:tcPr>
                <w:p w14:paraId="793466AE">
                  <w:pPr>
                    <w:pStyle w:val="16"/>
                    <w:widowControl w:val="0"/>
                    <w:spacing w:before="0" w:beforeAutospacing="0" w:after="0" w:afterAutospacing="0" w:line="276" w:lineRule="auto"/>
                    <w:ind w:firstLine="0" w:firstLineChars="0"/>
                    <w:jc w:val="center"/>
                    <w:rPr>
                      <w:sz w:val="21"/>
                      <w:szCs w:val="21"/>
                    </w:rPr>
                  </w:pPr>
                  <w:r>
                    <w:rPr>
                      <w:rFonts w:hint="eastAsia"/>
                      <w:sz w:val="21"/>
                      <w:szCs w:val="21"/>
                    </w:rPr>
                    <w:t>符合</w:t>
                  </w:r>
                </w:p>
              </w:tc>
            </w:tr>
            <w:tr w14:paraId="3BD744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49" w:type="dxa"/>
                  <w:vMerge w:val="continue"/>
                  <w:tcBorders>
                    <w:tl2br w:val="nil"/>
                    <w:tr2bl w:val="nil"/>
                  </w:tcBorders>
                  <w:vAlign w:val="center"/>
                </w:tcPr>
                <w:p w14:paraId="3A44BDCD">
                  <w:pPr>
                    <w:pStyle w:val="16"/>
                    <w:widowControl w:val="0"/>
                    <w:spacing w:before="0" w:beforeAutospacing="0" w:after="0" w:afterAutospacing="0" w:line="276" w:lineRule="auto"/>
                    <w:ind w:firstLine="0" w:firstLineChars="0"/>
                    <w:jc w:val="center"/>
                    <w:rPr>
                      <w:rFonts w:ascii="Times New Roman" w:hAnsi="Times New Roman"/>
                      <w:sz w:val="21"/>
                      <w:szCs w:val="21"/>
                    </w:rPr>
                  </w:pPr>
                </w:p>
              </w:tc>
              <w:tc>
                <w:tcPr>
                  <w:tcW w:w="3280" w:type="dxa"/>
                  <w:tcBorders>
                    <w:tl2br w:val="nil"/>
                    <w:tr2bl w:val="nil"/>
                  </w:tcBorders>
                  <w:vAlign w:val="center"/>
                </w:tcPr>
                <w:p w14:paraId="7A324054">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第二十四条禁止新建、扩建不符合国家产能置换要求的严重过剩产能行业的项目。对于不符合国家产</w:t>
                  </w:r>
                </w:p>
                <w:p w14:paraId="74DAD511">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能置换要求的严重过剩产能行业，不得以其他任何名义、任何方式备案新增产能项目。</w:t>
                  </w:r>
                </w:p>
                <w:p w14:paraId="0A2CE570">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第二十五条禁止建设以下燃油汽车投资项目（不在中国境内销售产品的投资项目除外）。</w:t>
                  </w:r>
                </w:p>
                <w:p w14:paraId="776AC1B1">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第二十六条禁止新建、扩建不符合要求的高耗能、高排放、低水平项目。</w:t>
                  </w:r>
                </w:p>
              </w:tc>
              <w:tc>
                <w:tcPr>
                  <w:tcW w:w="1773" w:type="dxa"/>
                  <w:vMerge w:val="continue"/>
                  <w:tcBorders>
                    <w:tl2br w:val="nil"/>
                    <w:tr2bl w:val="nil"/>
                  </w:tcBorders>
                  <w:vAlign w:val="center"/>
                </w:tcPr>
                <w:p w14:paraId="5595927E">
                  <w:pPr>
                    <w:pStyle w:val="16"/>
                    <w:widowControl w:val="0"/>
                    <w:spacing w:before="0" w:beforeAutospacing="0" w:after="0" w:afterAutospacing="0" w:line="276" w:lineRule="auto"/>
                    <w:ind w:firstLine="0" w:firstLineChars="0"/>
                    <w:jc w:val="center"/>
                    <w:rPr>
                      <w:sz w:val="21"/>
                      <w:szCs w:val="21"/>
                    </w:rPr>
                  </w:pPr>
                </w:p>
              </w:tc>
              <w:tc>
                <w:tcPr>
                  <w:tcW w:w="655" w:type="dxa"/>
                  <w:tcBorders>
                    <w:tl2br w:val="nil"/>
                    <w:tr2bl w:val="nil"/>
                  </w:tcBorders>
                  <w:vAlign w:val="center"/>
                </w:tcPr>
                <w:p w14:paraId="6621DAE4">
                  <w:pPr>
                    <w:pStyle w:val="16"/>
                    <w:widowControl w:val="0"/>
                    <w:spacing w:before="0" w:beforeAutospacing="0" w:after="0" w:afterAutospacing="0" w:line="276" w:lineRule="auto"/>
                    <w:ind w:firstLine="0" w:firstLineChars="0"/>
                    <w:jc w:val="center"/>
                    <w:rPr>
                      <w:sz w:val="21"/>
                      <w:szCs w:val="21"/>
                    </w:rPr>
                  </w:pPr>
                  <w:r>
                    <w:rPr>
                      <w:rFonts w:hint="eastAsia"/>
                      <w:sz w:val="21"/>
                      <w:szCs w:val="21"/>
                    </w:rPr>
                    <w:t>符合</w:t>
                  </w:r>
                </w:p>
              </w:tc>
            </w:tr>
          </w:tbl>
          <w:p w14:paraId="4C7E1717">
            <w:pPr>
              <w:ind w:firstLine="480"/>
            </w:pPr>
            <w:r>
              <w:rPr>
                <w:rFonts w:hint="eastAsia"/>
              </w:rPr>
              <w:t>综上，本项目与《四川省、重庆市长江经济带发展负面清单实施细则（试行，2022年版）》相关要求相符。</w:t>
            </w:r>
          </w:p>
          <w:p w14:paraId="1C48B941">
            <w:pPr>
              <w:ind w:firstLine="0" w:firstLineChars="0"/>
              <w:rPr>
                <w:b/>
                <w:bCs/>
              </w:rPr>
            </w:pPr>
            <w:r>
              <w:rPr>
                <w:rFonts w:hint="eastAsia"/>
                <w:b/>
                <w:bCs/>
              </w:rPr>
              <w:t>5、与《水利建设项目（河湖整治与防洪除涝工程）环境影响评价文件审批原则（试行）》符合性分析</w:t>
            </w:r>
          </w:p>
          <w:p w14:paraId="2CF7BBAB">
            <w:pPr>
              <w:ind w:firstLine="0" w:firstLineChars="0"/>
              <w:jc w:val="center"/>
              <w:rPr>
                <w:b/>
                <w:bCs/>
                <w:sz w:val="21"/>
                <w:szCs w:val="21"/>
              </w:rPr>
            </w:pPr>
            <w:r>
              <w:rPr>
                <w:rFonts w:hint="eastAsia"/>
                <w:b/>
                <w:bCs/>
                <w:sz w:val="21"/>
                <w:szCs w:val="21"/>
              </w:rPr>
              <w:t>表1-4  本项目与《水利建设项目（河湖整治与防洪除涝工程）环境影响评价文件审批原则（试行）》符合性分析一览表</w:t>
            </w:r>
          </w:p>
          <w:tbl>
            <w:tblPr>
              <w:tblStyle w:val="19"/>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9"/>
              <w:gridCol w:w="3720"/>
              <w:gridCol w:w="2033"/>
              <w:gridCol w:w="655"/>
            </w:tblGrid>
            <w:tr w14:paraId="0A46E1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49" w:type="dxa"/>
                  <w:tcBorders>
                    <w:tl2br w:val="nil"/>
                    <w:tr2bl w:val="nil"/>
                  </w:tcBorders>
                  <w:vAlign w:val="center"/>
                </w:tcPr>
                <w:p w14:paraId="36E76CC8">
                  <w:pPr>
                    <w:pStyle w:val="16"/>
                    <w:widowControl w:val="0"/>
                    <w:spacing w:before="0" w:beforeAutospacing="0" w:after="0" w:afterAutospacing="0" w:line="276" w:lineRule="auto"/>
                    <w:ind w:firstLine="0" w:firstLineChars="0"/>
                    <w:jc w:val="center"/>
                    <w:rPr>
                      <w:rFonts w:ascii="Times New Roman" w:hAnsi="Times New Roman"/>
                      <w:b/>
                      <w:bCs/>
                      <w:sz w:val="21"/>
                      <w:szCs w:val="21"/>
                    </w:rPr>
                  </w:pPr>
                  <w:r>
                    <w:rPr>
                      <w:rFonts w:ascii="Times New Roman" w:hAnsi="Times New Roman"/>
                      <w:b/>
                      <w:bCs/>
                      <w:sz w:val="21"/>
                      <w:szCs w:val="21"/>
                    </w:rPr>
                    <w:t>序号</w:t>
                  </w:r>
                </w:p>
              </w:tc>
              <w:tc>
                <w:tcPr>
                  <w:tcW w:w="3720" w:type="dxa"/>
                  <w:tcBorders>
                    <w:tl2br w:val="nil"/>
                    <w:tr2bl w:val="nil"/>
                  </w:tcBorders>
                  <w:vAlign w:val="center"/>
                </w:tcPr>
                <w:p w14:paraId="67451071">
                  <w:pPr>
                    <w:pStyle w:val="16"/>
                    <w:widowControl w:val="0"/>
                    <w:spacing w:before="0" w:beforeAutospacing="0" w:after="0" w:afterAutospacing="0" w:line="276" w:lineRule="auto"/>
                    <w:ind w:firstLine="0" w:firstLineChars="0"/>
                    <w:jc w:val="center"/>
                    <w:rPr>
                      <w:rFonts w:ascii="Times New Roman" w:hAnsi="Times New Roman"/>
                      <w:b/>
                      <w:bCs/>
                      <w:sz w:val="21"/>
                      <w:szCs w:val="21"/>
                    </w:rPr>
                  </w:pPr>
                  <w:r>
                    <w:rPr>
                      <w:rFonts w:ascii="Times New Roman" w:hAnsi="Times New Roman"/>
                      <w:b/>
                      <w:bCs/>
                      <w:sz w:val="21"/>
                      <w:szCs w:val="21"/>
                    </w:rPr>
                    <w:t>文件内容</w:t>
                  </w:r>
                </w:p>
              </w:tc>
              <w:tc>
                <w:tcPr>
                  <w:tcW w:w="2033" w:type="dxa"/>
                  <w:tcBorders>
                    <w:tl2br w:val="nil"/>
                    <w:tr2bl w:val="nil"/>
                  </w:tcBorders>
                  <w:vAlign w:val="center"/>
                </w:tcPr>
                <w:p w14:paraId="5F94AC72">
                  <w:pPr>
                    <w:pStyle w:val="16"/>
                    <w:widowControl w:val="0"/>
                    <w:spacing w:before="0" w:beforeAutospacing="0" w:after="0" w:afterAutospacing="0" w:line="276" w:lineRule="auto"/>
                    <w:ind w:firstLine="0" w:firstLineChars="0"/>
                    <w:jc w:val="center"/>
                    <w:rPr>
                      <w:rFonts w:ascii="Times New Roman" w:hAnsi="Times New Roman"/>
                      <w:b/>
                      <w:bCs/>
                      <w:sz w:val="21"/>
                      <w:szCs w:val="21"/>
                    </w:rPr>
                  </w:pPr>
                  <w:r>
                    <w:rPr>
                      <w:rFonts w:ascii="Times New Roman" w:hAnsi="Times New Roman"/>
                      <w:b/>
                      <w:bCs/>
                      <w:sz w:val="21"/>
                      <w:szCs w:val="21"/>
                    </w:rPr>
                    <w:t>本工程情况</w:t>
                  </w:r>
                </w:p>
              </w:tc>
              <w:tc>
                <w:tcPr>
                  <w:tcW w:w="655" w:type="dxa"/>
                  <w:tcBorders>
                    <w:tl2br w:val="nil"/>
                    <w:tr2bl w:val="nil"/>
                  </w:tcBorders>
                  <w:vAlign w:val="center"/>
                </w:tcPr>
                <w:p w14:paraId="65A872BE">
                  <w:pPr>
                    <w:pStyle w:val="16"/>
                    <w:widowControl w:val="0"/>
                    <w:spacing w:before="0" w:beforeAutospacing="0" w:after="0" w:afterAutospacing="0" w:line="276" w:lineRule="auto"/>
                    <w:ind w:firstLine="0" w:firstLineChars="0"/>
                    <w:jc w:val="center"/>
                    <w:rPr>
                      <w:rFonts w:ascii="Times New Roman" w:hAnsi="Times New Roman"/>
                      <w:b/>
                      <w:bCs/>
                      <w:sz w:val="21"/>
                      <w:szCs w:val="21"/>
                    </w:rPr>
                  </w:pPr>
                  <w:r>
                    <w:rPr>
                      <w:rFonts w:ascii="Times New Roman" w:hAnsi="Times New Roman"/>
                      <w:b/>
                      <w:bCs/>
                      <w:sz w:val="21"/>
                      <w:szCs w:val="21"/>
                    </w:rPr>
                    <w:t>符合性</w:t>
                  </w:r>
                </w:p>
              </w:tc>
            </w:tr>
            <w:tr w14:paraId="094A61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449" w:type="dxa"/>
                  <w:tcBorders>
                    <w:tl2br w:val="nil"/>
                    <w:tr2bl w:val="nil"/>
                  </w:tcBorders>
                  <w:vAlign w:val="center"/>
                </w:tcPr>
                <w:p w14:paraId="5C401CF9">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1</w:t>
                  </w:r>
                </w:p>
              </w:tc>
              <w:tc>
                <w:tcPr>
                  <w:tcW w:w="3720" w:type="dxa"/>
                  <w:tcBorders>
                    <w:tl2br w:val="nil"/>
                    <w:tr2bl w:val="nil"/>
                  </w:tcBorders>
                  <w:vAlign w:val="center"/>
                </w:tcPr>
                <w:p w14:paraId="22A47026">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项目符合环境保护相关法律法规和政策要求，与主体功能区规划、生态功能区划、水环境功能区划、水功能区划、生态环境保护规划、流域综合规划、防洪规划等相协调，满足相关规划环评要求。工程涉及岸线调整（治导线变化）、裁弯取直、围垦水面和占用河湖滩地等建设内容的，充分论证了方案环境可行性，最大程度保持了河湖自然形态，最大限度维护了河湖健康、生态系统功能和生物多样性。</w:t>
                  </w:r>
                </w:p>
              </w:tc>
              <w:tc>
                <w:tcPr>
                  <w:tcW w:w="2033" w:type="dxa"/>
                  <w:tcBorders>
                    <w:tl2br w:val="nil"/>
                    <w:tr2bl w:val="nil"/>
                  </w:tcBorders>
                  <w:vAlign w:val="center"/>
                </w:tcPr>
                <w:p w14:paraId="196F26AB">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本项目为巴中市檬子河流域水环境综合治理项目（一期），项目符合环境保护相关法律法规和政策要求、与相关规划。</w:t>
                  </w:r>
                </w:p>
              </w:tc>
              <w:tc>
                <w:tcPr>
                  <w:tcW w:w="655" w:type="dxa"/>
                  <w:tcBorders>
                    <w:tl2br w:val="nil"/>
                    <w:tr2bl w:val="nil"/>
                  </w:tcBorders>
                  <w:vAlign w:val="center"/>
                </w:tcPr>
                <w:p w14:paraId="582B1ED3">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符合</w:t>
                  </w:r>
                </w:p>
              </w:tc>
            </w:tr>
            <w:tr w14:paraId="69D2DA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449" w:type="dxa"/>
                  <w:tcBorders>
                    <w:tl2br w:val="nil"/>
                    <w:tr2bl w:val="nil"/>
                  </w:tcBorders>
                  <w:vAlign w:val="center"/>
                </w:tcPr>
                <w:p w14:paraId="0579950D">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2</w:t>
                  </w:r>
                </w:p>
              </w:tc>
              <w:tc>
                <w:tcPr>
                  <w:tcW w:w="3720" w:type="dxa"/>
                  <w:tcBorders>
                    <w:tl2br w:val="nil"/>
                    <w:tr2bl w:val="nil"/>
                  </w:tcBorders>
                  <w:vAlign w:val="center"/>
                </w:tcPr>
                <w:p w14:paraId="2457D417">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工程选址选线、施工布置原则上不占用自然保护区、风景名胜区、世界文化和自然遗产地以及其他生态保护红线等环境敏感区中法律法规禁止占用的区域，并与饮用水水源保护区的保护要求相协调。法律法规、政策另有规定的从其规定。</w:t>
                  </w:r>
                </w:p>
              </w:tc>
              <w:tc>
                <w:tcPr>
                  <w:tcW w:w="2033" w:type="dxa"/>
                  <w:tcBorders>
                    <w:tl2br w:val="nil"/>
                    <w:tr2bl w:val="nil"/>
                  </w:tcBorders>
                  <w:vAlign w:val="center"/>
                </w:tcPr>
                <w:p w14:paraId="58702AF4">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本项目不占用自然保护区、风景名胜区、世界文化和自然遗产地以及其他生态保护红线等环境敏感区中法律法规禁止占用的区域，并与饮用水水源保护区的保护要求相协调。</w:t>
                  </w:r>
                </w:p>
              </w:tc>
              <w:tc>
                <w:tcPr>
                  <w:tcW w:w="655" w:type="dxa"/>
                  <w:tcBorders>
                    <w:tl2br w:val="nil"/>
                    <w:tr2bl w:val="nil"/>
                  </w:tcBorders>
                  <w:vAlign w:val="center"/>
                </w:tcPr>
                <w:p w14:paraId="622CC01C">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符合</w:t>
                  </w:r>
                </w:p>
              </w:tc>
            </w:tr>
            <w:tr w14:paraId="61A5AC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449" w:type="dxa"/>
                  <w:tcBorders>
                    <w:tl2br w:val="nil"/>
                    <w:tr2bl w:val="nil"/>
                  </w:tcBorders>
                  <w:vAlign w:val="center"/>
                </w:tcPr>
                <w:p w14:paraId="591427CD">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3</w:t>
                  </w:r>
                </w:p>
              </w:tc>
              <w:tc>
                <w:tcPr>
                  <w:tcW w:w="3720" w:type="dxa"/>
                  <w:tcBorders>
                    <w:tl2br w:val="nil"/>
                    <w:tr2bl w:val="nil"/>
                  </w:tcBorders>
                  <w:vAlign w:val="center"/>
                </w:tcPr>
                <w:p w14:paraId="7547C720">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项目实施改变水动力条件或水文过程且对水质产生不利影响的，提出了工程优化调整、科学调度、实施区域流域水污染防治等措施。对地下水环境产生不利影响或次生环境影响的，提出了优化工程设计、导排、防护等针对性的防治措施。在采取上述措施后，对水环境的不利影响能够得到缓解和控制，居民用水安全能够得到保障，相关区域不会出现显著的土壤潜育化、沼泽化、盐碱化</w:t>
                  </w:r>
                </w:p>
                <w:p w14:paraId="5DAF06CB">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等次生环境问题。</w:t>
                  </w:r>
                </w:p>
              </w:tc>
              <w:tc>
                <w:tcPr>
                  <w:tcW w:w="2033" w:type="dxa"/>
                  <w:tcBorders>
                    <w:tl2br w:val="nil"/>
                    <w:tr2bl w:val="nil"/>
                  </w:tcBorders>
                  <w:vAlign w:val="center"/>
                </w:tcPr>
                <w:p w14:paraId="1EA47071">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本项目施工完成后建设单位应将临时施工场地进行迹地恢复。项目实施后有利于改善区域水环境，改善流域水环境质量，提升河道生态性、景观性，改善河道风貌。</w:t>
                  </w:r>
                </w:p>
              </w:tc>
              <w:tc>
                <w:tcPr>
                  <w:tcW w:w="655" w:type="dxa"/>
                  <w:tcBorders>
                    <w:tl2br w:val="nil"/>
                    <w:tr2bl w:val="nil"/>
                  </w:tcBorders>
                  <w:vAlign w:val="center"/>
                </w:tcPr>
                <w:p w14:paraId="257A5899">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符合</w:t>
                  </w:r>
                </w:p>
              </w:tc>
            </w:tr>
            <w:tr w14:paraId="1D8693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449" w:type="dxa"/>
                  <w:tcBorders>
                    <w:tl2br w:val="nil"/>
                    <w:tr2bl w:val="nil"/>
                  </w:tcBorders>
                  <w:vAlign w:val="center"/>
                </w:tcPr>
                <w:p w14:paraId="2BCD8504">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4</w:t>
                  </w:r>
                </w:p>
              </w:tc>
              <w:tc>
                <w:tcPr>
                  <w:tcW w:w="3720" w:type="dxa"/>
                  <w:tcBorders>
                    <w:tl2br w:val="nil"/>
                    <w:tr2bl w:val="nil"/>
                  </w:tcBorders>
                  <w:vAlign w:val="center"/>
                </w:tcPr>
                <w:p w14:paraId="0674B0AA">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项目对鱼类等水生生物的洄游通道及</w:t>
                  </w:r>
                  <w:r>
                    <w:rPr>
                      <w:rFonts w:hint="eastAsia" w:ascii="Times New Roman" w:hAnsi="Times New Roman"/>
                      <w:sz w:val="21"/>
                      <w:szCs w:val="21"/>
                    </w:rPr>
                    <w:t>“</w:t>
                  </w:r>
                  <w:r>
                    <w:rPr>
                      <w:rFonts w:ascii="Times New Roman" w:hAnsi="Times New Roman"/>
                      <w:sz w:val="21"/>
                      <w:szCs w:val="21"/>
                    </w:rPr>
                    <w:t>三场</w:t>
                  </w:r>
                  <w:r>
                    <w:rPr>
                      <w:rFonts w:hint="eastAsia" w:ascii="Times New Roman" w:hAnsi="Times New Roman"/>
                      <w:sz w:val="21"/>
                      <w:szCs w:val="21"/>
                    </w:rPr>
                    <w:t>”</w:t>
                  </w:r>
                  <w:r>
                    <w:rPr>
                      <w:rFonts w:ascii="Times New Roman" w:hAnsi="Times New Roman"/>
                      <w:sz w:val="21"/>
                      <w:szCs w:val="21"/>
                    </w:rPr>
                    <w:t>等重要生境、物种多样性及资源量等产生不利影响的，提出了下泄生态流量、恢复鱼类洄游通道、采用生态友好型护岸（坡、底）、生态修复、增殖放流等措施。在采取上述措施后，对水生生物的不利影响能够得到缓解和控制，不会造成原有珍稀濒危保护、区域特有或重要经济水生生物在相关河段消失，不会对相关河段水生生态系统造成重大不利影响。</w:t>
                  </w:r>
                </w:p>
              </w:tc>
              <w:tc>
                <w:tcPr>
                  <w:tcW w:w="2033" w:type="dxa"/>
                  <w:tcBorders>
                    <w:tl2br w:val="nil"/>
                    <w:tr2bl w:val="nil"/>
                  </w:tcBorders>
                  <w:vAlign w:val="center"/>
                </w:tcPr>
                <w:p w14:paraId="45AA24CD">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本项目不涉及珍稀水生生物，也无珍稀水生生物的产卵场、索饵场和越冬场等鱼类</w:t>
                  </w:r>
                  <w:r>
                    <w:rPr>
                      <w:rFonts w:hint="eastAsia" w:ascii="Times New Roman" w:hAnsi="Times New Roman"/>
                      <w:sz w:val="21"/>
                      <w:szCs w:val="21"/>
                    </w:rPr>
                    <w:t>“</w:t>
                  </w:r>
                  <w:r>
                    <w:rPr>
                      <w:rFonts w:ascii="Times New Roman" w:hAnsi="Times New Roman"/>
                      <w:sz w:val="21"/>
                      <w:szCs w:val="21"/>
                    </w:rPr>
                    <w:t>三场</w:t>
                  </w:r>
                  <w:r>
                    <w:rPr>
                      <w:rFonts w:hint="eastAsia" w:ascii="Times New Roman" w:hAnsi="Times New Roman"/>
                      <w:sz w:val="21"/>
                      <w:szCs w:val="21"/>
                    </w:rPr>
                    <w:t>”</w:t>
                  </w:r>
                  <w:r>
                    <w:rPr>
                      <w:rFonts w:ascii="Times New Roman" w:hAnsi="Times New Roman"/>
                      <w:sz w:val="21"/>
                      <w:szCs w:val="21"/>
                    </w:rPr>
                    <w:t>、洄游通道。施工选择非汛期进行，时间是短暂的，施工活动引起的水流形态改变也是暂时的，因此对水生生物影响较小，对水体功能影响也相对较小。可根据生物可以移动的特征，采取不同的施工方法，分段保护的措施，留给生物躲避的空间和场所，尽量避免全线统一施工的方式。且项目建成后河段生态环境、水环境质量可以得到较大改善。</w:t>
                  </w:r>
                </w:p>
              </w:tc>
              <w:tc>
                <w:tcPr>
                  <w:tcW w:w="655" w:type="dxa"/>
                  <w:tcBorders>
                    <w:tl2br w:val="nil"/>
                    <w:tr2bl w:val="nil"/>
                  </w:tcBorders>
                  <w:vAlign w:val="center"/>
                </w:tcPr>
                <w:p w14:paraId="2B52AB69">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符合</w:t>
                  </w:r>
                </w:p>
              </w:tc>
            </w:tr>
            <w:tr w14:paraId="671C30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449" w:type="dxa"/>
                  <w:tcBorders>
                    <w:tl2br w:val="nil"/>
                    <w:tr2bl w:val="nil"/>
                  </w:tcBorders>
                  <w:vAlign w:val="center"/>
                </w:tcPr>
                <w:p w14:paraId="4EE65240">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5</w:t>
                  </w:r>
                </w:p>
              </w:tc>
              <w:tc>
                <w:tcPr>
                  <w:tcW w:w="3720" w:type="dxa"/>
                  <w:tcBorders>
                    <w:tl2br w:val="nil"/>
                    <w:tr2bl w:val="nil"/>
                  </w:tcBorders>
                  <w:vAlign w:val="center"/>
                </w:tcPr>
                <w:p w14:paraId="74EE48F3">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项目对湿地生态系统结构和功能、河湖生态缓冲带造成不利影响的，提出了优化工程设计及调度运行方案、生态修复等措施。对珍稀濒危保护植物造成不利影响的，提出了避让、原位防护、移栽等措施。对陆生珍稀濒危保护动物及其生境造成不利影响的，提出了避让、救护、迁徙廊道构建、生境再造等措施。对景观产生不利影响的，提出了避让、优化设计、景观塑造等措施。在采取上述措施后，对湿地以及陆生动植物的不利影响能够得到缓解和控制，与区域景观相协调，不会造成原有珍稀濒危保护动植物在相关区域消失，不会对陆生生态系统造成重大不利影响。</w:t>
                  </w:r>
                </w:p>
              </w:tc>
              <w:tc>
                <w:tcPr>
                  <w:tcW w:w="2033" w:type="dxa"/>
                  <w:tcBorders>
                    <w:tl2br w:val="nil"/>
                    <w:tr2bl w:val="nil"/>
                  </w:tcBorders>
                  <w:vAlign w:val="center"/>
                </w:tcPr>
                <w:p w14:paraId="74717B19">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本项目不涉及湿地生态系统，本项目主要为河道</w:t>
                  </w:r>
                  <w:r>
                    <w:rPr>
                      <w:rFonts w:hint="eastAsia" w:ascii="Times New Roman" w:hAnsi="Times New Roman"/>
                      <w:sz w:val="21"/>
                      <w:szCs w:val="21"/>
                      <w:lang w:eastAsia="zh-CN"/>
                    </w:rPr>
                    <w:t>防洪除涝</w:t>
                  </w:r>
                  <w:r>
                    <w:rPr>
                      <w:rFonts w:ascii="Times New Roman" w:hAnsi="Times New Roman"/>
                      <w:sz w:val="21"/>
                      <w:szCs w:val="21"/>
                    </w:rPr>
                    <w:t>项目，施工期对陆生生态影响主要是施工设备等产生的噪声和粉尘对生物的影响，通过加强施工期废气和噪声的环保措施，可有效减少对陆生生态影响。本项目建成后不会对陆生生态系统造成重大不利影响。</w:t>
                  </w:r>
                </w:p>
              </w:tc>
              <w:tc>
                <w:tcPr>
                  <w:tcW w:w="655" w:type="dxa"/>
                  <w:tcBorders>
                    <w:tl2br w:val="nil"/>
                    <w:tr2bl w:val="nil"/>
                  </w:tcBorders>
                  <w:vAlign w:val="center"/>
                </w:tcPr>
                <w:p w14:paraId="408C72C8">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符合</w:t>
                  </w:r>
                </w:p>
              </w:tc>
            </w:tr>
            <w:tr w14:paraId="2C5569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449" w:type="dxa"/>
                  <w:tcBorders>
                    <w:tl2br w:val="nil"/>
                    <w:tr2bl w:val="nil"/>
                  </w:tcBorders>
                  <w:vAlign w:val="center"/>
                </w:tcPr>
                <w:p w14:paraId="3F7DBA80">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6</w:t>
                  </w:r>
                </w:p>
              </w:tc>
              <w:tc>
                <w:tcPr>
                  <w:tcW w:w="3720" w:type="dxa"/>
                  <w:tcBorders>
                    <w:tl2br w:val="nil"/>
                    <w:tr2bl w:val="nil"/>
                  </w:tcBorders>
                  <w:vAlign w:val="center"/>
                </w:tcPr>
                <w:p w14:paraId="5568A115">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项目施工组织方案具有环境合理性，对料场、弃土(渣)场等施工场地提出了水土流失防治和生态修复等措施。根据环境保护相关标准和要求，对施工期各类废(污)水、扬尘、废气、噪声、固体废物等提出了防治或处置措施。其中，涉水施工涉及饮用水水源保护区或取水口并可能对水质造成不利影响的，提出了避让、施工方案优化、污染物控制等措施；涉水施工对鱼类等水生生物及其重要生境造成不利影响的，提出了避让、施工方案优化、控制施工噪声等措施；针对清淤、疏浚等产生的淤泥，提出了符合相关规定的处置或综合利用方案。在采取上述措施后，施工期的不利环境影响能够得到缓解和控制，不会对周围环境和敏感保护目标造成重大不利影响。</w:t>
                  </w:r>
                </w:p>
              </w:tc>
              <w:tc>
                <w:tcPr>
                  <w:tcW w:w="2033" w:type="dxa"/>
                  <w:tcBorders>
                    <w:tl2br w:val="nil"/>
                    <w:tr2bl w:val="nil"/>
                  </w:tcBorders>
                  <w:vAlign w:val="center"/>
                </w:tcPr>
                <w:p w14:paraId="29F881A4">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本项目施工组织方案具有环境合理性，报告对临时工程提出水土流失防治和生态修复等措施。对施工前各类废(污)水、扬尘、废气、噪声、固体废物等提出了防治或处置措施。涉水施工采取围堰方式施工。项目提出施工对水生生物保护措施。</w:t>
                  </w:r>
                </w:p>
              </w:tc>
              <w:tc>
                <w:tcPr>
                  <w:tcW w:w="655" w:type="dxa"/>
                  <w:tcBorders>
                    <w:tl2br w:val="nil"/>
                    <w:tr2bl w:val="nil"/>
                  </w:tcBorders>
                  <w:vAlign w:val="center"/>
                </w:tcPr>
                <w:p w14:paraId="3D923058">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符合</w:t>
                  </w:r>
                </w:p>
              </w:tc>
            </w:tr>
            <w:tr w14:paraId="28F506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449" w:type="dxa"/>
                  <w:tcBorders>
                    <w:tl2br w:val="nil"/>
                    <w:tr2bl w:val="nil"/>
                  </w:tcBorders>
                  <w:vAlign w:val="center"/>
                </w:tcPr>
                <w:p w14:paraId="63BF07EF">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7</w:t>
                  </w:r>
                </w:p>
              </w:tc>
              <w:tc>
                <w:tcPr>
                  <w:tcW w:w="3720" w:type="dxa"/>
                  <w:tcBorders>
                    <w:tl2br w:val="nil"/>
                    <w:tr2bl w:val="nil"/>
                  </w:tcBorders>
                  <w:vAlign w:val="center"/>
                </w:tcPr>
                <w:p w14:paraId="32A04121">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项目移民安置的选址和建设方式具有环境合理性，提出了生态保护、污水处理、固体废物处置等措施。针对蓄滞洪区的环境污染、新增占地涉及污染场地等，提出了环境管理对策建议。</w:t>
                  </w:r>
                </w:p>
              </w:tc>
              <w:tc>
                <w:tcPr>
                  <w:tcW w:w="2033" w:type="dxa"/>
                  <w:tcBorders>
                    <w:tl2br w:val="nil"/>
                    <w:tr2bl w:val="nil"/>
                  </w:tcBorders>
                  <w:vAlign w:val="center"/>
                </w:tcPr>
                <w:p w14:paraId="48EF58A4">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本项目不涉及移民安置，不涉及蓄滞洪区。</w:t>
                  </w:r>
                </w:p>
              </w:tc>
              <w:tc>
                <w:tcPr>
                  <w:tcW w:w="655" w:type="dxa"/>
                  <w:tcBorders>
                    <w:tl2br w:val="nil"/>
                    <w:tr2bl w:val="nil"/>
                  </w:tcBorders>
                  <w:vAlign w:val="center"/>
                </w:tcPr>
                <w:p w14:paraId="21287AA0">
                  <w:pPr>
                    <w:pStyle w:val="16"/>
                    <w:widowControl w:val="0"/>
                    <w:spacing w:before="0" w:beforeAutospacing="0" w:after="0" w:afterAutospacing="0" w:line="276" w:lineRule="auto"/>
                    <w:ind w:firstLine="0" w:firstLineChars="0"/>
                    <w:jc w:val="center"/>
                    <w:rPr>
                      <w:rFonts w:ascii="Times New Roman" w:hAnsi="Times New Roman"/>
                      <w:sz w:val="21"/>
                      <w:szCs w:val="21"/>
                    </w:rPr>
                  </w:pPr>
                </w:p>
              </w:tc>
            </w:tr>
            <w:tr w14:paraId="3FB34B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449" w:type="dxa"/>
                  <w:tcBorders>
                    <w:tl2br w:val="nil"/>
                    <w:tr2bl w:val="nil"/>
                  </w:tcBorders>
                  <w:vAlign w:val="center"/>
                </w:tcPr>
                <w:p w14:paraId="5B183BF1">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8</w:t>
                  </w:r>
                </w:p>
              </w:tc>
              <w:tc>
                <w:tcPr>
                  <w:tcW w:w="3720" w:type="dxa"/>
                  <w:tcBorders>
                    <w:tl2br w:val="nil"/>
                    <w:tr2bl w:val="nil"/>
                  </w:tcBorders>
                  <w:vAlign w:val="center"/>
                </w:tcPr>
                <w:p w14:paraId="4BC07813">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项目存在河湖水质污染、富营养化或外来物种入侵等环境风险的，提出了针对性的风险防范措施以及环境应急预案编制、建立必要的应急联动机制等要求。</w:t>
                  </w:r>
                </w:p>
              </w:tc>
              <w:tc>
                <w:tcPr>
                  <w:tcW w:w="2033" w:type="dxa"/>
                  <w:tcBorders>
                    <w:tl2br w:val="nil"/>
                    <w:tr2bl w:val="nil"/>
                  </w:tcBorders>
                  <w:vAlign w:val="center"/>
                </w:tcPr>
                <w:p w14:paraId="31CB3D7B">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本项目为巴中市檬子河流域水环境综合治理项目（一期），主要为防洪工程建设，不涉及水质污染、富营养化。</w:t>
                  </w:r>
                </w:p>
              </w:tc>
              <w:tc>
                <w:tcPr>
                  <w:tcW w:w="655" w:type="dxa"/>
                  <w:tcBorders>
                    <w:tl2br w:val="nil"/>
                    <w:tr2bl w:val="nil"/>
                  </w:tcBorders>
                  <w:vAlign w:val="center"/>
                </w:tcPr>
                <w:p w14:paraId="5D026396">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符合</w:t>
                  </w:r>
                </w:p>
              </w:tc>
            </w:tr>
            <w:tr w14:paraId="12D761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449" w:type="dxa"/>
                  <w:tcBorders>
                    <w:tl2br w:val="nil"/>
                    <w:tr2bl w:val="nil"/>
                  </w:tcBorders>
                  <w:vAlign w:val="center"/>
                </w:tcPr>
                <w:p w14:paraId="5C60AD6C">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9</w:t>
                  </w:r>
                </w:p>
              </w:tc>
              <w:tc>
                <w:tcPr>
                  <w:tcW w:w="3720" w:type="dxa"/>
                  <w:tcBorders>
                    <w:tl2br w:val="nil"/>
                    <w:tr2bl w:val="nil"/>
                  </w:tcBorders>
                  <w:vAlign w:val="center"/>
                </w:tcPr>
                <w:p w14:paraId="03E9DD82">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改、扩建项目在全面梳理了与项目有关的现有工程环境问题基础上，提出了与项目相适应的</w:t>
                  </w:r>
                  <w:r>
                    <w:rPr>
                      <w:rFonts w:hint="eastAsia" w:ascii="Times New Roman" w:hAnsi="Times New Roman"/>
                      <w:sz w:val="21"/>
                      <w:szCs w:val="21"/>
                    </w:rPr>
                    <w:t>“</w:t>
                  </w:r>
                  <w:r>
                    <w:rPr>
                      <w:rFonts w:ascii="Times New Roman" w:hAnsi="Times New Roman"/>
                      <w:sz w:val="21"/>
                      <w:szCs w:val="21"/>
                    </w:rPr>
                    <w:t>以新带老</w:t>
                  </w:r>
                  <w:r>
                    <w:rPr>
                      <w:rFonts w:hint="eastAsia" w:ascii="Times New Roman" w:hAnsi="Times New Roman"/>
                      <w:sz w:val="21"/>
                      <w:szCs w:val="21"/>
                    </w:rPr>
                    <w:t>”</w:t>
                  </w:r>
                  <w:r>
                    <w:rPr>
                      <w:rFonts w:ascii="Times New Roman" w:hAnsi="Times New Roman"/>
                      <w:sz w:val="21"/>
                      <w:szCs w:val="21"/>
                    </w:rPr>
                    <w:t>措施。</w:t>
                  </w:r>
                </w:p>
              </w:tc>
              <w:tc>
                <w:tcPr>
                  <w:tcW w:w="2033" w:type="dxa"/>
                  <w:tcBorders>
                    <w:tl2br w:val="nil"/>
                    <w:tr2bl w:val="nil"/>
                  </w:tcBorders>
                  <w:vAlign w:val="center"/>
                </w:tcPr>
                <w:p w14:paraId="3DE36C77">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本项目为新建项目。</w:t>
                  </w:r>
                </w:p>
              </w:tc>
              <w:tc>
                <w:tcPr>
                  <w:tcW w:w="655" w:type="dxa"/>
                  <w:tcBorders>
                    <w:tl2br w:val="nil"/>
                    <w:tr2bl w:val="nil"/>
                  </w:tcBorders>
                  <w:vAlign w:val="center"/>
                </w:tcPr>
                <w:p w14:paraId="58C4D976">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符合</w:t>
                  </w:r>
                </w:p>
              </w:tc>
            </w:tr>
            <w:tr w14:paraId="40A382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449" w:type="dxa"/>
                  <w:tcBorders>
                    <w:tl2br w:val="nil"/>
                    <w:tr2bl w:val="nil"/>
                  </w:tcBorders>
                  <w:vAlign w:val="center"/>
                </w:tcPr>
                <w:p w14:paraId="6BC833B3">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10</w:t>
                  </w:r>
                </w:p>
              </w:tc>
              <w:tc>
                <w:tcPr>
                  <w:tcW w:w="3720" w:type="dxa"/>
                  <w:tcBorders>
                    <w:tl2br w:val="nil"/>
                    <w:tr2bl w:val="nil"/>
                  </w:tcBorders>
                  <w:vAlign w:val="center"/>
                </w:tcPr>
                <w:p w14:paraId="7A74434C">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ascii="Times New Roman" w:hAnsi="Times New Roman"/>
                      <w:sz w:val="21"/>
                      <w:szCs w:val="21"/>
                    </w:rPr>
                    <w:t>对环境保护措施进行了深入论证，建设单位主体责任、投资估算、时间节点、预期效果明确，确保科学有效、安全可行、绿色协调。</w:t>
                  </w:r>
                </w:p>
              </w:tc>
              <w:tc>
                <w:tcPr>
                  <w:tcW w:w="2033" w:type="dxa"/>
                  <w:tcBorders>
                    <w:tl2br w:val="nil"/>
                    <w:tr2bl w:val="nil"/>
                  </w:tcBorders>
                  <w:vAlign w:val="center"/>
                </w:tcPr>
                <w:p w14:paraId="5946C2C1">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报告对环保措施进行了论证，建设单位主体责任、投资估算、时间节点、预期效果明确。</w:t>
                  </w:r>
                </w:p>
              </w:tc>
              <w:tc>
                <w:tcPr>
                  <w:tcW w:w="655" w:type="dxa"/>
                  <w:tcBorders>
                    <w:tl2br w:val="nil"/>
                    <w:tr2bl w:val="nil"/>
                  </w:tcBorders>
                  <w:vAlign w:val="center"/>
                </w:tcPr>
                <w:p w14:paraId="0AAA419B">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符合</w:t>
                  </w:r>
                </w:p>
              </w:tc>
            </w:tr>
          </w:tbl>
          <w:p w14:paraId="5BD1010C">
            <w:pPr>
              <w:ind w:firstLine="480"/>
            </w:pPr>
            <w:r>
              <w:t>综上，本项目与《水利建设项目（河湖整治与防洪除涝工程）环境影响评价文件审批原则（试行）》</w:t>
            </w:r>
            <w:r>
              <w:rPr>
                <w:rFonts w:hint="eastAsia"/>
              </w:rPr>
              <w:t>相关要求</w:t>
            </w:r>
            <w:r>
              <w:t>相符。</w:t>
            </w:r>
          </w:p>
          <w:p w14:paraId="7C21FFD3">
            <w:pPr>
              <w:ind w:right="120" w:rightChars="50" w:firstLine="0" w:firstLineChars="0"/>
              <w:rPr>
                <w:b/>
                <w:bCs/>
              </w:rPr>
            </w:pPr>
            <w:r>
              <w:rPr>
                <w:rFonts w:hint="eastAsia"/>
                <w:b/>
                <w:bCs/>
              </w:rPr>
              <w:t>6、与生态环境分区管控的符合性分析</w:t>
            </w:r>
          </w:p>
          <w:p w14:paraId="3F603305">
            <w:pPr>
              <w:ind w:firstLine="482"/>
              <w:rPr>
                <w:b/>
                <w:bCs/>
              </w:rPr>
            </w:pPr>
            <w:r>
              <w:rPr>
                <w:rFonts w:hint="eastAsia"/>
                <w:b/>
                <w:bCs/>
              </w:rPr>
              <w:t>（1）本项目与巴中市、巴州区总体生态环境管控要求符合性分析</w:t>
            </w:r>
          </w:p>
          <w:p w14:paraId="689219E9">
            <w:pPr>
              <w:ind w:firstLine="480"/>
            </w:pPr>
            <w:r>
              <w:t>根据四川省生态环境厅办公室关于印发《项目环评</w:t>
            </w:r>
            <w:r>
              <w:rPr>
                <w:rFonts w:hint="eastAsia"/>
              </w:rPr>
              <w:t>“</w:t>
            </w:r>
            <w:r>
              <w:t>三线一单</w:t>
            </w:r>
            <w:r>
              <w:rPr>
                <w:rFonts w:hint="eastAsia"/>
              </w:rPr>
              <w:t>”</w:t>
            </w:r>
            <w:r>
              <w:t>符合性分析技术要点（试行）》的通知》（川环办函〔2021〕469号）</w:t>
            </w:r>
            <w:r>
              <w:rPr>
                <w:rFonts w:hint="eastAsia"/>
              </w:rPr>
              <w:t>、巴中市人民政府《关于实施“三线一单”生态环境分区管控的通知》（巴府发〔2021〕5号）、《巴中市生态环境保护委员会办公室关于加强生态环境分区管控的通知》，本项目与巴中市、巴州区总体生态环境管控要求符合性分析如下。</w:t>
            </w:r>
          </w:p>
          <w:p w14:paraId="3342FE9F">
            <w:pPr>
              <w:ind w:firstLine="0" w:firstLineChars="0"/>
              <w:jc w:val="center"/>
              <w:rPr>
                <w:b/>
                <w:bCs/>
                <w:sz w:val="21"/>
                <w:szCs w:val="21"/>
              </w:rPr>
            </w:pPr>
            <w:r>
              <w:rPr>
                <w:rFonts w:hint="eastAsia"/>
                <w:b/>
                <w:bCs/>
                <w:sz w:val="21"/>
                <w:szCs w:val="21"/>
              </w:rPr>
              <w:t>表1-5  市级总体管控要求</w:t>
            </w:r>
          </w:p>
          <w:tbl>
            <w:tblPr>
              <w:tblStyle w:val="19"/>
              <w:tblW w:w="689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50"/>
              <w:gridCol w:w="4967"/>
              <w:gridCol w:w="1382"/>
            </w:tblGrid>
            <w:tr w14:paraId="2E9D2A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610" w:hRule="atLeast"/>
                <w:jc w:val="center"/>
              </w:trPr>
              <w:tc>
                <w:tcPr>
                  <w:tcW w:w="550" w:type="dxa"/>
                  <w:tcBorders>
                    <w:tl2br w:val="nil"/>
                    <w:tr2bl w:val="nil"/>
                  </w:tcBorders>
                  <w:tcMar>
                    <w:left w:w="11" w:type="dxa"/>
                    <w:right w:w="11" w:type="dxa"/>
                  </w:tcMar>
                  <w:vAlign w:val="center"/>
                </w:tcPr>
                <w:p w14:paraId="2C2EECA2">
                  <w:pPr>
                    <w:pStyle w:val="16"/>
                    <w:widowControl w:val="0"/>
                    <w:spacing w:before="0" w:beforeAutospacing="0" w:after="0" w:afterAutospacing="0" w:line="276" w:lineRule="auto"/>
                    <w:ind w:firstLine="0" w:firstLineChars="0"/>
                    <w:jc w:val="center"/>
                    <w:rPr>
                      <w:rFonts w:ascii="Times New Roman" w:hAnsi="Times New Roman"/>
                      <w:b/>
                      <w:bCs/>
                      <w:sz w:val="21"/>
                      <w:szCs w:val="21"/>
                    </w:rPr>
                  </w:pPr>
                  <w:r>
                    <w:rPr>
                      <w:rFonts w:hint="eastAsia" w:ascii="Times New Roman" w:hAnsi="Times New Roman"/>
                      <w:b/>
                      <w:bCs/>
                      <w:sz w:val="21"/>
                      <w:szCs w:val="21"/>
                    </w:rPr>
                    <w:t>行政区划</w:t>
                  </w:r>
                </w:p>
              </w:tc>
              <w:tc>
                <w:tcPr>
                  <w:tcW w:w="4967" w:type="dxa"/>
                  <w:tcBorders>
                    <w:tl2br w:val="nil"/>
                    <w:tr2bl w:val="nil"/>
                  </w:tcBorders>
                  <w:tcMar>
                    <w:left w:w="11" w:type="dxa"/>
                    <w:right w:w="11" w:type="dxa"/>
                  </w:tcMar>
                  <w:vAlign w:val="center"/>
                </w:tcPr>
                <w:p w14:paraId="1F38D8A6">
                  <w:pPr>
                    <w:pStyle w:val="16"/>
                    <w:widowControl w:val="0"/>
                    <w:spacing w:before="0" w:beforeAutospacing="0" w:after="0" w:afterAutospacing="0" w:line="276" w:lineRule="auto"/>
                    <w:ind w:firstLine="0" w:firstLineChars="0"/>
                    <w:jc w:val="center"/>
                    <w:rPr>
                      <w:rFonts w:ascii="Times New Roman" w:hAnsi="Times New Roman"/>
                      <w:b/>
                      <w:bCs/>
                      <w:sz w:val="21"/>
                      <w:szCs w:val="21"/>
                    </w:rPr>
                  </w:pPr>
                  <w:r>
                    <w:rPr>
                      <w:rFonts w:ascii="Times New Roman" w:hAnsi="Times New Roman"/>
                      <w:b/>
                      <w:bCs/>
                      <w:sz w:val="21"/>
                      <w:szCs w:val="21"/>
                    </w:rPr>
                    <w:t>总体管控要求</w:t>
                  </w:r>
                </w:p>
              </w:tc>
              <w:tc>
                <w:tcPr>
                  <w:tcW w:w="1382" w:type="dxa"/>
                  <w:tcBorders>
                    <w:tl2br w:val="nil"/>
                    <w:tr2bl w:val="nil"/>
                  </w:tcBorders>
                  <w:tcMar>
                    <w:left w:w="11" w:type="dxa"/>
                    <w:right w:w="11" w:type="dxa"/>
                  </w:tcMar>
                  <w:vAlign w:val="center"/>
                </w:tcPr>
                <w:p w14:paraId="62DC0AF4">
                  <w:pPr>
                    <w:pStyle w:val="16"/>
                    <w:widowControl w:val="0"/>
                    <w:spacing w:before="0" w:beforeAutospacing="0" w:after="0" w:afterAutospacing="0" w:line="276" w:lineRule="auto"/>
                    <w:ind w:firstLine="0" w:firstLineChars="0"/>
                    <w:jc w:val="center"/>
                    <w:rPr>
                      <w:rFonts w:ascii="Times New Roman" w:hAnsi="Times New Roman"/>
                      <w:b/>
                      <w:bCs/>
                      <w:sz w:val="21"/>
                      <w:szCs w:val="21"/>
                    </w:rPr>
                  </w:pPr>
                  <w:r>
                    <w:rPr>
                      <w:rFonts w:ascii="Times New Roman" w:hAnsi="Times New Roman"/>
                      <w:b/>
                      <w:bCs/>
                      <w:sz w:val="21"/>
                      <w:szCs w:val="21"/>
                    </w:rPr>
                    <w:t>本项目</w:t>
                  </w:r>
                </w:p>
              </w:tc>
            </w:tr>
            <w:tr w14:paraId="0F9E24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0" w:type="dxa"/>
                  <w:tcBorders>
                    <w:tl2br w:val="nil"/>
                    <w:tr2bl w:val="nil"/>
                  </w:tcBorders>
                  <w:tcMar>
                    <w:left w:w="11" w:type="dxa"/>
                    <w:right w:w="11" w:type="dxa"/>
                  </w:tcMar>
                  <w:vAlign w:val="center"/>
                </w:tcPr>
                <w:p w14:paraId="5E7DE81B">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hint="eastAsia" w:ascii="Times New Roman" w:hAnsi="Times New Roman"/>
                      <w:sz w:val="21"/>
                      <w:szCs w:val="21"/>
                    </w:rPr>
                    <w:t>巴中市</w:t>
                  </w:r>
                </w:p>
              </w:tc>
              <w:tc>
                <w:tcPr>
                  <w:tcW w:w="4967" w:type="dxa"/>
                  <w:tcBorders>
                    <w:tl2br w:val="nil"/>
                    <w:tr2bl w:val="nil"/>
                  </w:tcBorders>
                  <w:tcMar>
                    <w:left w:w="11" w:type="dxa"/>
                    <w:right w:w="11" w:type="dxa"/>
                  </w:tcMar>
                  <w:vAlign w:val="center"/>
                </w:tcPr>
                <w:p w14:paraId="1F3E4447">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培育和引入产业必须符合国家产业政策，严控新建、扩建</w:t>
                  </w:r>
                  <w:r>
                    <w:rPr>
                      <w:rFonts w:hint="eastAsia" w:ascii="Times New Roman" w:hAnsi="Times New Roman"/>
                      <w:sz w:val="21"/>
                      <w:szCs w:val="21"/>
                    </w:rPr>
                    <w:t>“</w:t>
                  </w:r>
                  <w:r>
                    <w:rPr>
                      <w:rFonts w:ascii="Times New Roman" w:hAnsi="Times New Roman"/>
                      <w:sz w:val="21"/>
                      <w:szCs w:val="21"/>
                    </w:rPr>
                    <w:t>两高</w:t>
                  </w:r>
                  <w:r>
                    <w:rPr>
                      <w:rFonts w:hint="eastAsia" w:ascii="Times New Roman" w:hAnsi="Times New Roman"/>
                      <w:sz w:val="21"/>
                      <w:szCs w:val="21"/>
                    </w:rPr>
                    <w:t>”</w:t>
                  </w:r>
                  <w:r>
                    <w:rPr>
                      <w:rFonts w:ascii="Times New Roman" w:hAnsi="Times New Roman"/>
                      <w:sz w:val="21"/>
                      <w:szCs w:val="21"/>
                    </w:rPr>
                    <w:t>项目，强化企业环境管理；</w:t>
                  </w:r>
                </w:p>
                <w:p w14:paraId="32CE23EC">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hint="eastAsia" w:ascii="Times New Roman" w:hAnsi="Times New Roman"/>
                      <w:sz w:val="21"/>
                      <w:szCs w:val="21"/>
                    </w:rPr>
                    <w:t>（2）</w:t>
                  </w:r>
                  <w:r>
                    <w:rPr>
                      <w:rFonts w:ascii="Times New Roman" w:hAnsi="Times New Roman"/>
                      <w:sz w:val="21"/>
                      <w:szCs w:val="21"/>
                    </w:rPr>
                    <w:t>强化水、大气、土壤等污染源头管控，深化环境污染治理，完善污染治理基础设施，巩固提升环境质量；</w:t>
                  </w:r>
                </w:p>
                <w:p w14:paraId="2944DD31">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hint="eastAsia" w:ascii="Times New Roman" w:hAnsi="Times New Roman"/>
                      <w:sz w:val="21"/>
                      <w:szCs w:val="21"/>
                    </w:rPr>
                    <w:t>（3）</w:t>
                  </w:r>
                  <w:r>
                    <w:rPr>
                      <w:rFonts w:ascii="Times New Roman" w:hAnsi="Times New Roman"/>
                      <w:sz w:val="21"/>
                      <w:szCs w:val="21"/>
                    </w:rPr>
                    <w:t>合理控制并优化生态环境敏感区内的旅游开发建设活动，合理开发利用水利资源，大力发展生态康养旅游产业。严格落实自然保护地、生态保护红线、集中式饮用水水源保护区等管控要求；</w:t>
                  </w:r>
                </w:p>
                <w:p w14:paraId="51E66D14">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hint="eastAsia" w:ascii="Times New Roman" w:hAnsi="Times New Roman"/>
                      <w:sz w:val="21"/>
                      <w:szCs w:val="21"/>
                    </w:rPr>
                    <w:t>（4）</w:t>
                  </w:r>
                  <w:r>
                    <w:rPr>
                      <w:rFonts w:ascii="Times New Roman" w:hAnsi="Times New Roman"/>
                      <w:sz w:val="21"/>
                      <w:szCs w:val="21"/>
                    </w:rPr>
                    <w:t>加强农村环境综合治理，积极发展生态农业和有机农业，严格控制化肥、农药、农膜使用量，合理布局畜禽养殖，持续推进畜禽粪污综合利用；</w:t>
                  </w:r>
                </w:p>
                <w:p w14:paraId="0FF36EA9">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hint="eastAsia" w:ascii="Times New Roman" w:hAnsi="Times New Roman"/>
                      <w:sz w:val="21"/>
                      <w:szCs w:val="21"/>
                    </w:rPr>
                    <w:t>（5）</w:t>
                  </w:r>
                  <w:r>
                    <w:rPr>
                      <w:rFonts w:ascii="Times New Roman" w:hAnsi="Times New Roman"/>
                      <w:sz w:val="21"/>
                      <w:szCs w:val="21"/>
                    </w:rPr>
                    <w:t>加强城乡集中式饮用水水源保护，确保饮用水水源安全；</w:t>
                  </w:r>
                </w:p>
                <w:p w14:paraId="08E90D6F">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hint="eastAsia" w:ascii="Times New Roman" w:hAnsi="Times New Roman"/>
                      <w:sz w:val="21"/>
                      <w:szCs w:val="21"/>
                    </w:rPr>
                    <w:t>（6）</w:t>
                  </w:r>
                  <w:r>
                    <w:rPr>
                      <w:rFonts w:ascii="Times New Roman" w:hAnsi="Times New Roman"/>
                      <w:sz w:val="21"/>
                      <w:szCs w:val="21"/>
                    </w:rPr>
                    <w:t>加强与相邻省、市的环境风险联防联控。</w:t>
                  </w:r>
                </w:p>
              </w:tc>
              <w:tc>
                <w:tcPr>
                  <w:tcW w:w="1382" w:type="dxa"/>
                  <w:tcBorders>
                    <w:tl2br w:val="nil"/>
                    <w:tr2bl w:val="nil"/>
                  </w:tcBorders>
                  <w:tcMar>
                    <w:left w:w="11" w:type="dxa"/>
                    <w:right w:w="11" w:type="dxa"/>
                  </w:tcMar>
                  <w:vAlign w:val="center"/>
                </w:tcPr>
                <w:p w14:paraId="6FB50C1A">
                  <w:pPr>
                    <w:pStyle w:val="16"/>
                    <w:widowControl w:val="0"/>
                    <w:spacing w:before="0" w:beforeAutospacing="0" w:after="0" w:afterAutospacing="0" w:line="276" w:lineRule="auto"/>
                    <w:ind w:firstLine="0" w:firstLineChars="0"/>
                    <w:jc w:val="center"/>
                    <w:rPr>
                      <w:rFonts w:ascii="Times New Roman" w:hAnsi="Times New Roman"/>
                      <w:sz w:val="21"/>
                      <w:szCs w:val="21"/>
                      <w:lang w:val="zh-CN"/>
                    </w:rPr>
                  </w:pPr>
                  <w:r>
                    <w:rPr>
                      <w:rFonts w:hint="eastAsia" w:ascii="Times New Roman" w:hAnsi="Times New Roman"/>
                      <w:sz w:val="21"/>
                      <w:szCs w:val="21"/>
                      <w:lang w:val="zh-CN"/>
                    </w:rPr>
                    <w:t>本项目</w:t>
                  </w:r>
                  <w:r>
                    <w:rPr>
                      <w:rFonts w:ascii="Times New Roman" w:hAnsi="Times New Roman"/>
                      <w:sz w:val="21"/>
                      <w:szCs w:val="21"/>
                      <w:lang w:val="zh-CN"/>
                    </w:rPr>
                    <w:t>不涉及</w:t>
                  </w:r>
                </w:p>
              </w:tc>
            </w:tr>
            <w:tr w14:paraId="271B9F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550" w:type="dxa"/>
                  <w:tcBorders>
                    <w:tl2br w:val="nil"/>
                    <w:tr2bl w:val="nil"/>
                  </w:tcBorders>
                  <w:tcMar>
                    <w:left w:w="11" w:type="dxa"/>
                    <w:right w:w="11" w:type="dxa"/>
                  </w:tcMar>
                  <w:vAlign w:val="center"/>
                </w:tcPr>
                <w:p w14:paraId="40F6A0EB">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ascii="Times New Roman" w:hAnsi="Times New Roman"/>
                      <w:sz w:val="21"/>
                      <w:szCs w:val="21"/>
                    </w:rPr>
                    <w:t>巴州区</w:t>
                  </w:r>
                </w:p>
              </w:tc>
              <w:tc>
                <w:tcPr>
                  <w:tcW w:w="4967" w:type="dxa"/>
                  <w:tcBorders>
                    <w:tl2br w:val="nil"/>
                    <w:tr2bl w:val="nil"/>
                  </w:tcBorders>
                  <w:tcMar>
                    <w:left w:w="11" w:type="dxa"/>
                    <w:right w:w="11" w:type="dxa"/>
                  </w:tcMar>
                  <w:vAlign w:val="center"/>
                </w:tcPr>
                <w:p w14:paraId="5088260C">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加强流域水污染防治，推进流域水生态环境修复与治理；</w:t>
                  </w:r>
                </w:p>
                <w:p w14:paraId="12286990">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hint="eastAsia" w:ascii="Times New Roman" w:hAnsi="Times New Roman"/>
                      <w:sz w:val="21"/>
                      <w:szCs w:val="21"/>
                    </w:rPr>
                    <w:t>（2）</w:t>
                  </w:r>
                  <w:r>
                    <w:rPr>
                      <w:rFonts w:ascii="Times New Roman" w:hAnsi="Times New Roman"/>
                      <w:sz w:val="21"/>
                      <w:szCs w:val="21"/>
                    </w:rPr>
                    <w:t>加强工业园区内和园区外企业污染排放监管，推进</w:t>
                  </w:r>
                  <w:r>
                    <w:rPr>
                      <w:rFonts w:hint="eastAsia" w:ascii="Times New Roman" w:hAnsi="Times New Roman"/>
                      <w:sz w:val="21"/>
                      <w:szCs w:val="21"/>
                    </w:rPr>
                    <w:t>“</w:t>
                  </w:r>
                  <w:r>
                    <w:rPr>
                      <w:rFonts w:ascii="Times New Roman" w:hAnsi="Times New Roman"/>
                      <w:sz w:val="21"/>
                      <w:szCs w:val="21"/>
                    </w:rPr>
                    <w:t>散乱污</w:t>
                  </w:r>
                  <w:r>
                    <w:rPr>
                      <w:rFonts w:hint="eastAsia" w:ascii="Times New Roman" w:hAnsi="Times New Roman"/>
                      <w:sz w:val="21"/>
                      <w:szCs w:val="21"/>
                    </w:rPr>
                    <w:t>”</w:t>
                  </w:r>
                  <w:r>
                    <w:rPr>
                      <w:rFonts w:ascii="Times New Roman" w:hAnsi="Times New Roman"/>
                      <w:sz w:val="21"/>
                      <w:szCs w:val="21"/>
                    </w:rPr>
                    <w:t>企业整治；</w:t>
                  </w:r>
                </w:p>
                <w:p w14:paraId="33666C91">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hint="eastAsia" w:ascii="Times New Roman" w:hAnsi="Times New Roman"/>
                      <w:sz w:val="21"/>
                      <w:szCs w:val="21"/>
                    </w:rPr>
                    <w:t>（3）</w:t>
                  </w:r>
                  <w:r>
                    <w:rPr>
                      <w:rFonts w:ascii="Times New Roman" w:hAnsi="Times New Roman"/>
                      <w:sz w:val="21"/>
                      <w:szCs w:val="21"/>
                    </w:rPr>
                    <w:t>强化扬尘源、燃烧源和移动源等大气污染防治；</w:t>
                  </w:r>
                </w:p>
                <w:p w14:paraId="7B5FB370">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hint="eastAsia" w:ascii="Times New Roman" w:hAnsi="Times New Roman"/>
                      <w:sz w:val="21"/>
                      <w:szCs w:val="21"/>
                    </w:rPr>
                    <w:t>（4）</w:t>
                  </w:r>
                  <w:r>
                    <w:rPr>
                      <w:rFonts w:ascii="Times New Roman" w:hAnsi="Times New Roman"/>
                      <w:sz w:val="21"/>
                      <w:szCs w:val="21"/>
                    </w:rPr>
                    <w:t>强化建筑垃圾、生活垃圾、餐厨垃圾综合利用和无害化处置及危险废物环境风险管控；</w:t>
                  </w:r>
                </w:p>
                <w:p w14:paraId="2173DBCE">
                  <w:pPr>
                    <w:pStyle w:val="16"/>
                    <w:widowControl w:val="0"/>
                    <w:spacing w:before="0" w:beforeAutospacing="0" w:after="0" w:afterAutospacing="0" w:line="276" w:lineRule="auto"/>
                    <w:ind w:firstLine="0" w:firstLineChars="0"/>
                    <w:jc w:val="both"/>
                    <w:rPr>
                      <w:rFonts w:ascii="Times New Roman" w:hAnsi="Times New Roman"/>
                      <w:sz w:val="21"/>
                      <w:szCs w:val="21"/>
                    </w:rPr>
                  </w:pPr>
                  <w:r>
                    <w:rPr>
                      <w:rFonts w:hint="eastAsia" w:ascii="Times New Roman" w:hAnsi="Times New Roman"/>
                      <w:sz w:val="21"/>
                      <w:szCs w:val="21"/>
                    </w:rPr>
                    <w:t>（5）</w:t>
                  </w:r>
                  <w:r>
                    <w:rPr>
                      <w:rFonts w:ascii="Times New Roman" w:hAnsi="Times New Roman"/>
                      <w:sz w:val="21"/>
                      <w:szCs w:val="21"/>
                    </w:rPr>
                    <w:t>加强城市精细化管理，提升市民对环境的幸福感、获得感。</w:t>
                  </w:r>
                </w:p>
              </w:tc>
              <w:tc>
                <w:tcPr>
                  <w:tcW w:w="1382" w:type="dxa"/>
                  <w:tcBorders>
                    <w:tl2br w:val="nil"/>
                    <w:tr2bl w:val="nil"/>
                  </w:tcBorders>
                  <w:tcMar>
                    <w:left w:w="11" w:type="dxa"/>
                    <w:right w:w="11" w:type="dxa"/>
                  </w:tcMar>
                  <w:vAlign w:val="center"/>
                </w:tcPr>
                <w:p w14:paraId="74C43B16">
                  <w:pPr>
                    <w:pStyle w:val="16"/>
                    <w:widowControl w:val="0"/>
                    <w:spacing w:before="0" w:beforeAutospacing="0" w:after="0" w:afterAutospacing="0" w:line="276" w:lineRule="auto"/>
                    <w:ind w:firstLine="0" w:firstLineChars="0"/>
                    <w:jc w:val="center"/>
                    <w:rPr>
                      <w:rFonts w:ascii="Times New Roman" w:hAnsi="Times New Roman"/>
                      <w:sz w:val="21"/>
                      <w:szCs w:val="21"/>
                    </w:rPr>
                  </w:pPr>
                  <w:r>
                    <w:rPr>
                      <w:rFonts w:hint="eastAsia" w:ascii="Times New Roman" w:hAnsi="Times New Roman"/>
                      <w:sz w:val="21"/>
                      <w:szCs w:val="21"/>
                    </w:rPr>
                    <w:t>本项目</w:t>
                  </w:r>
                  <w:r>
                    <w:rPr>
                      <w:rFonts w:hint="eastAsia"/>
                      <w:sz w:val="21"/>
                      <w:szCs w:val="21"/>
                    </w:rPr>
                    <w:t>属于防洪工程，项目建成后可推动檬子河流域水生生态修复与治理。</w:t>
                  </w:r>
                </w:p>
              </w:tc>
            </w:tr>
          </w:tbl>
          <w:p w14:paraId="69B90F39">
            <w:pPr>
              <w:ind w:firstLine="0" w:firstLineChars="0"/>
              <w:jc w:val="center"/>
            </w:pPr>
            <w:r>
              <w:rPr>
                <w:sz w:val="24"/>
              </w:rPr>
              <mc:AlternateContent>
                <mc:Choice Requires="wps">
                  <w:drawing>
                    <wp:anchor distT="0" distB="0" distL="114300" distR="114300" simplePos="0" relativeHeight="251664384" behindDoc="0" locked="0" layoutInCell="1" allowOverlap="1">
                      <wp:simplePos x="0" y="0"/>
                      <wp:positionH relativeFrom="column">
                        <wp:posOffset>1377315</wp:posOffset>
                      </wp:positionH>
                      <wp:positionV relativeFrom="paragraph">
                        <wp:posOffset>1953260</wp:posOffset>
                      </wp:positionV>
                      <wp:extent cx="3810" cy="635"/>
                      <wp:effectExtent l="0" t="0" r="0" b="0"/>
                      <wp:wrapNone/>
                      <wp:docPr id="18" name="直接连接符 18"/>
                      <wp:cNvGraphicFramePr/>
                      <a:graphic xmlns:a="http://schemas.openxmlformats.org/drawingml/2006/main">
                        <a:graphicData uri="http://schemas.microsoft.com/office/word/2010/wordprocessingShape">
                          <wps:wsp>
                            <wps:cNvCnPr/>
                            <wps:spPr>
                              <a:xfrm flipV="1">
                                <a:off x="3575050" y="3126105"/>
                                <a:ext cx="3810" cy="635"/>
                              </a:xfrm>
                              <a:prstGeom prst="line">
                                <a:avLst/>
                              </a:prstGeom>
                              <a:ln>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08.45pt;margin-top:153.8pt;height:0.05pt;width:0.3pt;z-index:251664384;mso-width-relative:page;mso-height-relative:page;" filled="f" stroked="t" coordsize="21600,21600" o:gfxdata="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kkaEYtkAAAALAQAADwAAAAAAAAABACAAAAAiAAAAZHJzL2Rvd25yZXYu&#10;eG1sUEsBAhQAFAAAAAgAh07iQDM66336AQAAyQMAAA4AAAAAAAAAAQAgAAAAKAEAAGRycy9lMm9E&#10;b2MueG1sUEsFBgAAAAAGAAYAWQEAAJQFAAAAAA==&#10;">
                      <v:fill on="f" focussize="0,0"/>
                      <v:stroke weight="1pt" color="#FF0000 [3204]" miterlimit="8" joinstyle="miter"/>
                      <v:imagedata o:title=""/>
                      <o:lock v:ext="edit" aspectratio="f"/>
                    </v:line>
                  </w:pict>
                </mc:Fallback>
              </mc:AlternateContent>
            </w:r>
            <w:r>
              <mc:AlternateContent>
                <mc:Choice Requires="wps">
                  <w:drawing>
                    <wp:anchor distT="0" distB="0" distL="114300" distR="114300" simplePos="0" relativeHeight="251660288" behindDoc="1" locked="0" layoutInCell="1" allowOverlap="1">
                      <wp:simplePos x="0" y="0"/>
                      <wp:positionH relativeFrom="column">
                        <wp:posOffset>1514475</wp:posOffset>
                      </wp:positionH>
                      <wp:positionV relativeFrom="paragraph">
                        <wp:posOffset>1289050</wp:posOffset>
                      </wp:positionV>
                      <wp:extent cx="673735" cy="262890"/>
                      <wp:effectExtent l="122555" t="6350" r="22860" b="416560"/>
                      <wp:wrapThrough wrapText="bothSides">
                        <wp:wrapPolygon>
                          <wp:start x="-2097" y="-522"/>
                          <wp:lineTo x="-1486" y="35478"/>
                          <wp:lineTo x="-3929" y="49565"/>
                          <wp:lineTo x="-3929" y="54261"/>
                          <wp:lineTo x="-2708" y="54261"/>
                          <wp:lineTo x="-2097" y="54261"/>
                          <wp:lineTo x="8897" y="24522"/>
                          <wp:lineTo x="21111" y="22957"/>
                          <wp:lineTo x="21111" y="-522"/>
                          <wp:lineTo x="-2097" y="-522"/>
                        </wp:wrapPolygon>
                      </wp:wrapThrough>
                      <wp:docPr id="5" name="矩形标注 5"/>
                      <wp:cNvGraphicFramePr/>
                      <a:graphic xmlns:a="http://schemas.openxmlformats.org/drawingml/2006/main">
                        <a:graphicData uri="http://schemas.microsoft.com/office/word/2010/wordprocessingShape">
                          <wps:wsp>
                            <wps:cNvSpPr/>
                            <wps:spPr>
                              <a:xfrm>
                                <a:off x="3482340" y="4751070"/>
                                <a:ext cx="673735" cy="262890"/>
                              </a:xfrm>
                              <a:prstGeom prst="wedgeRectCallout">
                                <a:avLst>
                                  <a:gd name="adj1" fmla="val -64137"/>
                                  <a:gd name="adj2" fmla="val 192270"/>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9A33220">
                                  <w:pPr>
                                    <w:spacing w:line="240" w:lineRule="auto"/>
                                    <w:ind w:firstLine="0" w:firstLineChars="0"/>
                                    <w:jc w:val="left"/>
                                    <w:rPr>
                                      <w:color w:val="FF0000"/>
                                      <w:sz w:val="21"/>
                                      <w:szCs w:val="21"/>
                                    </w:rPr>
                                  </w:pPr>
                                  <w:r>
                                    <w:rPr>
                                      <w:rFonts w:hint="eastAsia"/>
                                      <w:color w:val="FF0000"/>
                                      <w:sz w:val="21"/>
                                      <w:szCs w:val="21"/>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19.25pt;margin-top:101.5pt;height:20.7pt;width:53.05pt;mso-wrap-distance-left:9pt;mso-wrap-distance-right:9pt;z-index:-251656192;v-text-anchor:middle;mso-width-relative:page;mso-height-relative:page;" filled="f" stroked="t" coordsize="21600,21600" wrapcoords="-2097 -522 -1486 35478 -3929 49565 -3929 54261 -2708 54261 -2097 54261 8897 24522 21111 22957 21111 -522 -2097 -522" o:gfxdata="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ETih89gAAAALAQAADwAAAAAAAAABACAAAAAi&#10;AAAAZHJzL2Rvd25yZXYueG1sUEsBAhQAFAAAAAgAh07iQCYUQjW1AgAARgUAAA4AAAAAAAAAAQAg&#10;AAAAJwEAAGRycy9lMm9Eb2MueG1sUEsFBgAAAAAGAAYAWQEAAE4GAAAAAA==&#10;" adj="-3054,52330">
                      <v:fill on="f" focussize="0,0"/>
                      <v:stroke weight="1pt" color="#FF0000 [2404]" miterlimit="8" joinstyle="miter"/>
                      <v:imagedata o:title=""/>
                      <o:lock v:ext="edit" aspectratio="f"/>
                      <v:textbox>
                        <w:txbxContent>
                          <w:p w14:paraId="59A33220">
                            <w:pPr>
                              <w:spacing w:line="240" w:lineRule="auto"/>
                              <w:ind w:firstLine="0" w:firstLineChars="0"/>
                              <w:jc w:val="left"/>
                              <w:rPr>
                                <w:color w:val="FF0000"/>
                                <w:sz w:val="21"/>
                                <w:szCs w:val="21"/>
                              </w:rPr>
                            </w:pPr>
                            <w:r>
                              <w:rPr>
                                <w:rFonts w:hint="eastAsia"/>
                                <w:color w:val="FF0000"/>
                                <w:sz w:val="21"/>
                                <w:szCs w:val="21"/>
                              </w:rPr>
                              <w:t>本项目</w:t>
                            </w:r>
                          </w:p>
                        </w:txbxContent>
                      </v:textbox>
                      <w10:wrap type="through"/>
                    </v:shape>
                  </w:pict>
                </mc:Fallback>
              </mc:AlternateContent>
            </w:r>
            <w:r>
              <w:rPr>
                <w:rFonts w:ascii="宋体" w:hAnsi="宋体" w:cs="宋体"/>
              </w:rPr>
              <w:drawing>
                <wp:inline distT="0" distB="0" distL="114300" distR="114300">
                  <wp:extent cx="4295140" cy="3040380"/>
                  <wp:effectExtent l="0" t="0" r="10160" b="7620"/>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13"/>
                          <a:stretch>
                            <a:fillRect/>
                          </a:stretch>
                        </pic:blipFill>
                        <pic:spPr>
                          <a:xfrm>
                            <a:off x="0" y="0"/>
                            <a:ext cx="4295140" cy="3040380"/>
                          </a:xfrm>
                          <a:prstGeom prst="rect">
                            <a:avLst/>
                          </a:prstGeom>
                          <a:noFill/>
                          <a:ln w="9525">
                            <a:noFill/>
                          </a:ln>
                        </pic:spPr>
                      </pic:pic>
                    </a:graphicData>
                  </a:graphic>
                </wp:inline>
              </w:drawing>
            </w:r>
          </w:p>
          <w:p w14:paraId="7B89E7A7">
            <w:pPr>
              <w:autoSpaceDE w:val="0"/>
              <w:autoSpaceDN w:val="0"/>
              <w:adjustRightInd w:val="0"/>
              <w:snapToGrid w:val="0"/>
              <w:ind w:right="120" w:rightChars="50" w:firstLine="0" w:firstLineChars="0"/>
              <w:jc w:val="center"/>
              <w:rPr>
                <w:b/>
                <w:bCs/>
                <w:kern w:val="0"/>
                <w:sz w:val="21"/>
                <w:szCs w:val="21"/>
              </w:rPr>
            </w:pPr>
            <w:r>
              <w:rPr>
                <w:b/>
                <w:bCs/>
                <w:kern w:val="0"/>
                <w:sz w:val="21"/>
                <w:szCs w:val="21"/>
              </w:rPr>
              <w:t>图1</w:t>
            </w:r>
            <w:r>
              <w:rPr>
                <w:rFonts w:hint="eastAsia"/>
                <w:b/>
                <w:bCs/>
                <w:kern w:val="0"/>
                <w:sz w:val="21"/>
                <w:szCs w:val="21"/>
              </w:rPr>
              <w:t>-1</w:t>
            </w:r>
            <w:r>
              <w:rPr>
                <w:b/>
                <w:bCs/>
                <w:kern w:val="0"/>
                <w:sz w:val="21"/>
                <w:szCs w:val="21"/>
              </w:rPr>
              <w:t xml:space="preserve">  项目与</w:t>
            </w:r>
            <w:r>
              <w:rPr>
                <w:rFonts w:hint="eastAsia"/>
                <w:b/>
                <w:bCs/>
                <w:kern w:val="0"/>
                <w:sz w:val="21"/>
                <w:szCs w:val="21"/>
              </w:rPr>
              <w:t>巴中市</w:t>
            </w:r>
            <w:r>
              <w:rPr>
                <w:b/>
                <w:bCs/>
                <w:kern w:val="0"/>
                <w:sz w:val="21"/>
                <w:szCs w:val="21"/>
              </w:rPr>
              <w:t>环境管控单元位置关系图</w:t>
            </w:r>
          </w:p>
          <w:p w14:paraId="7488EBB9">
            <w:pPr>
              <w:ind w:firstLine="482"/>
              <w:rPr>
                <w:b/>
                <w:bCs/>
              </w:rPr>
            </w:pPr>
            <w:r>
              <w:rPr>
                <w:rFonts w:hint="eastAsia"/>
                <w:b/>
                <w:bCs/>
              </w:rPr>
              <w:t>（2）与生态环境分区管控符合性分析</w:t>
            </w:r>
          </w:p>
          <w:p w14:paraId="43C8145D">
            <w:pPr>
              <w:ind w:firstLine="480"/>
            </w:pPr>
            <w:r>
              <w:t>根据四川省政务网</w:t>
            </w:r>
            <w:r>
              <w:rPr>
                <w:rFonts w:hint="eastAsia"/>
              </w:rPr>
              <w:t>“</w:t>
            </w:r>
            <w:r>
              <w:t>生态环境分区管控公众服务</w:t>
            </w:r>
            <w:r>
              <w:rPr>
                <w:rFonts w:hint="eastAsia"/>
              </w:rPr>
              <w:t>”网页（https://www.sczwfw.gov.cn/tftb/jmopenpub/jmopen_files/webapp/html5/scssthjtgzfwptdmibc/index.html?areaCode=510000000000#/addressAnalysis）辅助研判查询分析结果，本项目涉及生态环境管控单元1个，涉及环境要素管控分区8个，详见下表。</w:t>
            </w:r>
          </w:p>
          <w:p w14:paraId="6DC20CDF">
            <w:pPr>
              <w:ind w:firstLine="0" w:firstLineChars="0"/>
              <w:jc w:val="center"/>
              <w:rPr>
                <w:b/>
                <w:bCs/>
                <w:sz w:val="21"/>
                <w:szCs w:val="21"/>
              </w:rPr>
            </w:pPr>
            <w:r>
              <w:rPr>
                <w:rFonts w:hint="eastAsia"/>
                <w:b/>
                <w:bCs/>
                <w:sz w:val="21"/>
                <w:szCs w:val="21"/>
              </w:rPr>
              <w:t xml:space="preserve">表1-6  </w:t>
            </w:r>
            <w:r>
              <w:rPr>
                <w:b/>
                <w:bCs/>
                <w:sz w:val="21"/>
                <w:szCs w:val="21"/>
              </w:rPr>
              <w:t xml:space="preserve"> 本项目涉及的生态环境管控单元情况表</w:t>
            </w:r>
          </w:p>
          <w:tbl>
            <w:tblPr>
              <w:tblStyle w:val="19"/>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81"/>
              <w:gridCol w:w="1916"/>
              <w:gridCol w:w="1500"/>
              <w:gridCol w:w="1460"/>
            </w:tblGrid>
            <w:tr w14:paraId="0AC575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3" w:hRule="atLeast"/>
                <w:jc w:val="center"/>
              </w:trPr>
              <w:tc>
                <w:tcPr>
                  <w:tcW w:w="1981" w:type="dxa"/>
                  <w:tcBorders>
                    <w:tl2br w:val="nil"/>
                    <w:tr2bl w:val="nil"/>
                  </w:tcBorders>
                  <w:vAlign w:val="center"/>
                </w:tcPr>
                <w:p w14:paraId="4874C617">
                  <w:pPr>
                    <w:pStyle w:val="16"/>
                    <w:widowControl w:val="0"/>
                    <w:spacing w:before="0" w:beforeAutospacing="0" w:after="0" w:afterAutospacing="0" w:line="240" w:lineRule="auto"/>
                    <w:ind w:firstLine="0" w:firstLineChars="0"/>
                    <w:jc w:val="center"/>
                    <w:rPr>
                      <w:rFonts w:ascii="Times New Roman" w:hAnsi="Times New Roman"/>
                      <w:b/>
                      <w:bCs/>
                      <w:sz w:val="21"/>
                      <w:szCs w:val="21"/>
                    </w:rPr>
                  </w:pPr>
                  <w:r>
                    <w:rPr>
                      <w:rFonts w:hint="eastAsia" w:ascii="Times New Roman" w:hAnsi="Times New Roman"/>
                      <w:b/>
                      <w:bCs/>
                      <w:sz w:val="21"/>
                      <w:szCs w:val="21"/>
                    </w:rPr>
                    <w:t>涉及环境管控单元名称</w:t>
                  </w:r>
                </w:p>
              </w:tc>
              <w:tc>
                <w:tcPr>
                  <w:tcW w:w="1916" w:type="dxa"/>
                  <w:tcBorders>
                    <w:tl2br w:val="nil"/>
                    <w:tr2bl w:val="nil"/>
                  </w:tcBorders>
                  <w:vAlign w:val="center"/>
                </w:tcPr>
                <w:p w14:paraId="42E03C98">
                  <w:pPr>
                    <w:pStyle w:val="16"/>
                    <w:widowControl w:val="0"/>
                    <w:spacing w:before="0" w:beforeAutospacing="0" w:after="0" w:afterAutospacing="0" w:line="240" w:lineRule="auto"/>
                    <w:ind w:firstLine="0" w:firstLineChars="0"/>
                    <w:jc w:val="center"/>
                    <w:rPr>
                      <w:rFonts w:ascii="Times New Roman" w:hAnsi="Times New Roman"/>
                      <w:b/>
                      <w:bCs/>
                      <w:sz w:val="21"/>
                      <w:szCs w:val="21"/>
                    </w:rPr>
                  </w:pPr>
                  <w:r>
                    <w:rPr>
                      <w:rFonts w:hint="eastAsia" w:ascii="Times New Roman" w:hAnsi="Times New Roman"/>
                      <w:b/>
                      <w:bCs/>
                      <w:sz w:val="21"/>
                      <w:szCs w:val="21"/>
                    </w:rPr>
                    <w:t>涉及环境管控单元编码</w:t>
                  </w:r>
                </w:p>
              </w:tc>
              <w:tc>
                <w:tcPr>
                  <w:tcW w:w="1500" w:type="dxa"/>
                  <w:tcBorders>
                    <w:tl2br w:val="nil"/>
                    <w:tr2bl w:val="nil"/>
                  </w:tcBorders>
                  <w:vAlign w:val="center"/>
                </w:tcPr>
                <w:p w14:paraId="2F815DB3">
                  <w:pPr>
                    <w:pStyle w:val="16"/>
                    <w:widowControl w:val="0"/>
                    <w:spacing w:before="0" w:beforeAutospacing="0" w:after="0" w:afterAutospacing="0" w:line="240" w:lineRule="auto"/>
                    <w:ind w:firstLine="0" w:firstLineChars="0"/>
                    <w:jc w:val="center"/>
                    <w:rPr>
                      <w:rFonts w:ascii="Times New Roman" w:hAnsi="Times New Roman"/>
                      <w:b/>
                      <w:bCs/>
                      <w:sz w:val="21"/>
                      <w:szCs w:val="21"/>
                    </w:rPr>
                  </w:pPr>
                  <w:r>
                    <w:rPr>
                      <w:rFonts w:hint="eastAsia" w:ascii="Times New Roman" w:hAnsi="Times New Roman"/>
                      <w:b/>
                      <w:bCs/>
                      <w:sz w:val="21"/>
                      <w:szCs w:val="21"/>
                    </w:rPr>
                    <w:t>行政区划</w:t>
                  </w:r>
                </w:p>
              </w:tc>
              <w:tc>
                <w:tcPr>
                  <w:tcW w:w="1460" w:type="dxa"/>
                  <w:tcBorders>
                    <w:tl2br w:val="nil"/>
                    <w:tr2bl w:val="nil"/>
                  </w:tcBorders>
                  <w:vAlign w:val="center"/>
                </w:tcPr>
                <w:p w14:paraId="10F464A3">
                  <w:pPr>
                    <w:pStyle w:val="16"/>
                    <w:widowControl w:val="0"/>
                    <w:spacing w:before="0" w:beforeAutospacing="0" w:after="0" w:afterAutospacing="0" w:line="240" w:lineRule="auto"/>
                    <w:ind w:firstLine="0" w:firstLineChars="0"/>
                    <w:jc w:val="center"/>
                    <w:rPr>
                      <w:rFonts w:ascii="Times New Roman" w:hAnsi="Times New Roman"/>
                      <w:b/>
                      <w:bCs/>
                      <w:sz w:val="21"/>
                      <w:szCs w:val="21"/>
                    </w:rPr>
                  </w:pPr>
                  <w:r>
                    <w:rPr>
                      <w:rFonts w:hint="eastAsia" w:ascii="Times New Roman" w:hAnsi="Times New Roman"/>
                      <w:b/>
                      <w:bCs/>
                      <w:sz w:val="21"/>
                      <w:szCs w:val="21"/>
                    </w:rPr>
                    <w:t>环境管控单元类型</w:t>
                  </w:r>
                </w:p>
              </w:tc>
            </w:tr>
            <w:tr w14:paraId="032847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1" w:type="dxa"/>
                  <w:tcBorders>
                    <w:tl2br w:val="nil"/>
                    <w:tr2bl w:val="nil"/>
                  </w:tcBorders>
                  <w:vAlign w:val="center"/>
                </w:tcPr>
                <w:p w14:paraId="5428DB53">
                  <w:pPr>
                    <w:pStyle w:val="16"/>
                    <w:widowControl w:val="0"/>
                    <w:spacing w:before="0" w:beforeAutospacing="0" w:after="0" w:afterAutospacing="0" w:line="240" w:lineRule="auto"/>
                    <w:ind w:firstLine="0" w:firstLineChars="0"/>
                    <w:jc w:val="center"/>
                    <w:rPr>
                      <w:rFonts w:ascii="Times New Roman" w:hAnsi="Times New Roman"/>
                      <w:sz w:val="21"/>
                      <w:szCs w:val="21"/>
                    </w:rPr>
                  </w:pPr>
                  <w:r>
                    <w:rPr>
                      <w:rFonts w:hint="eastAsia" w:ascii="Times New Roman" w:hAnsi="Times New Roman"/>
                      <w:sz w:val="21"/>
                      <w:szCs w:val="21"/>
                    </w:rPr>
                    <w:t>巴州区城镇空间</w:t>
                  </w:r>
                </w:p>
              </w:tc>
              <w:tc>
                <w:tcPr>
                  <w:tcW w:w="1916" w:type="dxa"/>
                  <w:tcBorders>
                    <w:tl2br w:val="nil"/>
                    <w:tr2bl w:val="nil"/>
                  </w:tcBorders>
                  <w:vAlign w:val="center"/>
                </w:tcPr>
                <w:p w14:paraId="3E72EA4D">
                  <w:pPr>
                    <w:pStyle w:val="16"/>
                    <w:widowControl w:val="0"/>
                    <w:spacing w:before="0" w:beforeAutospacing="0" w:after="0" w:afterAutospacing="0" w:line="240" w:lineRule="auto"/>
                    <w:ind w:firstLine="0" w:firstLineChars="0"/>
                    <w:jc w:val="center"/>
                    <w:rPr>
                      <w:rFonts w:ascii="Times New Roman" w:hAnsi="Times New Roman"/>
                      <w:sz w:val="21"/>
                      <w:szCs w:val="21"/>
                    </w:rPr>
                  </w:pPr>
                  <w:r>
                    <w:rPr>
                      <w:rFonts w:hint="eastAsia" w:ascii="Times New Roman" w:hAnsi="Times New Roman"/>
                      <w:sz w:val="21"/>
                      <w:szCs w:val="21"/>
                    </w:rPr>
                    <w:t>ZH51190220001</w:t>
                  </w:r>
                </w:p>
              </w:tc>
              <w:tc>
                <w:tcPr>
                  <w:tcW w:w="1500" w:type="dxa"/>
                  <w:tcBorders>
                    <w:tl2br w:val="nil"/>
                    <w:tr2bl w:val="nil"/>
                  </w:tcBorders>
                  <w:vAlign w:val="center"/>
                </w:tcPr>
                <w:p w14:paraId="59935C12">
                  <w:pPr>
                    <w:pStyle w:val="16"/>
                    <w:widowControl w:val="0"/>
                    <w:spacing w:before="0" w:beforeAutospacing="0" w:after="0" w:afterAutospacing="0" w:line="240" w:lineRule="auto"/>
                    <w:ind w:firstLine="0" w:firstLineChars="0"/>
                    <w:jc w:val="center"/>
                    <w:rPr>
                      <w:rFonts w:ascii="Times New Roman" w:hAnsi="Times New Roman"/>
                      <w:sz w:val="21"/>
                      <w:szCs w:val="21"/>
                    </w:rPr>
                  </w:pPr>
                  <w:r>
                    <w:rPr>
                      <w:rFonts w:hint="eastAsia" w:ascii="Times New Roman" w:hAnsi="Times New Roman"/>
                      <w:sz w:val="21"/>
                      <w:szCs w:val="21"/>
                    </w:rPr>
                    <w:t>巴中市巴州区</w:t>
                  </w:r>
                </w:p>
              </w:tc>
              <w:tc>
                <w:tcPr>
                  <w:tcW w:w="1460" w:type="dxa"/>
                  <w:tcBorders>
                    <w:tl2br w:val="nil"/>
                    <w:tr2bl w:val="nil"/>
                  </w:tcBorders>
                  <w:vAlign w:val="center"/>
                </w:tcPr>
                <w:p w14:paraId="053FFF0D">
                  <w:pPr>
                    <w:pStyle w:val="16"/>
                    <w:widowControl w:val="0"/>
                    <w:spacing w:before="0" w:beforeAutospacing="0" w:after="0" w:afterAutospacing="0" w:line="240" w:lineRule="auto"/>
                    <w:ind w:firstLine="0" w:firstLineChars="0"/>
                    <w:jc w:val="center"/>
                    <w:rPr>
                      <w:rFonts w:ascii="Times New Roman" w:hAnsi="Times New Roman"/>
                      <w:sz w:val="21"/>
                      <w:szCs w:val="21"/>
                    </w:rPr>
                  </w:pPr>
                  <w:r>
                    <w:rPr>
                      <w:rFonts w:hint="eastAsia" w:ascii="Times New Roman" w:hAnsi="Times New Roman"/>
                      <w:sz w:val="21"/>
                      <w:szCs w:val="21"/>
                    </w:rPr>
                    <w:t>城镇重点管控单元</w:t>
                  </w:r>
                </w:p>
              </w:tc>
            </w:tr>
          </w:tbl>
          <w:p w14:paraId="3B47FE4E">
            <w:pPr>
              <w:ind w:firstLine="422"/>
              <w:jc w:val="center"/>
              <w:rPr>
                <w:b/>
                <w:bCs/>
                <w:sz w:val="21"/>
                <w:szCs w:val="21"/>
              </w:rPr>
            </w:pPr>
            <w:r>
              <w:rPr>
                <w:b/>
                <w:bCs/>
                <w:sz w:val="21"/>
                <w:szCs w:val="21"/>
              </w:rPr>
              <w:t>表1-</w:t>
            </w:r>
            <w:r>
              <w:rPr>
                <w:rFonts w:hint="eastAsia"/>
                <w:b/>
                <w:bCs/>
                <w:sz w:val="21"/>
                <w:szCs w:val="21"/>
              </w:rPr>
              <w:t>7</w:t>
            </w:r>
            <w:r>
              <w:rPr>
                <w:b/>
                <w:bCs/>
                <w:sz w:val="21"/>
                <w:szCs w:val="21"/>
              </w:rPr>
              <w:t xml:space="preserve"> </w:t>
            </w:r>
            <w:r>
              <w:rPr>
                <w:rFonts w:hint="eastAsia"/>
                <w:b/>
                <w:bCs/>
                <w:sz w:val="21"/>
                <w:szCs w:val="21"/>
              </w:rPr>
              <w:t xml:space="preserve"> </w:t>
            </w:r>
            <w:r>
              <w:rPr>
                <w:b/>
                <w:bCs/>
                <w:sz w:val="21"/>
                <w:szCs w:val="21"/>
              </w:rPr>
              <w:t>项目所涉及环境管控单元一览表</w:t>
            </w:r>
          </w:p>
          <w:tbl>
            <w:tblPr>
              <w:tblStyle w:val="18"/>
              <w:tblW w:w="487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35"/>
              <w:gridCol w:w="1722"/>
              <w:gridCol w:w="1077"/>
              <w:gridCol w:w="1077"/>
              <w:gridCol w:w="1705"/>
            </w:tblGrid>
            <w:tr w14:paraId="38BEFB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905" w:type="pct"/>
                  <w:tcBorders>
                    <w:tl2br w:val="nil"/>
                    <w:tr2bl w:val="nil"/>
                  </w:tcBorders>
                  <w:vAlign w:val="center"/>
                </w:tcPr>
                <w:p w14:paraId="53F3BF8B">
                  <w:pPr>
                    <w:pStyle w:val="16"/>
                    <w:widowControl w:val="0"/>
                    <w:spacing w:before="0" w:beforeAutospacing="0" w:after="0" w:afterAutospacing="0" w:line="276" w:lineRule="auto"/>
                    <w:ind w:firstLine="0" w:firstLineChars="0"/>
                    <w:jc w:val="center"/>
                    <w:rPr>
                      <w:rFonts w:ascii="Times New Roman" w:hAnsi="Times New Roman"/>
                      <w:b/>
                      <w:bCs/>
                      <w:sz w:val="21"/>
                      <w:szCs w:val="21"/>
                    </w:rPr>
                  </w:pPr>
                  <w:r>
                    <w:rPr>
                      <w:rFonts w:ascii="Times New Roman" w:hAnsi="Times New Roman"/>
                      <w:b/>
                      <w:bCs/>
                      <w:sz w:val="21"/>
                      <w:szCs w:val="21"/>
                    </w:rPr>
                    <w:t>环境管控单元编码</w:t>
                  </w:r>
                </w:p>
              </w:tc>
              <w:tc>
                <w:tcPr>
                  <w:tcW w:w="1262" w:type="pct"/>
                  <w:tcBorders>
                    <w:tl2br w:val="nil"/>
                    <w:tr2bl w:val="nil"/>
                  </w:tcBorders>
                  <w:vAlign w:val="center"/>
                </w:tcPr>
                <w:p w14:paraId="490813BC">
                  <w:pPr>
                    <w:pStyle w:val="16"/>
                    <w:widowControl w:val="0"/>
                    <w:spacing w:before="0" w:beforeAutospacing="0" w:after="0" w:afterAutospacing="0" w:line="276" w:lineRule="auto"/>
                    <w:ind w:firstLine="0" w:firstLineChars="0"/>
                    <w:jc w:val="center"/>
                    <w:rPr>
                      <w:rFonts w:ascii="Times New Roman" w:hAnsi="Times New Roman"/>
                      <w:b/>
                      <w:bCs/>
                      <w:sz w:val="21"/>
                      <w:szCs w:val="21"/>
                    </w:rPr>
                  </w:pPr>
                  <w:r>
                    <w:rPr>
                      <w:rFonts w:ascii="Times New Roman" w:hAnsi="Times New Roman"/>
                      <w:b/>
                      <w:bCs/>
                      <w:sz w:val="21"/>
                      <w:szCs w:val="21"/>
                    </w:rPr>
                    <w:t>环境管控单元名称</w:t>
                  </w:r>
                </w:p>
              </w:tc>
              <w:tc>
                <w:tcPr>
                  <w:tcW w:w="790" w:type="pct"/>
                  <w:tcBorders>
                    <w:tl2br w:val="nil"/>
                    <w:tr2bl w:val="nil"/>
                  </w:tcBorders>
                  <w:vAlign w:val="center"/>
                </w:tcPr>
                <w:p w14:paraId="55E9DDC6">
                  <w:pPr>
                    <w:pStyle w:val="16"/>
                    <w:widowControl w:val="0"/>
                    <w:spacing w:before="0" w:beforeAutospacing="0" w:after="0" w:afterAutospacing="0" w:line="276" w:lineRule="auto"/>
                    <w:ind w:firstLine="0" w:firstLineChars="0"/>
                    <w:jc w:val="center"/>
                    <w:rPr>
                      <w:rFonts w:ascii="Times New Roman" w:hAnsi="Times New Roman"/>
                      <w:b/>
                      <w:bCs/>
                      <w:sz w:val="21"/>
                      <w:szCs w:val="21"/>
                    </w:rPr>
                  </w:pPr>
                  <w:r>
                    <w:rPr>
                      <w:rFonts w:hint="eastAsia" w:ascii="Times New Roman" w:hAnsi="Times New Roman"/>
                      <w:b/>
                      <w:bCs/>
                      <w:sz w:val="21"/>
                      <w:szCs w:val="21"/>
                    </w:rPr>
                    <w:t>行政区划</w:t>
                  </w:r>
                </w:p>
              </w:tc>
              <w:tc>
                <w:tcPr>
                  <w:tcW w:w="790" w:type="pct"/>
                  <w:tcBorders>
                    <w:tl2br w:val="nil"/>
                    <w:tr2bl w:val="nil"/>
                  </w:tcBorders>
                  <w:vAlign w:val="center"/>
                </w:tcPr>
                <w:p w14:paraId="07EDE3E7">
                  <w:pPr>
                    <w:pStyle w:val="16"/>
                    <w:widowControl w:val="0"/>
                    <w:spacing w:before="0" w:beforeAutospacing="0" w:after="0" w:afterAutospacing="0" w:line="276" w:lineRule="auto"/>
                    <w:ind w:firstLine="0" w:firstLineChars="0"/>
                    <w:jc w:val="center"/>
                    <w:rPr>
                      <w:rFonts w:ascii="Times New Roman" w:hAnsi="Times New Roman"/>
                      <w:b/>
                      <w:bCs/>
                      <w:sz w:val="21"/>
                      <w:szCs w:val="21"/>
                    </w:rPr>
                  </w:pPr>
                  <w:r>
                    <w:rPr>
                      <w:rFonts w:hint="eastAsia" w:ascii="Times New Roman" w:hAnsi="Times New Roman"/>
                      <w:b/>
                      <w:bCs/>
                      <w:sz w:val="21"/>
                      <w:szCs w:val="21"/>
                    </w:rPr>
                    <w:t>环境要素类型</w:t>
                  </w:r>
                </w:p>
              </w:tc>
              <w:tc>
                <w:tcPr>
                  <w:tcW w:w="1250" w:type="pct"/>
                  <w:tcBorders>
                    <w:tl2br w:val="nil"/>
                    <w:tr2bl w:val="nil"/>
                  </w:tcBorders>
                  <w:vAlign w:val="center"/>
                </w:tcPr>
                <w:p w14:paraId="4C4CC8C5">
                  <w:pPr>
                    <w:pStyle w:val="16"/>
                    <w:widowControl w:val="0"/>
                    <w:spacing w:before="0" w:beforeAutospacing="0" w:after="0" w:afterAutospacing="0" w:line="276" w:lineRule="auto"/>
                    <w:ind w:firstLine="0" w:firstLineChars="0"/>
                    <w:jc w:val="center"/>
                    <w:rPr>
                      <w:rFonts w:ascii="Times New Roman" w:hAnsi="Times New Roman"/>
                      <w:b/>
                      <w:bCs/>
                      <w:sz w:val="21"/>
                      <w:szCs w:val="21"/>
                    </w:rPr>
                  </w:pPr>
                  <w:r>
                    <w:rPr>
                      <w:rFonts w:hint="eastAsia" w:ascii="Times New Roman" w:hAnsi="Times New Roman"/>
                      <w:b/>
                      <w:bCs/>
                      <w:sz w:val="21"/>
                      <w:szCs w:val="21"/>
                    </w:rPr>
                    <w:t>环境要素细类</w:t>
                  </w:r>
                </w:p>
              </w:tc>
            </w:tr>
            <w:tr w14:paraId="24E229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905" w:type="pct"/>
                  <w:tcBorders>
                    <w:tl2br w:val="nil"/>
                    <w:tr2bl w:val="nil"/>
                  </w:tcBorders>
                  <w:vAlign w:val="center"/>
                </w:tcPr>
                <w:p w14:paraId="11CB86A2">
                  <w:pPr>
                    <w:pStyle w:val="30"/>
                    <w:widowControl/>
                    <w:spacing w:line="240" w:lineRule="auto"/>
                    <w:ind w:firstLine="0" w:firstLineChars="0"/>
                    <w:jc w:val="center"/>
                    <w:rPr>
                      <w:rFonts w:eastAsia="宋体"/>
                      <w:sz w:val="21"/>
                    </w:rPr>
                  </w:pPr>
                  <w:r>
                    <w:rPr>
                      <w:rFonts w:hint="eastAsia" w:eastAsia="宋体"/>
                      <w:sz w:val="21"/>
                    </w:rPr>
                    <w:t>YS5119022610001</w:t>
                  </w:r>
                </w:p>
              </w:tc>
              <w:tc>
                <w:tcPr>
                  <w:tcW w:w="1262" w:type="pct"/>
                  <w:tcBorders>
                    <w:tl2br w:val="nil"/>
                    <w:tr2bl w:val="nil"/>
                  </w:tcBorders>
                  <w:vAlign w:val="center"/>
                </w:tcPr>
                <w:p w14:paraId="47F89E96">
                  <w:pPr>
                    <w:pStyle w:val="30"/>
                    <w:widowControl/>
                    <w:spacing w:line="240" w:lineRule="auto"/>
                    <w:ind w:firstLine="0" w:firstLineChars="0"/>
                    <w:jc w:val="center"/>
                    <w:rPr>
                      <w:rFonts w:eastAsia="宋体"/>
                      <w:sz w:val="21"/>
                    </w:rPr>
                  </w:pPr>
                  <w:r>
                    <w:rPr>
                      <w:rFonts w:hint="eastAsia" w:eastAsia="宋体"/>
                      <w:sz w:val="21"/>
                    </w:rPr>
                    <w:t>渠江江河湖库岸线重点管控区</w:t>
                  </w:r>
                </w:p>
              </w:tc>
              <w:tc>
                <w:tcPr>
                  <w:tcW w:w="790" w:type="pct"/>
                  <w:tcBorders>
                    <w:tl2br w:val="nil"/>
                    <w:tr2bl w:val="nil"/>
                  </w:tcBorders>
                  <w:vAlign w:val="center"/>
                </w:tcPr>
                <w:p w14:paraId="27E8C100">
                  <w:pPr>
                    <w:pStyle w:val="30"/>
                    <w:widowControl/>
                    <w:spacing w:line="240" w:lineRule="auto"/>
                    <w:ind w:firstLine="0" w:firstLineChars="0"/>
                    <w:jc w:val="center"/>
                    <w:rPr>
                      <w:rFonts w:eastAsia="宋体"/>
                      <w:sz w:val="21"/>
                    </w:rPr>
                  </w:pPr>
                  <w:r>
                    <w:rPr>
                      <w:rFonts w:hint="eastAsia" w:eastAsia="宋体"/>
                      <w:sz w:val="21"/>
                    </w:rPr>
                    <w:t>巴中市巴州区</w:t>
                  </w:r>
                </w:p>
              </w:tc>
              <w:tc>
                <w:tcPr>
                  <w:tcW w:w="790" w:type="pct"/>
                  <w:tcBorders>
                    <w:tl2br w:val="nil"/>
                    <w:tr2bl w:val="nil"/>
                  </w:tcBorders>
                  <w:vAlign w:val="center"/>
                </w:tcPr>
                <w:p w14:paraId="2740F50B">
                  <w:pPr>
                    <w:pStyle w:val="30"/>
                    <w:widowControl/>
                    <w:spacing w:line="240" w:lineRule="auto"/>
                    <w:ind w:firstLine="0" w:firstLineChars="0"/>
                    <w:jc w:val="center"/>
                    <w:rPr>
                      <w:rFonts w:eastAsia="宋体"/>
                      <w:sz w:val="21"/>
                    </w:rPr>
                  </w:pPr>
                  <w:r>
                    <w:rPr>
                      <w:rFonts w:hint="eastAsia" w:eastAsia="宋体"/>
                      <w:sz w:val="21"/>
                    </w:rPr>
                    <w:t>岸线</w:t>
                  </w:r>
                </w:p>
              </w:tc>
              <w:tc>
                <w:tcPr>
                  <w:tcW w:w="1250" w:type="pct"/>
                  <w:tcBorders>
                    <w:tl2br w:val="nil"/>
                    <w:tr2bl w:val="nil"/>
                  </w:tcBorders>
                  <w:vAlign w:val="center"/>
                </w:tcPr>
                <w:p w14:paraId="02056AE3">
                  <w:pPr>
                    <w:pStyle w:val="30"/>
                    <w:widowControl/>
                    <w:spacing w:line="240" w:lineRule="auto"/>
                    <w:ind w:firstLine="0" w:firstLineChars="0"/>
                    <w:jc w:val="center"/>
                    <w:rPr>
                      <w:rFonts w:eastAsia="宋体"/>
                      <w:sz w:val="21"/>
                    </w:rPr>
                  </w:pPr>
                  <w:r>
                    <w:rPr>
                      <w:rFonts w:hint="eastAsia" w:eastAsia="宋体"/>
                      <w:sz w:val="21"/>
                    </w:rPr>
                    <w:t>江河湖库岸线重点管控区</w:t>
                  </w:r>
                </w:p>
              </w:tc>
            </w:tr>
            <w:tr w14:paraId="721730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905" w:type="pct"/>
                  <w:tcBorders>
                    <w:tl2br w:val="nil"/>
                    <w:tr2bl w:val="nil"/>
                  </w:tcBorders>
                  <w:vAlign w:val="center"/>
                </w:tcPr>
                <w:p w14:paraId="135780F0">
                  <w:pPr>
                    <w:pStyle w:val="30"/>
                    <w:widowControl/>
                    <w:spacing w:line="240" w:lineRule="auto"/>
                    <w:ind w:firstLine="0" w:firstLineChars="0"/>
                    <w:jc w:val="center"/>
                    <w:rPr>
                      <w:rFonts w:eastAsia="宋体"/>
                      <w:sz w:val="21"/>
                    </w:rPr>
                  </w:pPr>
                  <w:r>
                    <w:rPr>
                      <w:rFonts w:hint="eastAsia" w:eastAsia="宋体"/>
                      <w:sz w:val="21"/>
                    </w:rPr>
                    <w:t>YS5119022340001</w:t>
                  </w:r>
                </w:p>
              </w:tc>
              <w:tc>
                <w:tcPr>
                  <w:tcW w:w="1262" w:type="pct"/>
                  <w:tcBorders>
                    <w:tl2br w:val="nil"/>
                    <w:tr2bl w:val="nil"/>
                  </w:tcBorders>
                  <w:vAlign w:val="center"/>
                </w:tcPr>
                <w:p w14:paraId="1EFA3B60">
                  <w:pPr>
                    <w:pStyle w:val="30"/>
                    <w:widowControl/>
                    <w:spacing w:line="240" w:lineRule="auto"/>
                    <w:ind w:firstLine="0" w:firstLineChars="0"/>
                    <w:jc w:val="center"/>
                    <w:rPr>
                      <w:rFonts w:eastAsia="宋体"/>
                      <w:sz w:val="21"/>
                    </w:rPr>
                  </w:pPr>
                  <w:r>
                    <w:rPr>
                      <w:rFonts w:hint="eastAsia" w:eastAsia="宋体"/>
                      <w:sz w:val="21"/>
                    </w:rPr>
                    <w:t>巴州区城镇集中建设区</w:t>
                  </w:r>
                </w:p>
              </w:tc>
              <w:tc>
                <w:tcPr>
                  <w:tcW w:w="790" w:type="pct"/>
                  <w:tcBorders>
                    <w:tl2br w:val="nil"/>
                    <w:tr2bl w:val="nil"/>
                  </w:tcBorders>
                  <w:vAlign w:val="center"/>
                </w:tcPr>
                <w:p w14:paraId="00C49098">
                  <w:pPr>
                    <w:pStyle w:val="30"/>
                    <w:widowControl/>
                    <w:spacing w:line="240" w:lineRule="auto"/>
                    <w:ind w:firstLine="0" w:firstLineChars="0"/>
                    <w:jc w:val="center"/>
                    <w:rPr>
                      <w:rFonts w:eastAsia="宋体"/>
                      <w:sz w:val="21"/>
                    </w:rPr>
                  </w:pPr>
                  <w:r>
                    <w:rPr>
                      <w:rFonts w:hint="eastAsia" w:eastAsia="宋体"/>
                      <w:sz w:val="21"/>
                    </w:rPr>
                    <w:t>巴中市巴州区</w:t>
                  </w:r>
                </w:p>
              </w:tc>
              <w:tc>
                <w:tcPr>
                  <w:tcW w:w="790" w:type="pct"/>
                  <w:tcBorders>
                    <w:tl2br w:val="nil"/>
                    <w:tr2bl w:val="nil"/>
                  </w:tcBorders>
                  <w:vAlign w:val="center"/>
                </w:tcPr>
                <w:p w14:paraId="0FEBCBF9">
                  <w:pPr>
                    <w:pStyle w:val="30"/>
                    <w:widowControl/>
                    <w:spacing w:line="240" w:lineRule="auto"/>
                    <w:ind w:firstLine="0" w:firstLineChars="0"/>
                    <w:jc w:val="center"/>
                    <w:rPr>
                      <w:rFonts w:eastAsia="宋体"/>
                      <w:sz w:val="21"/>
                    </w:rPr>
                  </w:pPr>
                  <w:r>
                    <w:rPr>
                      <w:rFonts w:hint="eastAsia" w:eastAsia="宋体"/>
                      <w:sz w:val="21"/>
                    </w:rPr>
                    <w:t>大气</w:t>
                  </w:r>
                </w:p>
              </w:tc>
              <w:tc>
                <w:tcPr>
                  <w:tcW w:w="1250" w:type="pct"/>
                  <w:tcBorders>
                    <w:tl2br w:val="nil"/>
                    <w:tr2bl w:val="nil"/>
                  </w:tcBorders>
                  <w:vAlign w:val="center"/>
                </w:tcPr>
                <w:p w14:paraId="63FCBE23">
                  <w:pPr>
                    <w:pStyle w:val="30"/>
                    <w:widowControl/>
                    <w:spacing w:line="240" w:lineRule="auto"/>
                    <w:ind w:firstLine="0" w:firstLineChars="0"/>
                    <w:jc w:val="center"/>
                    <w:rPr>
                      <w:rFonts w:eastAsia="宋体"/>
                      <w:sz w:val="21"/>
                    </w:rPr>
                  </w:pPr>
                  <w:r>
                    <w:rPr>
                      <w:rFonts w:hint="eastAsia" w:eastAsia="宋体"/>
                      <w:sz w:val="21"/>
                    </w:rPr>
                    <w:t>大气环境受体敏感重点管控区</w:t>
                  </w:r>
                </w:p>
              </w:tc>
            </w:tr>
            <w:tr w14:paraId="22B981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905" w:type="pct"/>
                  <w:tcBorders>
                    <w:tl2br w:val="nil"/>
                    <w:tr2bl w:val="nil"/>
                  </w:tcBorders>
                  <w:vAlign w:val="center"/>
                </w:tcPr>
                <w:p w14:paraId="7EA3D0A2">
                  <w:pPr>
                    <w:pStyle w:val="30"/>
                    <w:widowControl/>
                    <w:spacing w:line="240" w:lineRule="auto"/>
                    <w:ind w:firstLine="0" w:firstLineChars="0"/>
                    <w:jc w:val="center"/>
                    <w:rPr>
                      <w:rFonts w:eastAsia="宋体"/>
                      <w:sz w:val="21"/>
                    </w:rPr>
                  </w:pPr>
                  <w:r>
                    <w:rPr>
                      <w:rFonts w:hint="eastAsia" w:eastAsia="宋体"/>
                      <w:sz w:val="21"/>
                    </w:rPr>
                    <w:t>YS5119022530001</w:t>
                  </w:r>
                </w:p>
              </w:tc>
              <w:tc>
                <w:tcPr>
                  <w:tcW w:w="1262" w:type="pct"/>
                  <w:tcBorders>
                    <w:tl2br w:val="nil"/>
                    <w:tr2bl w:val="nil"/>
                  </w:tcBorders>
                  <w:vAlign w:val="center"/>
                </w:tcPr>
                <w:p w14:paraId="6D87C392">
                  <w:pPr>
                    <w:pStyle w:val="30"/>
                    <w:widowControl/>
                    <w:spacing w:line="240" w:lineRule="auto"/>
                    <w:ind w:firstLine="0" w:firstLineChars="0"/>
                    <w:jc w:val="center"/>
                    <w:rPr>
                      <w:rFonts w:eastAsia="宋体"/>
                      <w:sz w:val="21"/>
                    </w:rPr>
                  </w:pPr>
                  <w:r>
                    <w:rPr>
                      <w:rFonts w:hint="eastAsia" w:eastAsia="宋体"/>
                      <w:sz w:val="21"/>
                    </w:rPr>
                    <w:t>巴州区城镇开发边界</w:t>
                  </w:r>
                </w:p>
              </w:tc>
              <w:tc>
                <w:tcPr>
                  <w:tcW w:w="790" w:type="pct"/>
                  <w:tcBorders>
                    <w:tl2br w:val="nil"/>
                    <w:tr2bl w:val="nil"/>
                  </w:tcBorders>
                  <w:vAlign w:val="center"/>
                </w:tcPr>
                <w:p w14:paraId="0C66A776">
                  <w:pPr>
                    <w:pStyle w:val="30"/>
                    <w:widowControl/>
                    <w:spacing w:line="240" w:lineRule="auto"/>
                    <w:ind w:firstLine="0" w:firstLineChars="0"/>
                    <w:jc w:val="center"/>
                    <w:rPr>
                      <w:rFonts w:eastAsia="宋体"/>
                      <w:sz w:val="21"/>
                    </w:rPr>
                  </w:pPr>
                  <w:r>
                    <w:rPr>
                      <w:rFonts w:hint="eastAsia" w:eastAsia="宋体"/>
                      <w:sz w:val="21"/>
                    </w:rPr>
                    <w:t>巴中市巴州区</w:t>
                  </w:r>
                </w:p>
              </w:tc>
              <w:tc>
                <w:tcPr>
                  <w:tcW w:w="790" w:type="pct"/>
                  <w:tcBorders>
                    <w:tl2br w:val="nil"/>
                    <w:tr2bl w:val="nil"/>
                  </w:tcBorders>
                  <w:vAlign w:val="center"/>
                </w:tcPr>
                <w:p w14:paraId="5933113D">
                  <w:pPr>
                    <w:pStyle w:val="30"/>
                    <w:widowControl/>
                    <w:spacing w:line="240" w:lineRule="auto"/>
                    <w:ind w:firstLine="0" w:firstLineChars="0"/>
                    <w:jc w:val="center"/>
                    <w:rPr>
                      <w:rFonts w:eastAsia="宋体"/>
                      <w:sz w:val="21"/>
                    </w:rPr>
                  </w:pPr>
                  <w:r>
                    <w:rPr>
                      <w:rFonts w:hint="eastAsia" w:eastAsia="宋体"/>
                      <w:sz w:val="21"/>
                    </w:rPr>
                    <w:t>自然资源</w:t>
                  </w:r>
                </w:p>
              </w:tc>
              <w:tc>
                <w:tcPr>
                  <w:tcW w:w="1250" w:type="pct"/>
                  <w:tcBorders>
                    <w:tl2br w:val="nil"/>
                    <w:tr2bl w:val="nil"/>
                  </w:tcBorders>
                  <w:vAlign w:val="center"/>
                </w:tcPr>
                <w:p w14:paraId="172933EB">
                  <w:pPr>
                    <w:pStyle w:val="30"/>
                    <w:widowControl/>
                    <w:spacing w:line="240" w:lineRule="auto"/>
                    <w:ind w:firstLine="0" w:firstLineChars="0"/>
                    <w:jc w:val="center"/>
                    <w:rPr>
                      <w:rFonts w:eastAsia="宋体"/>
                      <w:sz w:val="21"/>
                    </w:rPr>
                  </w:pPr>
                  <w:r>
                    <w:rPr>
                      <w:rFonts w:hint="eastAsia" w:eastAsia="宋体"/>
                      <w:sz w:val="21"/>
                    </w:rPr>
                    <w:t>土地资源重点管控区</w:t>
                  </w:r>
                </w:p>
              </w:tc>
            </w:tr>
            <w:tr w14:paraId="356BEA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905" w:type="pct"/>
                  <w:tcBorders>
                    <w:tl2br w:val="nil"/>
                    <w:tr2bl w:val="nil"/>
                  </w:tcBorders>
                  <w:vAlign w:val="center"/>
                </w:tcPr>
                <w:p w14:paraId="41A188DD">
                  <w:pPr>
                    <w:pStyle w:val="30"/>
                    <w:widowControl/>
                    <w:spacing w:line="240" w:lineRule="auto"/>
                    <w:ind w:firstLine="0" w:firstLineChars="0"/>
                    <w:jc w:val="center"/>
                    <w:rPr>
                      <w:rFonts w:eastAsia="宋体"/>
                      <w:sz w:val="21"/>
                    </w:rPr>
                  </w:pPr>
                  <w:r>
                    <w:rPr>
                      <w:rFonts w:hint="eastAsia" w:eastAsia="宋体"/>
                      <w:sz w:val="21"/>
                    </w:rPr>
                    <w:t>YS5119022540001</w:t>
                  </w:r>
                </w:p>
              </w:tc>
              <w:tc>
                <w:tcPr>
                  <w:tcW w:w="1262" w:type="pct"/>
                  <w:tcBorders>
                    <w:tl2br w:val="nil"/>
                    <w:tr2bl w:val="nil"/>
                  </w:tcBorders>
                  <w:vAlign w:val="center"/>
                </w:tcPr>
                <w:p w14:paraId="6D0C5ABA">
                  <w:pPr>
                    <w:pStyle w:val="30"/>
                    <w:widowControl/>
                    <w:spacing w:line="240" w:lineRule="auto"/>
                    <w:ind w:firstLine="0" w:firstLineChars="0"/>
                    <w:jc w:val="center"/>
                    <w:rPr>
                      <w:rFonts w:eastAsia="宋体"/>
                      <w:sz w:val="21"/>
                    </w:rPr>
                  </w:pPr>
                  <w:r>
                    <w:rPr>
                      <w:rFonts w:hint="eastAsia" w:eastAsia="宋体"/>
                      <w:sz w:val="21"/>
                    </w:rPr>
                    <w:t>巴州区高污染燃料禁燃区</w:t>
                  </w:r>
                </w:p>
              </w:tc>
              <w:tc>
                <w:tcPr>
                  <w:tcW w:w="790" w:type="pct"/>
                  <w:tcBorders>
                    <w:tl2br w:val="nil"/>
                    <w:tr2bl w:val="nil"/>
                  </w:tcBorders>
                  <w:vAlign w:val="center"/>
                </w:tcPr>
                <w:p w14:paraId="0E01869D">
                  <w:pPr>
                    <w:pStyle w:val="30"/>
                    <w:widowControl/>
                    <w:spacing w:line="240" w:lineRule="auto"/>
                    <w:ind w:firstLine="0" w:firstLineChars="0"/>
                    <w:jc w:val="center"/>
                    <w:rPr>
                      <w:rFonts w:eastAsia="宋体"/>
                      <w:sz w:val="21"/>
                    </w:rPr>
                  </w:pPr>
                  <w:r>
                    <w:rPr>
                      <w:rFonts w:hint="eastAsia" w:eastAsia="宋体"/>
                      <w:sz w:val="21"/>
                    </w:rPr>
                    <w:t>巴中市巴州区</w:t>
                  </w:r>
                </w:p>
              </w:tc>
              <w:tc>
                <w:tcPr>
                  <w:tcW w:w="790" w:type="pct"/>
                  <w:tcBorders>
                    <w:tl2br w:val="nil"/>
                    <w:tr2bl w:val="nil"/>
                  </w:tcBorders>
                  <w:vAlign w:val="center"/>
                </w:tcPr>
                <w:p w14:paraId="6B95DE05">
                  <w:pPr>
                    <w:pStyle w:val="30"/>
                    <w:widowControl/>
                    <w:spacing w:line="240" w:lineRule="auto"/>
                    <w:ind w:firstLine="0" w:firstLineChars="0"/>
                    <w:jc w:val="center"/>
                    <w:rPr>
                      <w:rFonts w:eastAsia="宋体"/>
                      <w:sz w:val="21"/>
                    </w:rPr>
                  </w:pPr>
                  <w:r>
                    <w:rPr>
                      <w:rFonts w:hint="eastAsia" w:eastAsia="宋体"/>
                      <w:sz w:val="21"/>
                    </w:rPr>
                    <w:t>自然资源</w:t>
                  </w:r>
                </w:p>
              </w:tc>
              <w:tc>
                <w:tcPr>
                  <w:tcW w:w="1250" w:type="pct"/>
                  <w:tcBorders>
                    <w:tl2br w:val="nil"/>
                    <w:tr2bl w:val="nil"/>
                  </w:tcBorders>
                  <w:vAlign w:val="center"/>
                </w:tcPr>
                <w:p w14:paraId="6F734D5D">
                  <w:pPr>
                    <w:pStyle w:val="30"/>
                    <w:widowControl/>
                    <w:spacing w:line="240" w:lineRule="auto"/>
                    <w:ind w:firstLine="0" w:firstLineChars="0"/>
                    <w:jc w:val="center"/>
                    <w:rPr>
                      <w:rFonts w:eastAsia="宋体"/>
                      <w:sz w:val="21"/>
                    </w:rPr>
                  </w:pPr>
                  <w:r>
                    <w:rPr>
                      <w:rFonts w:hint="eastAsia" w:eastAsia="宋体"/>
                      <w:sz w:val="21"/>
                    </w:rPr>
                    <w:t>高污染燃料禁燃区</w:t>
                  </w:r>
                </w:p>
              </w:tc>
            </w:tr>
            <w:tr w14:paraId="31CD9E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905" w:type="pct"/>
                  <w:tcBorders>
                    <w:tl2br w:val="nil"/>
                    <w:tr2bl w:val="nil"/>
                  </w:tcBorders>
                  <w:vAlign w:val="center"/>
                </w:tcPr>
                <w:p w14:paraId="08040197">
                  <w:pPr>
                    <w:pStyle w:val="30"/>
                    <w:widowControl/>
                    <w:spacing w:line="240" w:lineRule="auto"/>
                    <w:ind w:firstLine="0" w:firstLineChars="0"/>
                    <w:jc w:val="center"/>
                    <w:rPr>
                      <w:rFonts w:eastAsia="宋体"/>
                      <w:sz w:val="21"/>
                    </w:rPr>
                  </w:pPr>
                  <w:r>
                    <w:rPr>
                      <w:rFonts w:hint="eastAsia" w:eastAsia="宋体"/>
                      <w:sz w:val="21"/>
                    </w:rPr>
                    <w:t>YS5119022550001</w:t>
                  </w:r>
                </w:p>
              </w:tc>
              <w:tc>
                <w:tcPr>
                  <w:tcW w:w="1262" w:type="pct"/>
                  <w:tcBorders>
                    <w:tl2br w:val="nil"/>
                    <w:tr2bl w:val="nil"/>
                  </w:tcBorders>
                  <w:vAlign w:val="center"/>
                </w:tcPr>
                <w:p w14:paraId="1CBDC2A4">
                  <w:pPr>
                    <w:pStyle w:val="30"/>
                    <w:widowControl/>
                    <w:spacing w:line="240" w:lineRule="auto"/>
                    <w:ind w:firstLine="0" w:firstLineChars="0"/>
                    <w:jc w:val="center"/>
                    <w:rPr>
                      <w:rFonts w:eastAsia="宋体"/>
                      <w:sz w:val="21"/>
                    </w:rPr>
                  </w:pPr>
                  <w:r>
                    <w:rPr>
                      <w:rFonts w:hint="eastAsia" w:eastAsia="宋体"/>
                      <w:sz w:val="21"/>
                    </w:rPr>
                    <w:t>巴州区自然资源重点管控区</w:t>
                  </w:r>
                </w:p>
              </w:tc>
              <w:tc>
                <w:tcPr>
                  <w:tcW w:w="790" w:type="pct"/>
                  <w:tcBorders>
                    <w:tl2br w:val="nil"/>
                    <w:tr2bl w:val="nil"/>
                  </w:tcBorders>
                  <w:vAlign w:val="center"/>
                </w:tcPr>
                <w:p w14:paraId="36E0DDAD">
                  <w:pPr>
                    <w:pStyle w:val="30"/>
                    <w:widowControl/>
                    <w:spacing w:line="240" w:lineRule="auto"/>
                    <w:ind w:firstLine="0" w:firstLineChars="0"/>
                    <w:jc w:val="center"/>
                    <w:rPr>
                      <w:rFonts w:eastAsia="宋体"/>
                      <w:sz w:val="21"/>
                    </w:rPr>
                  </w:pPr>
                  <w:r>
                    <w:rPr>
                      <w:rFonts w:hint="eastAsia" w:eastAsia="宋体"/>
                      <w:sz w:val="21"/>
                    </w:rPr>
                    <w:t>巴中市巴州区</w:t>
                  </w:r>
                </w:p>
              </w:tc>
              <w:tc>
                <w:tcPr>
                  <w:tcW w:w="790" w:type="pct"/>
                  <w:tcBorders>
                    <w:tl2br w:val="nil"/>
                    <w:tr2bl w:val="nil"/>
                  </w:tcBorders>
                  <w:vAlign w:val="center"/>
                </w:tcPr>
                <w:p w14:paraId="6BA5165A">
                  <w:pPr>
                    <w:pStyle w:val="30"/>
                    <w:widowControl/>
                    <w:spacing w:line="240" w:lineRule="auto"/>
                    <w:ind w:firstLine="0" w:firstLineChars="0"/>
                    <w:jc w:val="center"/>
                    <w:rPr>
                      <w:rFonts w:eastAsia="宋体"/>
                      <w:sz w:val="21"/>
                    </w:rPr>
                  </w:pPr>
                  <w:r>
                    <w:rPr>
                      <w:rFonts w:hint="eastAsia" w:eastAsia="宋体"/>
                      <w:sz w:val="21"/>
                    </w:rPr>
                    <w:t>自然资源</w:t>
                  </w:r>
                </w:p>
              </w:tc>
              <w:tc>
                <w:tcPr>
                  <w:tcW w:w="1250" w:type="pct"/>
                  <w:tcBorders>
                    <w:tl2br w:val="nil"/>
                    <w:tr2bl w:val="nil"/>
                  </w:tcBorders>
                  <w:vAlign w:val="center"/>
                </w:tcPr>
                <w:p w14:paraId="3757791A">
                  <w:pPr>
                    <w:pStyle w:val="30"/>
                    <w:widowControl/>
                    <w:spacing w:line="240" w:lineRule="auto"/>
                    <w:ind w:firstLine="0" w:firstLineChars="0"/>
                    <w:jc w:val="center"/>
                    <w:rPr>
                      <w:rFonts w:eastAsia="宋体"/>
                      <w:sz w:val="21"/>
                    </w:rPr>
                  </w:pPr>
                  <w:r>
                    <w:rPr>
                      <w:rFonts w:hint="eastAsia" w:eastAsia="宋体"/>
                      <w:sz w:val="21"/>
                    </w:rPr>
                    <w:t>自然资源重点管控区</w:t>
                  </w:r>
                </w:p>
              </w:tc>
            </w:tr>
            <w:tr w14:paraId="1DA6C6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905" w:type="pct"/>
                  <w:tcBorders>
                    <w:tl2br w:val="nil"/>
                    <w:tr2bl w:val="nil"/>
                  </w:tcBorders>
                  <w:vAlign w:val="center"/>
                </w:tcPr>
                <w:p w14:paraId="3842CBF5">
                  <w:pPr>
                    <w:pStyle w:val="30"/>
                    <w:widowControl/>
                    <w:spacing w:line="240" w:lineRule="auto"/>
                    <w:ind w:firstLine="0" w:firstLineChars="0"/>
                    <w:jc w:val="center"/>
                    <w:rPr>
                      <w:rFonts w:eastAsia="宋体"/>
                      <w:sz w:val="21"/>
                    </w:rPr>
                  </w:pPr>
                  <w:r>
                    <w:rPr>
                      <w:rFonts w:hint="eastAsia" w:eastAsia="宋体"/>
                      <w:sz w:val="21"/>
                    </w:rPr>
                    <w:t>YS5119023110001</w:t>
                  </w:r>
                </w:p>
              </w:tc>
              <w:tc>
                <w:tcPr>
                  <w:tcW w:w="1262" w:type="pct"/>
                  <w:tcBorders>
                    <w:tl2br w:val="nil"/>
                    <w:tr2bl w:val="nil"/>
                  </w:tcBorders>
                  <w:vAlign w:val="center"/>
                </w:tcPr>
                <w:p w14:paraId="7597371D">
                  <w:pPr>
                    <w:pStyle w:val="30"/>
                    <w:widowControl/>
                    <w:spacing w:line="240" w:lineRule="auto"/>
                    <w:ind w:firstLine="0" w:firstLineChars="0"/>
                    <w:jc w:val="center"/>
                    <w:rPr>
                      <w:rFonts w:eastAsia="宋体"/>
                      <w:sz w:val="21"/>
                    </w:rPr>
                  </w:pPr>
                  <w:r>
                    <w:rPr>
                      <w:rFonts w:hint="eastAsia" w:eastAsia="宋体"/>
                      <w:sz w:val="21"/>
                    </w:rPr>
                    <w:t>巴州区其他区域</w:t>
                  </w:r>
                </w:p>
              </w:tc>
              <w:tc>
                <w:tcPr>
                  <w:tcW w:w="790" w:type="pct"/>
                  <w:tcBorders>
                    <w:tl2br w:val="nil"/>
                    <w:tr2bl w:val="nil"/>
                  </w:tcBorders>
                  <w:vAlign w:val="center"/>
                </w:tcPr>
                <w:p w14:paraId="452A4DD1">
                  <w:pPr>
                    <w:pStyle w:val="30"/>
                    <w:widowControl/>
                    <w:spacing w:line="240" w:lineRule="auto"/>
                    <w:ind w:firstLine="0" w:firstLineChars="0"/>
                    <w:jc w:val="center"/>
                    <w:rPr>
                      <w:rFonts w:eastAsia="宋体"/>
                      <w:sz w:val="21"/>
                    </w:rPr>
                  </w:pPr>
                  <w:r>
                    <w:rPr>
                      <w:rFonts w:hint="eastAsia" w:eastAsia="宋体"/>
                      <w:sz w:val="21"/>
                    </w:rPr>
                    <w:t>巴中市巴州区</w:t>
                  </w:r>
                </w:p>
              </w:tc>
              <w:tc>
                <w:tcPr>
                  <w:tcW w:w="790" w:type="pct"/>
                  <w:tcBorders>
                    <w:tl2br w:val="nil"/>
                    <w:tr2bl w:val="nil"/>
                  </w:tcBorders>
                  <w:vAlign w:val="center"/>
                </w:tcPr>
                <w:p w14:paraId="02F8358E">
                  <w:pPr>
                    <w:pStyle w:val="30"/>
                    <w:widowControl/>
                    <w:spacing w:line="240" w:lineRule="auto"/>
                    <w:ind w:firstLine="0" w:firstLineChars="0"/>
                    <w:jc w:val="center"/>
                    <w:rPr>
                      <w:rFonts w:eastAsia="宋体"/>
                      <w:sz w:val="21"/>
                    </w:rPr>
                  </w:pPr>
                  <w:r>
                    <w:rPr>
                      <w:rFonts w:hint="eastAsia" w:eastAsia="宋体"/>
                      <w:sz w:val="21"/>
                    </w:rPr>
                    <w:t>生态</w:t>
                  </w:r>
                </w:p>
              </w:tc>
              <w:tc>
                <w:tcPr>
                  <w:tcW w:w="1250" w:type="pct"/>
                  <w:tcBorders>
                    <w:tl2br w:val="nil"/>
                    <w:tr2bl w:val="nil"/>
                  </w:tcBorders>
                  <w:vAlign w:val="center"/>
                </w:tcPr>
                <w:p w14:paraId="072B27E9">
                  <w:pPr>
                    <w:pStyle w:val="30"/>
                    <w:widowControl/>
                    <w:spacing w:line="240" w:lineRule="auto"/>
                    <w:ind w:firstLine="0" w:firstLineChars="0"/>
                    <w:jc w:val="center"/>
                    <w:rPr>
                      <w:rFonts w:eastAsia="宋体"/>
                      <w:sz w:val="21"/>
                    </w:rPr>
                  </w:pPr>
                  <w:r>
                    <w:rPr>
                      <w:rFonts w:hint="eastAsia" w:eastAsia="宋体"/>
                      <w:sz w:val="21"/>
                    </w:rPr>
                    <w:t>一般管控区</w:t>
                  </w:r>
                </w:p>
              </w:tc>
            </w:tr>
            <w:tr w14:paraId="0AF5E5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905" w:type="pct"/>
                  <w:tcBorders>
                    <w:tl2br w:val="nil"/>
                    <w:tr2bl w:val="nil"/>
                  </w:tcBorders>
                  <w:vAlign w:val="center"/>
                </w:tcPr>
                <w:p w14:paraId="221157D8">
                  <w:pPr>
                    <w:pStyle w:val="30"/>
                    <w:widowControl/>
                    <w:spacing w:line="240" w:lineRule="auto"/>
                    <w:ind w:firstLine="0" w:firstLineChars="0"/>
                    <w:jc w:val="center"/>
                    <w:rPr>
                      <w:rFonts w:eastAsia="宋体"/>
                      <w:sz w:val="21"/>
                    </w:rPr>
                  </w:pPr>
                  <w:r>
                    <w:rPr>
                      <w:rFonts w:hint="eastAsia" w:eastAsia="宋体"/>
                      <w:sz w:val="21"/>
                    </w:rPr>
                    <w:t>YS5119022220001</w:t>
                  </w:r>
                </w:p>
              </w:tc>
              <w:tc>
                <w:tcPr>
                  <w:tcW w:w="1262" w:type="pct"/>
                  <w:tcBorders>
                    <w:tl2br w:val="nil"/>
                    <w:tr2bl w:val="nil"/>
                  </w:tcBorders>
                  <w:vAlign w:val="center"/>
                </w:tcPr>
                <w:p w14:paraId="0E63BDB2">
                  <w:pPr>
                    <w:pStyle w:val="30"/>
                    <w:widowControl/>
                    <w:spacing w:line="240" w:lineRule="auto"/>
                    <w:ind w:firstLine="0" w:firstLineChars="0"/>
                    <w:jc w:val="center"/>
                    <w:rPr>
                      <w:rFonts w:eastAsia="宋体"/>
                      <w:sz w:val="21"/>
                    </w:rPr>
                  </w:pPr>
                  <w:r>
                    <w:rPr>
                      <w:rFonts w:hint="eastAsia" w:eastAsia="宋体"/>
                      <w:sz w:val="21"/>
                    </w:rPr>
                    <w:t>巴河-巴州区-金碑-控制单元</w:t>
                  </w:r>
                </w:p>
              </w:tc>
              <w:tc>
                <w:tcPr>
                  <w:tcW w:w="790" w:type="pct"/>
                  <w:tcBorders>
                    <w:tl2br w:val="nil"/>
                    <w:tr2bl w:val="nil"/>
                  </w:tcBorders>
                  <w:vAlign w:val="center"/>
                </w:tcPr>
                <w:p w14:paraId="237104AF">
                  <w:pPr>
                    <w:pStyle w:val="30"/>
                    <w:widowControl/>
                    <w:spacing w:line="240" w:lineRule="auto"/>
                    <w:ind w:firstLine="0" w:firstLineChars="0"/>
                    <w:jc w:val="center"/>
                    <w:rPr>
                      <w:rFonts w:eastAsia="宋体"/>
                      <w:sz w:val="21"/>
                    </w:rPr>
                  </w:pPr>
                  <w:r>
                    <w:rPr>
                      <w:rFonts w:hint="eastAsia" w:eastAsia="宋体"/>
                      <w:sz w:val="21"/>
                    </w:rPr>
                    <w:t>巴中市巴州区</w:t>
                  </w:r>
                </w:p>
              </w:tc>
              <w:tc>
                <w:tcPr>
                  <w:tcW w:w="790" w:type="pct"/>
                  <w:tcBorders>
                    <w:tl2br w:val="nil"/>
                    <w:tr2bl w:val="nil"/>
                  </w:tcBorders>
                  <w:vAlign w:val="center"/>
                </w:tcPr>
                <w:p w14:paraId="41CD7372">
                  <w:pPr>
                    <w:pStyle w:val="30"/>
                    <w:widowControl/>
                    <w:spacing w:line="240" w:lineRule="auto"/>
                    <w:ind w:firstLine="0" w:firstLineChars="0"/>
                    <w:jc w:val="center"/>
                    <w:rPr>
                      <w:rFonts w:eastAsia="宋体"/>
                      <w:sz w:val="21"/>
                    </w:rPr>
                  </w:pPr>
                  <w:r>
                    <w:rPr>
                      <w:rFonts w:hint="eastAsia" w:eastAsia="宋体"/>
                      <w:sz w:val="21"/>
                    </w:rPr>
                    <w:t>水</w:t>
                  </w:r>
                </w:p>
              </w:tc>
              <w:tc>
                <w:tcPr>
                  <w:tcW w:w="1250" w:type="pct"/>
                  <w:tcBorders>
                    <w:tl2br w:val="nil"/>
                    <w:tr2bl w:val="nil"/>
                  </w:tcBorders>
                  <w:vAlign w:val="center"/>
                </w:tcPr>
                <w:p w14:paraId="01D2B1A6">
                  <w:pPr>
                    <w:pStyle w:val="30"/>
                    <w:widowControl/>
                    <w:spacing w:line="240" w:lineRule="auto"/>
                    <w:ind w:firstLine="0" w:firstLineChars="0"/>
                    <w:jc w:val="center"/>
                    <w:rPr>
                      <w:rFonts w:eastAsia="宋体"/>
                      <w:sz w:val="21"/>
                    </w:rPr>
                  </w:pPr>
                  <w:r>
                    <w:rPr>
                      <w:rFonts w:hint="eastAsia" w:eastAsia="宋体"/>
                      <w:sz w:val="21"/>
                    </w:rPr>
                    <w:t>水环境城镇生活污染重点管控区</w:t>
                  </w:r>
                </w:p>
              </w:tc>
            </w:tr>
            <w:tr w14:paraId="120A19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905" w:type="pct"/>
                  <w:tcBorders>
                    <w:tl2br w:val="nil"/>
                    <w:tr2bl w:val="nil"/>
                  </w:tcBorders>
                  <w:vAlign w:val="center"/>
                </w:tcPr>
                <w:p w14:paraId="1666C2B4">
                  <w:pPr>
                    <w:pStyle w:val="30"/>
                    <w:widowControl/>
                    <w:spacing w:line="240" w:lineRule="auto"/>
                    <w:ind w:firstLine="0" w:firstLineChars="0"/>
                    <w:jc w:val="center"/>
                    <w:rPr>
                      <w:rFonts w:eastAsia="宋体"/>
                      <w:sz w:val="21"/>
                    </w:rPr>
                  </w:pPr>
                  <w:r>
                    <w:rPr>
                      <w:rFonts w:hint="eastAsia" w:eastAsia="宋体"/>
                      <w:sz w:val="21"/>
                    </w:rPr>
                    <w:t>YS5119022220002</w:t>
                  </w:r>
                </w:p>
              </w:tc>
              <w:tc>
                <w:tcPr>
                  <w:tcW w:w="1262" w:type="pct"/>
                  <w:tcBorders>
                    <w:tl2br w:val="nil"/>
                    <w:tr2bl w:val="nil"/>
                  </w:tcBorders>
                  <w:vAlign w:val="center"/>
                </w:tcPr>
                <w:p w14:paraId="7F483072">
                  <w:pPr>
                    <w:pStyle w:val="30"/>
                    <w:widowControl/>
                    <w:spacing w:line="240" w:lineRule="auto"/>
                    <w:ind w:firstLine="0" w:firstLineChars="0"/>
                    <w:jc w:val="center"/>
                    <w:rPr>
                      <w:rFonts w:eastAsia="宋体"/>
                      <w:sz w:val="21"/>
                    </w:rPr>
                  </w:pPr>
                  <w:r>
                    <w:rPr>
                      <w:rFonts w:hint="eastAsia" w:eastAsia="宋体"/>
                      <w:sz w:val="21"/>
                    </w:rPr>
                    <w:t>巴河-巴州区-手傍岩-控制单元</w:t>
                  </w:r>
                </w:p>
              </w:tc>
              <w:tc>
                <w:tcPr>
                  <w:tcW w:w="790" w:type="pct"/>
                  <w:tcBorders>
                    <w:tl2br w:val="nil"/>
                    <w:tr2bl w:val="nil"/>
                  </w:tcBorders>
                  <w:vAlign w:val="center"/>
                </w:tcPr>
                <w:p w14:paraId="0F7777CC">
                  <w:pPr>
                    <w:pStyle w:val="30"/>
                    <w:widowControl/>
                    <w:spacing w:line="240" w:lineRule="auto"/>
                    <w:ind w:firstLine="0" w:firstLineChars="0"/>
                    <w:jc w:val="center"/>
                    <w:rPr>
                      <w:rFonts w:eastAsia="宋体"/>
                      <w:sz w:val="21"/>
                    </w:rPr>
                  </w:pPr>
                  <w:r>
                    <w:rPr>
                      <w:rFonts w:hint="eastAsia" w:eastAsia="宋体"/>
                      <w:sz w:val="21"/>
                    </w:rPr>
                    <w:t>巴中市巴州区</w:t>
                  </w:r>
                </w:p>
              </w:tc>
              <w:tc>
                <w:tcPr>
                  <w:tcW w:w="790" w:type="pct"/>
                  <w:tcBorders>
                    <w:tl2br w:val="nil"/>
                    <w:tr2bl w:val="nil"/>
                  </w:tcBorders>
                  <w:vAlign w:val="center"/>
                </w:tcPr>
                <w:p w14:paraId="753B780A">
                  <w:pPr>
                    <w:pStyle w:val="30"/>
                    <w:widowControl/>
                    <w:spacing w:line="240" w:lineRule="auto"/>
                    <w:ind w:firstLine="0" w:firstLineChars="0"/>
                    <w:jc w:val="center"/>
                    <w:rPr>
                      <w:rFonts w:eastAsia="宋体"/>
                      <w:sz w:val="21"/>
                    </w:rPr>
                  </w:pPr>
                  <w:r>
                    <w:rPr>
                      <w:rFonts w:hint="eastAsia" w:eastAsia="宋体"/>
                      <w:sz w:val="21"/>
                    </w:rPr>
                    <w:t>水</w:t>
                  </w:r>
                </w:p>
              </w:tc>
              <w:tc>
                <w:tcPr>
                  <w:tcW w:w="1250" w:type="pct"/>
                  <w:tcBorders>
                    <w:tl2br w:val="nil"/>
                    <w:tr2bl w:val="nil"/>
                  </w:tcBorders>
                  <w:vAlign w:val="center"/>
                </w:tcPr>
                <w:p w14:paraId="05791AE9">
                  <w:pPr>
                    <w:pStyle w:val="30"/>
                    <w:widowControl/>
                    <w:spacing w:line="240" w:lineRule="auto"/>
                    <w:ind w:firstLine="0" w:firstLineChars="0"/>
                    <w:jc w:val="center"/>
                    <w:rPr>
                      <w:rFonts w:eastAsia="宋体"/>
                      <w:sz w:val="21"/>
                    </w:rPr>
                  </w:pPr>
                  <w:r>
                    <w:rPr>
                      <w:rFonts w:hint="eastAsia" w:eastAsia="宋体"/>
                      <w:sz w:val="21"/>
                    </w:rPr>
                    <w:t>水环境城镇生活污染重点管控区</w:t>
                  </w:r>
                </w:p>
              </w:tc>
            </w:tr>
          </w:tbl>
          <w:p w14:paraId="2872376B">
            <w:pPr>
              <w:ind w:firstLine="480"/>
            </w:pPr>
            <w:r>
              <w:t>项目与管控单元相对位置如下图所示：</w:t>
            </w:r>
          </w:p>
          <w:p w14:paraId="40C4BB18">
            <w:pPr>
              <w:ind w:firstLine="0" w:firstLineChars="0"/>
              <w:jc w:val="center"/>
            </w:pPr>
            <w:r>
              <w:drawing>
                <wp:inline distT="0" distB="0" distL="0" distR="0">
                  <wp:extent cx="4244340" cy="2440940"/>
                  <wp:effectExtent l="0" t="0" r="3810" b="16510"/>
                  <wp:docPr id="1" name="Drawing 0" descr="position-map-17821838464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0" descr="position-map-1782183846408.png"/>
                          <pic:cNvPicPr>
                            <a:picLocks noChangeAspect="1"/>
                          </pic:cNvPicPr>
                        </pic:nvPicPr>
                        <pic:blipFill>
                          <a:blip r:embed="rId14"/>
                          <a:stretch>
                            <a:fillRect/>
                          </a:stretch>
                        </pic:blipFill>
                        <pic:spPr>
                          <a:xfrm>
                            <a:off x="0" y="0"/>
                            <a:ext cx="4244340" cy="2440940"/>
                          </a:xfrm>
                          <a:prstGeom prst="rect">
                            <a:avLst/>
                          </a:prstGeom>
                        </pic:spPr>
                      </pic:pic>
                    </a:graphicData>
                  </a:graphic>
                </wp:inline>
              </w:drawing>
            </w:r>
          </w:p>
          <w:p w14:paraId="564A5C89">
            <w:pPr>
              <w:ind w:firstLine="422"/>
              <w:jc w:val="center"/>
              <w:rPr>
                <w:b/>
                <w:bCs/>
                <w:sz w:val="21"/>
                <w:szCs w:val="21"/>
              </w:rPr>
            </w:pPr>
            <w:r>
              <w:rPr>
                <w:b/>
                <w:bCs/>
                <w:sz w:val="21"/>
                <w:szCs w:val="21"/>
              </w:rPr>
              <w:t>图</w:t>
            </w:r>
            <w:r>
              <w:rPr>
                <w:rFonts w:hint="eastAsia"/>
                <w:b/>
                <w:bCs/>
                <w:sz w:val="21"/>
                <w:szCs w:val="21"/>
              </w:rPr>
              <w:t>1-2</w:t>
            </w:r>
            <w:r>
              <w:rPr>
                <w:b/>
                <w:bCs/>
                <w:sz w:val="21"/>
                <w:szCs w:val="21"/>
              </w:rPr>
              <w:t xml:space="preserve">  项目与生态环境管控单元的相对位置图</w:t>
            </w:r>
          </w:p>
          <w:p w14:paraId="7DCCE548">
            <w:pPr>
              <w:ind w:firstLine="480"/>
            </w:pPr>
            <w:r>
              <w:rPr>
                <w:rFonts w:hint="eastAsia"/>
              </w:rPr>
              <w:t>项目涉及的生态环境分区管控符合性分析如下。</w:t>
            </w:r>
          </w:p>
          <w:p w14:paraId="3885027A">
            <w:pPr>
              <w:autoSpaceDE w:val="0"/>
              <w:autoSpaceDN w:val="0"/>
              <w:adjustRightInd w:val="0"/>
              <w:snapToGrid w:val="0"/>
              <w:ind w:right="120" w:rightChars="50" w:firstLine="0" w:firstLineChars="0"/>
              <w:rPr>
                <w:kern w:val="0"/>
              </w:rPr>
            </w:pPr>
          </w:p>
          <w:p w14:paraId="61BCDDF5">
            <w:pPr>
              <w:autoSpaceDE w:val="0"/>
              <w:autoSpaceDN w:val="0"/>
              <w:adjustRightInd w:val="0"/>
              <w:snapToGrid w:val="0"/>
              <w:ind w:right="120" w:rightChars="50" w:firstLine="0" w:firstLineChars="0"/>
              <w:rPr>
                <w:kern w:val="0"/>
              </w:rPr>
            </w:pPr>
          </w:p>
          <w:p w14:paraId="259BDF77">
            <w:pPr>
              <w:autoSpaceDE w:val="0"/>
              <w:autoSpaceDN w:val="0"/>
              <w:adjustRightInd w:val="0"/>
              <w:snapToGrid w:val="0"/>
              <w:ind w:right="120" w:rightChars="50" w:firstLine="0" w:firstLineChars="0"/>
              <w:rPr>
                <w:kern w:val="0"/>
              </w:rPr>
            </w:pPr>
          </w:p>
          <w:p w14:paraId="7B1D1773">
            <w:pPr>
              <w:autoSpaceDE w:val="0"/>
              <w:autoSpaceDN w:val="0"/>
              <w:adjustRightInd w:val="0"/>
              <w:snapToGrid w:val="0"/>
              <w:ind w:right="120" w:rightChars="50" w:firstLine="0" w:firstLineChars="0"/>
              <w:rPr>
                <w:kern w:val="0"/>
              </w:rPr>
            </w:pPr>
          </w:p>
        </w:tc>
      </w:tr>
      <w:bookmarkEnd w:id="3"/>
    </w:tbl>
    <w:p w14:paraId="3B43F514">
      <w:pPr>
        <w:ind w:firstLine="480"/>
        <w:sectPr>
          <w:pgSz w:w="11906" w:h="16838"/>
          <w:pgMar w:top="1800" w:right="1440" w:bottom="1800" w:left="1440" w:header="851" w:footer="992" w:gutter="0"/>
          <w:pgNumType w:start="1"/>
          <w:cols w:space="0" w:num="1"/>
          <w:docGrid w:type="lines" w:linePitch="312" w:charSpace="0"/>
        </w:sect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3"/>
        <w:gridCol w:w="12981"/>
      </w:tblGrid>
      <w:tr w14:paraId="39CB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7" w:hRule="atLeast"/>
        </w:trPr>
        <w:tc>
          <w:tcPr>
            <w:tcW w:w="473" w:type="dxa"/>
            <w:vAlign w:val="center"/>
          </w:tcPr>
          <w:p w14:paraId="391DC2F4">
            <w:pPr>
              <w:ind w:firstLine="0" w:firstLineChars="0"/>
              <w:jc w:val="center"/>
            </w:pPr>
            <w:r>
              <w:rPr>
                <w:rFonts w:hint="eastAsia"/>
              </w:rPr>
              <w:t>其他符合性分析</w:t>
            </w:r>
          </w:p>
        </w:tc>
        <w:tc>
          <w:tcPr>
            <w:tcW w:w="12981" w:type="dxa"/>
          </w:tcPr>
          <w:p w14:paraId="45CCD771">
            <w:pPr>
              <w:ind w:firstLine="480"/>
            </w:pPr>
            <w:r>
              <w:rPr>
                <w:rFonts w:hint="eastAsia"/>
              </w:rPr>
              <w:t>本项目与涉及的环境管控单元符合性分析如下：</w:t>
            </w:r>
          </w:p>
          <w:p w14:paraId="5E71EADB">
            <w:pPr>
              <w:ind w:firstLine="0" w:firstLineChars="0"/>
              <w:jc w:val="center"/>
              <w:rPr>
                <w:b/>
                <w:bCs/>
                <w:sz w:val="21"/>
                <w:szCs w:val="21"/>
              </w:rPr>
            </w:pPr>
            <w:r>
              <w:rPr>
                <w:rFonts w:hint="eastAsia"/>
                <w:b/>
                <w:bCs/>
                <w:sz w:val="21"/>
                <w:szCs w:val="21"/>
              </w:rPr>
              <w:t>表1-8  市（州）普适性管控要求</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164"/>
              <w:gridCol w:w="976"/>
              <w:gridCol w:w="6633"/>
              <w:gridCol w:w="2384"/>
              <w:gridCol w:w="899"/>
            </w:tblGrid>
            <w:tr w14:paraId="794D0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534BC779">
                  <w:pPr>
                    <w:pStyle w:val="30"/>
                    <w:widowControl/>
                    <w:spacing w:line="240" w:lineRule="auto"/>
                    <w:ind w:firstLine="0" w:firstLineChars="0"/>
                    <w:jc w:val="center"/>
                    <w:rPr>
                      <w:rFonts w:eastAsia="宋体"/>
                      <w:b/>
                      <w:bCs/>
                      <w:sz w:val="21"/>
                    </w:rPr>
                  </w:pPr>
                  <w:r>
                    <w:rPr>
                      <w:rFonts w:hint="eastAsia" w:eastAsia="宋体"/>
                      <w:b/>
                      <w:bCs/>
                      <w:sz w:val="21"/>
                    </w:rPr>
                    <w:t>市州</w:t>
                  </w:r>
                </w:p>
              </w:tc>
              <w:tc>
                <w:tcPr>
                  <w:tcW w:w="1164" w:type="dxa"/>
                  <w:vAlign w:val="center"/>
                </w:tcPr>
                <w:p w14:paraId="1D3046B9">
                  <w:pPr>
                    <w:pStyle w:val="30"/>
                    <w:widowControl/>
                    <w:spacing w:line="240" w:lineRule="auto"/>
                    <w:ind w:firstLine="0" w:firstLineChars="0"/>
                    <w:jc w:val="center"/>
                    <w:rPr>
                      <w:rFonts w:eastAsia="宋体"/>
                      <w:b/>
                      <w:bCs/>
                      <w:sz w:val="21"/>
                    </w:rPr>
                  </w:pPr>
                  <w:r>
                    <w:rPr>
                      <w:rFonts w:hint="eastAsia" w:eastAsia="宋体"/>
                      <w:b/>
                      <w:bCs/>
                      <w:sz w:val="21"/>
                    </w:rPr>
                    <w:t>管控单元</w:t>
                  </w:r>
                </w:p>
              </w:tc>
              <w:tc>
                <w:tcPr>
                  <w:tcW w:w="976" w:type="dxa"/>
                  <w:vAlign w:val="center"/>
                </w:tcPr>
                <w:p w14:paraId="6015F1E9">
                  <w:pPr>
                    <w:pStyle w:val="30"/>
                    <w:widowControl/>
                    <w:spacing w:line="240" w:lineRule="auto"/>
                    <w:ind w:firstLine="0" w:firstLineChars="0"/>
                    <w:jc w:val="center"/>
                    <w:rPr>
                      <w:rFonts w:eastAsia="宋体"/>
                      <w:b/>
                      <w:bCs/>
                      <w:sz w:val="21"/>
                    </w:rPr>
                  </w:pPr>
                  <w:r>
                    <w:rPr>
                      <w:rFonts w:hint="eastAsia" w:eastAsia="宋体"/>
                      <w:b/>
                      <w:bCs/>
                      <w:sz w:val="21"/>
                    </w:rPr>
                    <w:t>类别</w:t>
                  </w:r>
                </w:p>
              </w:tc>
              <w:tc>
                <w:tcPr>
                  <w:tcW w:w="6633" w:type="dxa"/>
                  <w:vAlign w:val="center"/>
                </w:tcPr>
                <w:p w14:paraId="44EE5528">
                  <w:pPr>
                    <w:pStyle w:val="30"/>
                    <w:widowControl/>
                    <w:spacing w:line="240" w:lineRule="auto"/>
                    <w:ind w:firstLine="0" w:firstLineChars="0"/>
                    <w:jc w:val="center"/>
                    <w:rPr>
                      <w:rFonts w:eastAsia="宋体"/>
                      <w:b/>
                      <w:bCs/>
                      <w:sz w:val="21"/>
                    </w:rPr>
                  </w:pPr>
                  <w:r>
                    <w:rPr>
                      <w:rFonts w:hint="eastAsia" w:eastAsia="宋体"/>
                      <w:b/>
                      <w:bCs/>
                      <w:sz w:val="21"/>
                    </w:rPr>
                    <w:t>对应管控要求</w:t>
                  </w:r>
                </w:p>
              </w:tc>
              <w:tc>
                <w:tcPr>
                  <w:tcW w:w="2384" w:type="dxa"/>
                  <w:vAlign w:val="center"/>
                </w:tcPr>
                <w:p w14:paraId="0645AD63">
                  <w:pPr>
                    <w:pStyle w:val="30"/>
                    <w:widowControl/>
                    <w:spacing w:line="240" w:lineRule="auto"/>
                    <w:ind w:firstLine="0" w:firstLineChars="0"/>
                    <w:jc w:val="center"/>
                    <w:rPr>
                      <w:rFonts w:eastAsia="宋体"/>
                      <w:b/>
                      <w:bCs/>
                      <w:sz w:val="21"/>
                    </w:rPr>
                  </w:pPr>
                  <w:r>
                    <w:rPr>
                      <w:rFonts w:hint="eastAsia" w:eastAsia="宋体"/>
                      <w:b/>
                      <w:bCs/>
                      <w:sz w:val="21"/>
                    </w:rPr>
                    <w:t>本项目情况</w:t>
                  </w:r>
                </w:p>
              </w:tc>
              <w:tc>
                <w:tcPr>
                  <w:tcW w:w="899" w:type="dxa"/>
                  <w:vAlign w:val="center"/>
                </w:tcPr>
                <w:p w14:paraId="3A1957E0">
                  <w:pPr>
                    <w:pStyle w:val="30"/>
                    <w:widowControl/>
                    <w:spacing w:line="240" w:lineRule="auto"/>
                    <w:ind w:firstLine="0" w:firstLineChars="0"/>
                    <w:jc w:val="center"/>
                    <w:rPr>
                      <w:rFonts w:eastAsia="宋体"/>
                      <w:b/>
                      <w:bCs/>
                      <w:sz w:val="21"/>
                    </w:rPr>
                  </w:pPr>
                  <w:r>
                    <w:rPr>
                      <w:rFonts w:hint="eastAsia" w:eastAsia="宋体"/>
                      <w:b/>
                      <w:bCs/>
                      <w:sz w:val="21"/>
                    </w:rPr>
                    <w:t>符合性</w:t>
                  </w:r>
                </w:p>
              </w:tc>
            </w:tr>
            <w:tr w14:paraId="79FFD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Merge w:val="restart"/>
                  <w:vAlign w:val="center"/>
                </w:tcPr>
                <w:p w14:paraId="1BF6F204">
                  <w:pPr>
                    <w:pStyle w:val="30"/>
                    <w:widowControl/>
                    <w:spacing w:line="240" w:lineRule="auto"/>
                    <w:ind w:firstLine="0" w:firstLineChars="0"/>
                    <w:jc w:val="center"/>
                    <w:rPr>
                      <w:rFonts w:eastAsia="宋体"/>
                      <w:sz w:val="21"/>
                    </w:rPr>
                  </w:pPr>
                  <w:r>
                    <w:rPr>
                      <w:rFonts w:hint="eastAsia" w:eastAsia="宋体"/>
                      <w:sz w:val="21"/>
                    </w:rPr>
                    <w:t>巴中市</w:t>
                  </w:r>
                </w:p>
              </w:tc>
              <w:tc>
                <w:tcPr>
                  <w:tcW w:w="1164" w:type="dxa"/>
                  <w:vMerge w:val="restart"/>
                  <w:vAlign w:val="center"/>
                </w:tcPr>
                <w:p w14:paraId="6BAF4337">
                  <w:pPr>
                    <w:pStyle w:val="30"/>
                    <w:widowControl/>
                    <w:spacing w:line="240" w:lineRule="auto"/>
                    <w:ind w:firstLine="0" w:firstLineChars="0"/>
                    <w:jc w:val="center"/>
                    <w:rPr>
                      <w:rFonts w:eastAsia="宋体"/>
                      <w:sz w:val="21"/>
                    </w:rPr>
                  </w:pPr>
                  <w:r>
                    <w:rPr>
                      <w:rFonts w:hint="eastAsia" w:eastAsia="宋体"/>
                      <w:sz w:val="21"/>
                    </w:rPr>
                    <w:t>先保护单元+城镇重点管控单元+工业重点管控单元+要素重点管控单元+一般管控单元</w:t>
                  </w:r>
                </w:p>
              </w:tc>
              <w:tc>
                <w:tcPr>
                  <w:tcW w:w="976" w:type="dxa"/>
                  <w:vAlign w:val="center"/>
                </w:tcPr>
                <w:p w14:paraId="3DB284EC">
                  <w:pPr>
                    <w:pStyle w:val="30"/>
                    <w:widowControl/>
                    <w:spacing w:line="240" w:lineRule="auto"/>
                    <w:ind w:firstLine="0" w:firstLineChars="0"/>
                    <w:jc w:val="center"/>
                    <w:rPr>
                      <w:rFonts w:eastAsia="宋体"/>
                      <w:sz w:val="21"/>
                    </w:rPr>
                  </w:pPr>
                  <w:r>
                    <w:rPr>
                      <w:rFonts w:hint="eastAsia" w:eastAsia="宋体"/>
                      <w:sz w:val="21"/>
                    </w:rPr>
                    <w:t>空间布局约束</w:t>
                  </w:r>
                </w:p>
              </w:tc>
              <w:tc>
                <w:tcPr>
                  <w:tcW w:w="6633" w:type="dxa"/>
                  <w:vAlign w:val="center"/>
                </w:tcPr>
                <w:p w14:paraId="04A239F7">
                  <w:pPr>
                    <w:pStyle w:val="30"/>
                    <w:widowControl/>
                    <w:spacing w:line="240" w:lineRule="auto"/>
                    <w:ind w:firstLine="0" w:firstLineChars="0"/>
                    <w:rPr>
                      <w:rFonts w:eastAsia="宋体"/>
                      <w:sz w:val="21"/>
                    </w:rPr>
                  </w:pPr>
                  <w:r>
                    <w:rPr>
                      <w:rFonts w:hint="eastAsia" w:eastAsia="宋体"/>
                      <w:sz w:val="21"/>
                    </w:rPr>
                    <w:t>【限制开发建设活动的要求】：</w:t>
                  </w:r>
                </w:p>
                <w:p w14:paraId="5E965F3E">
                  <w:pPr>
                    <w:pStyle w:val="30"/>
                    <w:widowControl/>
                    <w:spacing w:line="240" w:lineRule="auto"/>
                    <w:ind w:firstLine="0" w:firstLineChars="0"/>
                    <w:rPr>
                      <w:rFonts w:eastAsia="宋体"/>
                      <w:sz w:val="21"/>
                    </w:rPr>
                  </w:pPr>
                  <w:r>
                    <w:rPr>
                      <w:rFonts w:hint="eastAsia" w:eastAsia="宋体"/>
                      <w:sz w:val="21"/>
                    </w:rPr>
                    <w:t>培育和引入产业必须符合国家产业政策，严控新建、扩建“两高”项目，强化企业环境管理；</w:t>
                  </w:r>
                </w:p>
                <w:p w14:paraId="49D0B54D">
                  <w:pPr>
                    <w:pStyle w:val="30"/>
                    <w:widowControl/>
                    <w:spacing w:line="240" w:lineRule="auto"/>
                    <w:ind w:firstLine="0" w:firstLineChars="0"/>
                    <w:rPr>
                      <w:rFonts w:eastAsia="宋体"/>
                      <w:sz w:val="21"/>
                    </w:rPr>
                  </w:pPr>
                  <w:r>
                    <w:rPr>
                      <w:rFonts w:hint="eastAsia" w:eastAsia="宋体"/>
                      <w:sz w:val="21"/>
                    </w:rPr>
                    <w:t>【其他空间布局约束要求】：</w:t>
                  </w:r>
                </w:p>
                <w:p w14:paraId="66C81466">
                  <w:pPr>
                    <w:pStyle w:val="30"/>
                    <w:widowControl/>
                    <w:spacing w:line="240" w:lineRule="auto"/>
                    <w:ind w:firstLine="0" w:firstLineChars="0"/>
                    <w:rPr>
                      <w:rFonts w:eastAsia="宋体"/>
                      <w:sz w:val="21"/>
                    </w:rPr>
                  </w:pPr>
                  <w:r>
                    <w:rPr>
                      <w:rFonts w:hint="eastAsia" w:eastAsia="宋体"/>
                      <w:sz w:val="21"/>
                    </w:rPr>
                    <w:t>合理控制并优化生态环境敏感区内的旅游开发建设活动，合理开发利用水利资源，大力发展生态康养旅游产业。严格落实自然保护地、生态保护红线、集中式饮用水水源保护区等管控要求；加强农村环境综合治理，积极发展生态农业和有机农业；严格控制化肥、农药、农膜使用量，合理布局畜禽养殖</w:t>
                  </w:r>
                </w:p>
              </w:tc>
              <w:tc>
                <w:tcPr>
                  <w:tcW w:w="2384" w:type="dxa"/>
                  <w:vAlign w:val="center"/>
                </w:tcPr>
                <w:p w14:paraId="24C38D8F">
                  <w:pPr>
                    <w:pStyle w:val="30"/>
                    <w:widowControl/>
                    <w:spacing w:line="240" w:lineRule="auto"/>
                    <w:ind w:firstLine="0" w:firstLineChars="0"/>
                    <w:jc w:val="center"/>
                    <w:rPr>
                      <w:rFonts w:eastAsia="宋体"/>
                      <w:sz w:val="21"/>
                    </w:rPr>
                  </w:pPr>
                  <w:r>
                    <w:rPr>
                      <w:rFonts w:hint="eastAsia" w:eastAsia="宋体"/>
                      <w:sz w:val="21"/>
                    </w:rPr>
                    <w:t>本项目属于</w:t>
                  </w:r>
                  <w:r>
                    <w:rPr>
                      <w:rFonts w:hint="eastAsia" w:eastAsia="宋体"/>
                      <w:sz w:val="21"/>
                      <w:lang w:eastAsia="zh-CN"/>
                    </w:rPr>
                    <w:t>防洪除涝</w:t>
                  </w:r>
                  <w:r>
                    <w:rPr>
                      <w:rFonts w:hint="eastAsia" w:eastAsia="宋体"/>
                      <w:sz w:val="21"/>
                    </w:rPr>
                    <w:t>工程，不属于“两高”项目，项目不涉及自然保护区、生态保护红线、集中式饮用水水源保护区。</w:t>
                  </w:r>
                </w:p>
              </w:tc>
              <w:tc>
                <w:tcPr>
                  <w:tcW w:w="899" w:type="dxa"/>
                  <w:vAlign w:val="center"/>
                </w:tcPr>
                <w:p w14:paraId="7D1A6E21">
                  <w:pPr>
                    <w:pStyle w:val="30"/>
                    <w:widowControl/>
                    <w:spacing w:line="240" w:lineRule="auto"/>
                    <w:ind w:firstLine="0" w:firstLineChars="0"/>
                    <w:jc w:val="center"/>
                    <w:rPr>
                      <w:rFonts w:eastAsia="宋体"/>
                      <w:sz w:val="21"/>
                    </w:rPr>
                  </w:pPr>
                  <w:r>
                    <w:rPr>
                      <w:rFonts w:hint="eastAsia" w:eastAsia="宋体"/>
                      <w:sz w:val="21"/>
                    </w:rPr>
                    <w:t>符合</w:t>
                  </w:r>
                </w:p>
              </w:tc>
            </w:tr>
            <w:tr w14:paraId="623D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Merge w:val="continue"/>
                  <w:vAlign w:val="center"/>
                </w:tcPr>
                <w:p w14:paraId="66F1CEC6">
                  <w:pPr>
                    <w:pStyle w:val="30"/>
                    <w:widowControl/>
                    <w:spacing w:line="240" w:lineRule="auto"/>
                    <w:ind w:firstLine="0" w:firstLineChars="0"/>
                    <w:jc w:val="center"/>
                    <w:rPr>
                      <w:rFonts w:eastAsia="宋体"/>
                      <w:sz w:val="21"/>
                    </w:rPr>
                  </w:pPr>
                </w:p>
              </w:tc>
              <w:tc>
                <w:tcPr>
                  <w:tcW w:w="1164" w:type="dxa"/>
                  <w:vMerge w:val="continue"/>
                  <w:vAlign w:val="center"/>
                </w:tcPr>
                <w:p w14:paraId="65966D00">
                  <w:pPr>
                    <w:pStyle w:val="30"/>
                    <w:widowControl/>
                    <w:spacing w:line="240" w:lineRule="auto"/>
                    <w:ind w:firstLine="0" w:firstLineChars="0"/>
                    <w:jc w:val="center"/>
                    <w:rPr>
                      <w:rFonts w:eastAsia="宋体"/>
                      <w:sz w:val="21"/>
                    </w:rPr>
                  </w:pPr>
                </w:p>
              </w:tc>
              <w:tc>
                <w:tcPr>
                  <w:tcW w:w="976" w:type="dxa"/>
                  <w:vAlign w:val="center"/>
                </w:tcPr>
                <w:p w14:paraId="56E0887E">
                  <w:pPr>
                    <w:pStyle w:val="30"/>
                    <w:widowControl/>
                    <w:spacing w:line="240" w:lineRule="auto"/>
                    <w:ind w:firstLine="0" w:firstLineChars="0"/>
                    <w:jc w:val="center"/>
                    <w:rPr>
                      <w:rFonts w:eastAsia="宋体"/>
                      <w:sz w:val="21"/>
                    </w:rPr>
                  </w:pPr>
                  <w:r>
                    <w:rPr>
                      <w:rFonts w:hint="eastAsia" w:eastAsia="宋体"/>
                      <w:sz w:val="21"/>
                    </w:rPr>
                    <w:t>污染物排放管控</w:t>
                  </w:r>
                </w:p>
              </w:tc>
              <w:tc>
                <w:tcPr>
                  <w:tcW w:w="6633" w:type="dxa"/>
                  <w:vAlign w:val="center"/>
                </w:tcPr>
                <w:p w14:paraId="7EE12E66">
                  <w:pPr>
                    <w:pStyle w:val="30"/>
                    <w:widowControl/>
                    <w:spacing w:line="240" w:lineRule="auto"/>
                    <w:ind w:firstLine="0" w:firstLineChars="0"/>
                    <w:rPr>
                      <w:rFonts w:eastAsia="宋体"/>
                      <w:sz w:val="21"/>
                    </w:rPr>
                  </w:pPr>
                  <w:r>
                    <w:rPr>
                      <w:rFonts w:hint="eastAsia" w:eastAsia="宋体"/>
                      <w:sz w:val="21"/>
                    </w:rPr>
                    <w:t>【现有源提标升级改造】：</w:t>
                  </w:r>
                </w:p>
                <w:p w14:paraId="1FBDFD16">
                  <w:pPr>
                    <w:pStyle w:val="30"/>
                    <w:widowControl/>
                    <w:spacing w:line="240" w:lineRule="auto"/>
                    <w:ind w:firstLine="0" w:firstLineChars="0"/>
                    <w:rPr>
                      <w:rFonts w:eastAsia="宋体"/>
                      <w:sz w:val="21"/>
                    </w:rPr>
                  </w:pPr>
                  <w:r>
                    <w:rPr>
                      <w:rFonts w:hint="eastAsia" w:eastAsia="宋体"/>
                      <w:sz w:val="21"/>
                    </w:rPr>
                    <w:t>强化水、大气、土壤污染源头管控，深化环境污染治理，完善污染治理基础设施，巩固提升环境质量；</w:t>
                  </w:r>
                </w:p>
                <w:p w14:paraId="56A2FC8C">
                  <w:pPr>
                    <w:pStyle w:val="30"/>
                    <w:widowControl/>
                    <w:spacing w:line="240" w:lineRule="auto"/>
                    <w:ind w:firstLine="0" w:firstLineChars="0"/>
                    <w:rPr>
                      <w:rFonts w:eastAsia="宋体"/>
                      <w:sz w:val="21"/>
                    </w:rPr>
                  </w:pPr>
                  <w:r>
                    <w:rPr>
                      <w:rFonts w:hint="eastAsia" w:eastAsia="宋体"/>
                      <w:sz w:val="21"/>
                    </w:rPr>
                    <w:t>【其他污染物排放管控要求】：</w:t>
                  </w:r>
                </w:p>
                <w:p w14:paraId="45BF729B">
                  <w:pPr>
                    <w:pStyle w:val="30"/>
                    <w:widowControl/>
                    <w:spacing w:line="240" w:lineRule="auto"/>
                    <w:ind w:firstLine="0" w:firstLineChars="0"/>
                    <w:rPr>
                      <w:rFonts w:eastAsia="宋体"/>
                      <w:sz w:val="21"/>
                    </w:rPr>
                  </w:pPr>
                  <w:r>
                    <w:rPr>
                      <w:rFonts w:hint="eastAsia" w:eastAsia="宋体"/>
                      <w:sz w:val="21"/>
                    </w:rPr>
                    <w:t>/</w:t>
                  </w:r>
                </w:p>
              </w:tc>
              <w:tc>
                <w:tcPr>
                  <w:tcW w:w="2384" w:type="dxa"/>
                  <w:vAlign w:val="center"/>
                </w:tcPr>
                <w:p w14:paraId="5C9C85CA">
                  <w:pPr>
                    <w:pStyle w:val="30"/>
                    <w:widowControl/>
                    <w:spacing w:line="240" w:lineRule="auto"/>
                    <w:ind w:firstLine="0" w:firstLineChars="0"/>
                    <w:jc w:val="center"/>
                    <w:rPr>
                      <w:rFonts w:eastAsia="宋体"/>
                      <w:sz w:val="21"/>
                    </w:rPr>
                  </w:pPr>
                  <w:r>
                    <w:rPr>
                      <w:rFonts w:hint="eastAsia" w:eastAsia="宋体"/>
                      <w:sz w:val="21"/>
                    </w:rPr>
                    <w:t>项目施工期配套建设施工废水沉淀池、围挡洒水抑尘等污染防控设施，严格管控施工废水、扬尘、固体废物、噪声等污染物排放。</w:t>
                  </w:r>
                </w:p>
              </w:tc>
              <w:tc>
                <w:tcPr>
                  <w:tcW w:w="899" w:type="dxa"/>
                  <w:vAlign w:val="center"/>
                </w:tcPr>
                <w:p w14:paraId="7BC57C48">
                  <w:pPr>
                    <w:pStyle w:val="30"/>
                    <w:widowControl/>
                    <w:spacing w:line="240" w:lineRule="auto"/>
                    <w:ind w:firstLine="0" w:firstLineChars="0"/>
                    <w:jc w:val="center"/>
                    <w:rPr>
                      <w:rFonts w:eastAsia="宋体"/>
                      <w:sz w:val="21"/>
                    </w:rPr>
                  </w:pPr>
                  <w:r>
                    <w:rPr>
                      <w:rFonts w:hint="eastAsia" w:eastAsia="宋体"/>
                      <w:sz w:val="21"/>
                    </w:rPr>
                    <w:t>符合</w:t>
                  </w:r>
                </w:p>
              </w:tc>
            </w:tr>
            <w:tr w14:paraId="6F72C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Merge w:val="continue"/>
                  <w:vAlign w:val="center"/>
                </w:tcPr>
                <w:p w14:paraId="79835719">
                  <w:pPr>
                    <w:pStyle w:val="30"/>
                    <w:widowControl/>
                    <w:spacing w:line="240" w:lineRule="auto"/>
                    <w:ind w:firstLine="0" w:firstLineChars="0"/>
                    <w:jc w:val="center"/>
                    <w:rPr>
                      <w:rFonts w:eastAsia="宋体"/>
                      <w:sz w:val="21"/>
                    </w:rPr>
                  </w:pPr>
                </w:p>
              </w:tc>
              <w:tc>
                <w:tcPr>
                  <w:tcW w:w="1164" w:type="dxa"/>
                  <w:vMerge w:val="continue"/>
                  <w:vAlign w:val="center"/>
                </w:tcPr>
                <w:p w14:paraId="3EB1453B">
                  <w:pPr>
                    <w:pStyle w:val="30"/>
                    <w:widowControl/>
                    <w:spacing w:line="240" w:lineRule="auto"/>
                    <w:ind w:firstLine="0" w:firstLineChars="0"/>
                    <w:jc w:val="center"/>
                    <w:rPr>
                      <w:rFonts w:eastAsia="宋体"/>
                      <w:sz w:val="21"/>
                    </w:rPr>
                  </w:pPr>
                </w:p>
              </w:tc>
              <w:tc>
                <w:tcPr>
                  <w:tcW w:w="976" w:type="dxa"/>
                  <w:vAlign w:val="center"/>
                </w:tcPr>
                <w:p w14:paraId="31B9B8AF">
                  <w:pPr>
                    <w:pStyle w:val="30"/>
                    <w:widowControl/>
                    <w:spacing w:line="240" w:lineRule="auto"/>
                    <w:ind w:firstLine="0" w:firstLineChars="0"/>
                    <w:jc w:val="center"/>
                    <w:rPr>
                      <w:rFonts w:eastAsia="宋体"/>
                      <w:sz w:val="21"/>
                    </w:rPr>
                  </w:pPr>
                  <w:r>
                    <w:rPr>
                      <w:rFonts w:hint="eastAsia" w:eastAsia="宋体"/>
                      <w:sz w:val="21"/>
                    </w:rPr>
                    <w:t>环境风险防控</w:t>
                  </w:r>
                </w:p>
              </w:tc>
              <w:tc>
                <w:tcPr>
                  <w:tcW w:w="6633" w:type="dxa"/>
                  <w:vAlign w:val="center"/>
                </w:tcPr>
                <w:p w14:paraId="3CEED9A8">
                  <w:pPr>
                    <w:pStyle w:val="30"/>
                    <w:widowControl/>
                    <w:spacing w:line="240" w:lineRule="auto"/>
                    <w:ind w:firstLine="0" w:firstLineChars="0"/>
                    <w:rPr>
                      <w:rFonts w:eastAsia="宋体"/>
                      <w:sz w:val="21"/>
                    </w:rPr>
                  </w:pPr>
                  <w:r>
                    <w:rPr>
                      <w:rFonts w:hint="eastAsia" w:eastAsia="宋体"/>
                      <w:sz w:val="21"/>
                    </w:rPr>
                    <w:t>【联防联控要求】：</w:t>
                  </w:r>
                </w:p>
                <w:p w14:paraId="3220D1D5">
                  <w:pPr>
                    <w:pStyle w:val="30"/>
                    <w:widowControl/>
                    <w:spacing w:line="240" w:lineRule="auto"/>
                    <w:ind w:firstLine="0" w:firstLineChars="0"/>
                    <w:rPr>
                      <w:rFonts w:eastAsia="宋体"/>
                      <w:sz w:val="21"/>
                    </w:rPr>
                  </w:pPr>
                  <w:r>
                    <w:rPr>
                      <w:rFonts w:hint="eastAsia" w:eastAsia="宋体"/>
                      <w:sz w:val="21"/>
                    </w:rPr>
                    <w:t>深化成都平原、川南、川东北地区大气污染联防联控工作机制，加强川渝地区联防联控。强化重污染天气区域应急联动机制，深化区域重污染天气联合应对。</w:t>
                  </w:r>
                </w:p>
              </w:tc>
              <w:tc>
                <w:tcPr>
                  <w:tcW w:w="2384" w:type="dxa"/>
                  <w:vAlign w:val="center"/>
                </w:tcPr>
                <w:p w14:paraId="301E9D04">
                  <w:pPr>
                    <w:pStyle w:val="30"/>
                    <w:widowControl/>
                    <w:spacing w:line="240" w:lineRule="auto"/>
                    <w:ind w:firstLine="0" w:firstLineChars="0"/>
                    <w:jc w:val="center"/>
                    <w:rPr>
                      <w:rFonts w:eastAsia="宋体"/>
                      <w:sz w:val="21"/>
                    </w:rPr>
                  </w:pPr>
                  <w:r>
                    <w:rPr>
                      <w:rFonts w:hint="eastAsia" w:eastAsia="宋体"/>
                      <w:sz w:val="21"/>
                    </w:rPr>
                    <w:t>本项目大气污染主要以施工期为主，项目施工阶段严格落实裸土全覆盖、洒水、密闭运输、错峰施工等扬尘管控措施，减少扬尘对区域大气环境影响。</w:t>
                  </w:r>
                </w:p>
              </w:tc>
              <w:tc>
                <w:tcPr>
                  <w:tcW w:w="899" w:type="dxa"/>
                  <w:vAlign w:val="center"/>
                </w:tcPr>
                <w:p w14:paraId="217A649E">
                  <w:pPr>
                    <w:pStyle w:val="30"/>
                    <w:widowControl/>
                    <w:spacing w:line="240" w:lineRule="auto"/>
                    <w:ind w:firstLine="0" w:firstLineChars="0"/>
                    <w:jc w:val="center"/>
                    <w:rPr>
                      <w:rFonts w:eastAsia="宋体"/>
                      <w:sz w:val="21"/>
                    </w:rPr>
                  </w:pPr>
                  <w:r>
                    <w:rPr>
                      <w:rFonts w:hint="eastAsia" w:eastAsia="宋体"/>
                      <w:sz w:val="21"/>
                    </w:rPr>
                    <w:t>符合</w:t>
                  </w:r>
                </w:p>
              </w:tc>
            </w:tr>
            <w:tr w14:paraId="3AF6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Merge w:val="continue"/>
                  <w:vAlign w:val="center"/>
                </w:tcPr>
                <w:p w14:paraId="20CDCD50">
                  <w:pPr>
                    <w:pStyle w:val="30"/>
                    <w:widowControl/>
                    <w:spacing w:line="240" w:lineRule="auto"/>
                    <w:ind w:firstLine="0" w:firstLineChars="0"/>
                    <w:jc w:val="center"/>
                    <w:rPr>
                      <w:rFonts w:eastAsia="宋体"/>
                      <w:sz w:val="21"/>
                    </w:rPr>
                  </w:pPr>
                </w:p>
              </w:tc>
              <w:tc>
                <w:tcPr>
                  <w:tcW w:w="1164" w:type="dxa"/>
                  <w:vMerge w:val="continue"/>
                  <w:vAlign w:val="center"/>
                </w:tcPr>
                <w:p w14:paraId="124A4112">
                  <w:pPr>
                    <w:pStyle w:val="30"/>
                    <w:widowControl/>
                    <w:spacing w:line="240" w:lineRule="auto"/>
                    <w:ind w:firstLine="0" w:firstLineChars="0"/>
                    <w:jc w:val="center"/>
                    <w:rPr>
                      <w:rFonts w:eastAsia="宋体"/>
                      <w:sz w:val="21"/>
                    </w:rPr>
                  </w:pPr>
                </w:p>
              </w:tc>
              <w:tc>
                <w:tcPr>
                  <w:tcW w:w="976" w:type="dxa"/>
                  <w:vAlign w:val="center"/>
                </w:tcPr>
                <w:p w14:paraId="45AEFC32">
                  <w:pPr>
                    <w:pStyle w:val="30"/>
                    <w:widowControl/>
                    <w:spacing w:line="240" w:lineRule="auto"/>
                    <w:ind w:firstLine="0" w:firstLineChars="0"/>
                    <w:jc w:val="center"/>
                    <w:rPr>
                      <w:rFonts w:eastAsia="宋体"/>
                      <w:sz w:val="21"/>
                    </w:rPr>
                  </w:pPr>
                  <w:r>
                    <w:rPr>
                      <w:rFonts w:hint="eastAsia" w:eastAsia="宋体"/>
                      <w:sz w:val="21"/>
                    </w:rPr>
                    <w:t>资源开发利用效率要求</w:t>
                  </w:r>
                </w:p>
              </w:tc>
              <w:tc>
                <w:tcPr>
                  <w:tcW w:w="6633" w:type="dxa"/>
                  <w:vAlign w:val="center"/>
                </w:tcPr>
                <w:p w14:paraId="650DEDE4">
                  <w:pPr>
                    <w:pStyle w:val="30"/>
                    <w:widowControl/>
                    <w:spacing w:line="240" w:lineRule="auto"/>
                    <w:ind w:firstLine="0" w:firstLineChars="0"/>
                    <w:rPr>
                      <w:rFonts w:eastAsia="宋体"/>
                      <w:sz w:val="21"/>
                    </w:rPr>
                  </w:pPr>
                  <w:r>
                    <w:rPr>
                      <w:rFonts w:hint="eastAsia" w:eastAsia="宋体"/>
                      <w:sz w:val="21"/>
                    </w:rPr>
                    <w:t>其他资源利用效率要求】：</w:t>
                  </w:r>
                </w:p>
                <w:p w14:paraId="626C3AF6">
                  <w:pPr>
                    <w:pStyle w:val="30"/>
                    <w:widowControl/>
                    <w:spacing w:line="240" w:lineRule="auto"/>
                    <w:ind w:firstLine="0" w:firstLineChars="0"/>
                    <w:rPr>
                      <w:rFonts w:eastAsia="宋体"/>
                      <w:sz w:val="21"/>
                    </w:rPr>
                  </w:pPr>
                  <w:r>
                    <w:rPr>
                      <w:rFonts w:hint="eastAsia" w:eastAsia="宋体"/>
                      <w:sz w:val="21"/>
                    </w:rPr>
                    <w:t>持续推进畜禽粪污综合利用；加强城乡集中式饮用水水源保护，确保饮用水水源安全。</w:t>
                  </w:r>
                </w:p>
              </w:tc>
              <w:tc>
                <w:tcPr>
                  <w:tcW w:w="2384" w:type="dxa"/>
                  <w:vAlign w:val="center"/>
                </w:tcPr>
                <w:p w14:paraId="6D1EE839">
                  <w:pPr>
                    <w:pStyle w:val="30"/>
                    <w:widowControl/>
                    <w:spacing w:line="240" w:lineRule="auto"/>
                    <w:ind w:firstLine="0" w:firstLineChars="0"/>
                    <w:jc w:val="center"/>
                    <w:rPr>
                      <w:rFonts w:eastAsia="宋体"/>
                      <w:sz w:val="21"/>
                    </w:rPr>
                  </w:pPr>
                  <w:r>
                    <w:rPr>
                      <w:rFonts w:hint="eastAsia" w:eastAsia="宋体"/>
                      <w:sz w:val="21"/>
                    </w:rPr>
                    <w:t>项目不涉及</w:t>
                  </w:r>
                </w:p>
              </w:tc>
              <w:tc>
                <w:tcPr>
                  <w:tcW w:w="899" w:type="dxa"/>
                  <w:vAlign w:val="center"/>
                </w:tcPr>
                <w:p w14:paraId="55BFD262">
                  <w:pPr>
                    <w:pStyle w:val="30"/>
                    <w:widowControl/>
                    <w:spacing w:line="240" w:lineRule="auto"/>
                    <w:ind w:firstLine="0" w:firstLineChars="0"/>
                    <w:jc w:val="center"/>
                    <w:rPr>
                      <w:rFonts w:eastAsia="宋体"/>
                      <w:sz w:val="21"/>
                    </w:rPr>
                  </w:pPr>
                  <w:r>
                    <w:rPr>
                      <w:rFonts w:hint="eastAsia" w:eastAsia="宋体"/>
                      <w:sz w:val="21"/>
                    </w:rPr>
                    <w:t>符合</w:t>
                  </w:r>
                </w:p>
              </w:tc>
            </w:tr>
            <w:tr w14:paraId="2357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Merge w:val="continue"/>
                  <w:vAlign w:val="center"/>
                </w:tcPr>
                <w:p w14:paraId="2D114595">
                  <w:pPr>
                    <w:pStyle w:val="30"/>
                    <w:widowControl/>
                    <w:spacing w:line="240" w:lineRule="auto"/>
                    <w:ind w:firstLine="0" w:firstLineChars="0"/>
                    <w:jc w:val="center"/>
                    <w:rPr>
                      <w:rFonts w:eastAsia="宋体"/>
                      <w:sz w:val="21"/>
                    </w:rPr>
                  </w:pPr>
                </w:p>
              </w:tc>
              <w:tc>
                <w:tcPr>
                  <w:tcW w:w="1164" w:type="dxa"/>
                  <w:vMerge w:val="restart"/>
                  <w:vAlign w:val="center"/>
                </w:tcPr>
                <w:p w14:paraId="0AA730BC">
                  <w:pPr>
                    <w:pStyle w:val="30"/>
                    <w:widowControl/>
                    <w:spacing w:line="240" w:lineRule="auto"/>
                    <w:ind w:firstLine="0" w:firstLineChars="0"/>
                    <w:jc w:val="center"/>
                    <w:rPr>
                      <w:rFonts w:eastAsia="宋体"/>
                      <w:sz w:val="21"/>
                    </w:rPr>
                  </w:pPr>
                  <w:r>
                    <w:rPr>
                      <w:rFonts w:hint="eastAsia" w:eastAsia="宋体"/>
                      <w:sz w:val="21"/>
                    </w:rPr>
                    <w:t>城镇重点管控单元</w:t>
                  </w:r>
                </w:p>
              </w:tc>
              <w:tc>
                <w:tcPr>
                  <w:tcW w:w="976" w:type="dxa"/>
                  <w:shd w:val="clear" w:color="auto" w:fill="auto"/>
                  <w:vAlign w:val="center"/>
                </w:tcPr>
                <w:p w14:paraId="4B055A56">
                  <w:pPr>
                    <w:pStyle w:val="30"/>
                    <w:widowControl/>
                    <w:spacing w:line="240" w:lineRule="auto"/>
                    <w:ind w:firstLine="0" w:firstLineChars="0"/>
                    <w:jc w:val="center"/>
                    <w:rPr>
                      <w:rFonts w:eastAsia="宋体"/>
                      <w:sz w:val="21"/>
                    </w:rPr>
                  </w:pPr>
                  <w:r>
                    <w:rPr>
                      <w:rFonts w:hint="eastAsia" w:eastAsia="宋体"/>
                      <w:sz w:val="21"/>
                    </w:rPr>
                    <w:t>空间布局约束</w:t>
                  </w:r>
                </w:p>
              </w:tc>
              <w:tc>
                <w:tcPr>
                  <w:tcW w:w="6633" w:type="dxa"/>
                  <w:vAlign w:val="center"/>
                </w:tcPr>
                <w:p w14:paraId="27677E5E">
                  <w:pPr>
                    <w:pStyle w:val="30"/>
                    <w:widowControl/>
                    <w:spacing w:line="240" w:lineRule="auto"/>
                    <w:ind w:firstLine="0" w:firstLineChars="0"/>
                    <w:rPr>
                      <w:rFonts w:eastAsia="宋体"/>
                      <w:sz w:val="21"/>
                    </w:rPr>
                  </w:pPr>
                  <w:r>
                    <w:rPr>
                      <w:rFonts w:hint="eastAsia" w:eastAsia="宋体"/>
                      <w:sz w:val="21"/>
                    </w:rPr>
                    <w:t>【禁止开发建设活动的要求】：</w:t>
                  </w:r>
                </w:p>
                <w:p w14:paraId="4867AFEB">
                  <w:pPr>
                    <w:pStyle w:val="30"/>
                    <w:widowControl/>
                    <w:spacing w:line="240" w:lineRule="auto"/>
                    <w:ind w:firstLine="0" w:firstLineChars="0"/>
                    <w:rPr>
                      <w:rFonts w:eastAsia="宋体"/>
                      <w:sz w:val="21"/>
                    </w:rPr>
                  </w:pPr>
                  <w:r>
                    <w:rPr>
                      <w:rFonts w:hint="eastAsia" w:eastAsia="宋体"/>
                      <w:sz w:val="21"/>
                    </w:rPr>
                    <w:t>原则上禁止新建工业企业。</w:t>
                  </w:r>
                </w:p>
                <w:p w14:paraId="4CD4A70F">
                  <w:pPr>
                    <w:pStyle w:val="30"/>
                    <w:widowControl/>
                    <w:spacing w:line="240" w:lineRule="auto"/>
                    <w:ind w:firstLine="0" w:firstLineChars="0"/>
                    <w:rPr>
                      <w:rFonts w:eastAsia="宋体"/>
                      <w:sz w:val="21"/>
                    </w:rPr>
                  </w:pPr>
                  <w:r>
                    <w:rPr>
                      <w:rFonts w:hint="eastAsia" w:eastAsia="宋体"/>
                      <w:sz w:val="21"/>
                    </w:rPr>
                    <w:t>禁止在长江流域河湖管理范围内倾倒、填埋、堆放、弃置、处理固体废物。</w:t>
                  </w:r>
                </w:p>
                <w:p w14:paraId="1519B861">
                  <w:pPr>
                    <w:pStyle w:val="30"/>
                    <w:widowControl/>
                    <w:spacing w:line="240" w:lineRule="auto"/>
                    <w:ind w:firstLine="0" w:firstLineChars="0"/>
                    <w:rPr>
                      <w:rFonts w:eastAsia="宋体"/>
                      <w:sz w:val="21"/>
                    </w:rPr>
                  </w:pPr>
                  <w:r>
                    <w:rPr>
                      <w:rFonts w:hint="eastAsia" w:eastAsia="宋体"/>
                      <w:sz w:val="21"/>
                    </w:rPr>
                    <w:t>在禁燃区内禁止销售、燃用高污染燃料。禁燃区内禁止新建、扩建燃用高污染燃料的设施。</w:t>
                  </w:r>
                </w:p>
                <w:p w14:paraId="16C3111F">
                  <w:pPr>
                    <w:pStyle w:val="30"/>
                    <w:widowControl/>
                    <w:spacing w:line="240" w:lineRule="auto"/>
                    <w:ind w:firstLine="0" w:firstLineChars="0"/>
                    <w:rPr>
                      <w:rFonts w:eastAsia="宋体"/>
                      <w:sz w:val="21"/>
                    </w:rPr>
                  </w:pPr>
                  <w:r>
                    <w:rPr>
                      <w:rFonts w:hint="eastAsia" w:eastAsia="宋体"/>
                      <w:sz w:val="21"/>
                    </w:rPr>
                    <w:t>【限制开发建设活动的要求】：</w:t>
                  </w:r>
                </w:p>
                <w:p w14:paraId="5474885C">
                  <w:pPr>
                    <w:pStyle w:val="30"/>
                    <w:widowControl/>
                    <w:spacing w:line="240" w:lineRule="auto"/>
                    <w:ind w:firstLine="0" w:firstLineChars="0"/>
                    <w:rPr>
                      <w:rFonts w:eastAsia="宋体"/>
                      <w:sz w:val="21"/>
                    </w:rPr>
                  </w:pPr>
                  <w:r>
                    <w:rPr>
                      <w:rFonts w:hint="eastAsia" w:eastAsia="宋体"/>
                      <w:sz w:val="21"/>
                    </w:rPr>
                    <w:t>对不符合国土空间规划的现有工业企业，污染物排放总量及环境风险水平只降不增，引导企业适时搬迁进入对口园区。</w:t>
                  </w:r>
                </w:p>
                <w:p w14:paraId="15A010CF">
                  <w:pPr>
                    <w:pStyle w:val="30"/>
                    <w:widowControl/>
                    <w:spacing w:line="240" w:lineRule="auto"/>
                    <w:ind w:firstLine="0" w:firstLineChars="0"/>
                    <w:rPr>
                      <w:rFonts w:eastAsia="宋体"/>
                      <w:sz w:val="21"/>
                    </w:rPr>
                  </w:pPr>
                  <w:r>
                    <w:rPr>
                      <w:rFonts w:hint="eastAsia" w:eastAsia="宋体"/>
                      <w:sz w:val="21"/>
                    </w:rPr>
                    <w:t>严格控制在城镇空间范围内新布设工业园区。若新布局工业园区，应符合巴中市最新的国土空间规划，并结合区域环境特点、三线成果、园区产业类别，充分论证选址的环境合理性。</w:t>
                  </w:r>
                </w:p>
                <w:p w14:paraId="38B19171">
                  <w:pPr>
                    <w:pStyle w:val="30"/>
                    <w:widowControl/>
                    <w:spacing w:line="240" w:lineRule="auto"/>
                    <w:ind w:firstLine="0" w:firstLineChars="0"/>
                    <w:rPr>
                      <w:rFonts w:eastAsia="宋体"/>
                      <w:sz w:val="21"/>
                    </w:rPr>
                  </w:pPr>
                  <w:r>
                    <w:rPr>
                      <w:rFonts w:hint="eastAsia" w:eastAsia="宋体"/>
                      <w:sz w:val="21"/>
                    </w:rPr>
                    <w:t>长江流域河道采砂应当依法取得国务院水行政主管部门有关流域管理机构或者县级以上地方人民政府水行政主管部门的许可。严格控制采砂区域、采砂总量和采砂区域内的采砂船舶数量。</w:t>
                  </w:r>
                </w:p>
                <w:p w14:paraId="0F257764">
                  <w:pPr>
                    <w:pStyle w:val="30"/>
                    <w:widowControl/>
                    <w:spacing w:line="240" w:lineRule="auto"/>
                    <w:ind w:firstLine="0" w:firstLineChars="0"/>
                    <w:rPr>
                      <w:rFonts w:eastAsia="宋体"/>
                      <w:sz w:val="21"/>
                    </w:rPr>
                  </w:pPr>
                  <w:r>
                    <w:rPr>
                      <w:rFonts w:hint="eastAsia" w:eastAsia="宋体"/>
                      <w:sz w:val="21"/>
                    </w:rPr>
                    <w:t>【不符合空间布局要求活动的退出要求】：</w:t>
                  </w:r>
                </w:p>
                <w:p w14:paraId="2B61FAEA">
                  <w:pPr>
                    <w:pStyle w:val="30"/>
                    <w:widowControl/>
                    <w:spacing w:line="240" w:lineRule="auto"/>
                    <w:ind w:firstLine="0" w:firstLineChars="0"/>
                    <w:rPr>
                      <w:rFonts w:eastAsia="宋体"/>
                      <w:sz w:val="21"/>
                    </w:rPr>
                  </w:pPr>
                  <w:r>
                    <w:rPr>
                      <w:rFonts w:hint="eastAsia" w:eastAsia="宋体"/>
                      <w:sz w:val="21"/>
                    </w:rPr>
                    <w:t>按照相关规划和要求，清理整顿非法采砂、非法码头，全面清除不合规码头。加快现有高污染或高风险产品生产企业“退城入园”进度，逐步退出环境敏感区。</w:t>
                  </w:r>
                </w:p>
                <w:p w14:paraId="68E3B6B3">
                  <w:pPr>
                    <w:pStyle w:val="30"/>
                    <w:widowControl/>
                    <w:spacing w:line="240" w:lineRule="auto"/>
                    <w:ind w:firstLine="0" w:firstLineChars="0"/>
                    <w:rPr>
                      <w:rFonts w:eastAsia="宋体"/>
                      <w:sz w:val="21"/>
                    </w:rPr>
                  </w:pPr>
                  <w:r>
                    <w:rPr>
                      <w:rFonts w:hint="eastAsia" w:eastAsia="宋体"/>
                      <w:sz w:val="21"/>
                    </w:rPr>
                    <w:t>【其他空间布局约束要求】：</w:t>
                  </w:r>
                </w:p>
                <w:p w14:paraId="02E4ED1D">
                  <w:pPr>
                    <w:pStyle w:val="30"/>
                    <w:widowControl/>
                    <w:spacing w:line="240" w:lineRule="auto"/>
                    <w:ind w:firstLine="0" w:firstLineChars="0"/>
                    <w:rPr>
                      <w:rFonts w:eastAsia="宋体"/>
                      <w:sz w:val="21"/>
                    </w:rPr>
                  </w:pPr>
                  <w:r>
                    <w:rPr>
                      <w:rFonts w:hint="eastAsia" w:eastAsia="宋体"/>
                      <w:sz w:val="21"/>
                    </w:rPr>
                    <w:t>/</w:t>
                  </w:r>
                </w:p>
              </w:tc>
              <w:tc>
                <w:tcPr>
                  <w:tcW w:w="2384" w:type="dxa"/>
                  <w:vAlign w:val="center"/>
                </w:tcPr>
                <w:p w14:paraId="23691D38">
                  <w:pPr>
                    <w:pStyle w:val="30"/>
                    <w:widowControl/>
                    <w:spacing w:line="240" w:lineRule="auto"/>
                    <w:ind w:firstLine="0" w:firstLineChars="0"/>
                    <w:jc w:val="center"/>
                    <w:rPr>
                      <w:rFonts w:eastAsia="宋体"/>
                      <w:sz w:val="21"/>
                    </w:rPr>
                  </w:pPr>
                  <w:r>
                    <w:rPr>
                      <w:rFonts w:hint="eastAsia" w:eastAsia="宋体"/>
                      <w:sz w:val="21"/>
                    </w:rPr>
                    <w:t>本项目属于</w:t>
                  </w:r>
                  <w:r>
                    <w:rPr>
                      <w:rFonts w:hint="eastAsia" w:eastAsia="宋体"/>
                      <w:sz w:val="21"/>
                      <w:lang w:eastAsia="zh-CN"/>
                    </w:rPr>
                    <w:t>防洪除涝</w:t>
                  </w:r>
                  <w:r>
                    <w:rPr>
                      <w:rFonts w:hint="eastAsia" w:eastAsia="宋体"/>
                      <w:sz w:val="21"/>
                    </w:rPr>
                    <w:t>工程，不属于新建工业企业，项目施工期严格落实污染防治措施，固体废物按要求收集处理。项目不属于禁止类、限制类建设项目。</w:t>
                  </w:r>
                </w:p>
              </w:tc>
              <w:tc>
                <w:tcPr>
                  <w:tcW w:w="899" w:type="dxa"/>
                  <w:vAlign w:val="center"/>
                </w:tcPr>
                <w:p w14:paraId="1292C338">
                  <w:pPr>
                    <w:pStyle w:val="30"/>
                    <w:widowControl/>
                    <w:spacing w:line="240" w:lineRule="auto"/>
                    <w:ind w:firstLine="0" w:firstLineChars="0"/>
                    <w:jc w:val="center"/>
                    <w:rPr>
                      <w:rFonts w:eastAsia="宋体"/>
                      <w:sz w:val="21"/>
                    </w:rPr>
                  </w:pPr>
                  <w:r>
                    <w:rPr>
                      <w:rFonts w:hint="eastAsia" w:eastAsia="宋体"/>
                      <w:sz w:val="21"/>
                    </w:rPr>
                    <w:t>符合</w:t>
                  </w:r>
                </w:p>
              </w:tc>
            </w:tr>
            <w:tr w14:paraId="0AB2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Merge w:val="continue"/>
                  <w:vAlign w:val="center"/>
                </w:tcPr>
                <w:p w14:paraId="7E102FDD">
                  <w:pPr>
                    <w:pStyle w:val="30"/>
                    <w:widowControl/>
                    <w:spacing w:line="240" w:lineRule="auto"/>
                    <w:ind w:firstLine="0" w:firstLineChars="0"/>
                    <w:jc w:val="center"/>
                    <w:rPr>
                      <w:rFonts w:eastAsia="宋体"/>
                      <w:sz w:val="21"/>
                    </w:rPr>
                  </w:pPr>
                </w:p>
              </w:tc>
              <w:tc>
                <w:tcPr>
                  <w:tcW w:w="1164" w:type="dxa"/>
                  <w:vMerge w:val="continue"/>
                  <w:vAlign w:val="center"/>
                </w:tcPr>
                <w:p w14:paraId="4E093934">
                  <w:pPr>
                    <w:pStyle w:val="30"/>
                    <w:widowControl/>
                    <w:spacing w:line="240" w:lineRule="auto"/>
                    <w:ind w:firstLine="0" w:firstLineChars="0"/>
                    <w:jc w:val="center"/>
                    <w:rPr>
                      <w:rFonts w:eastAsia="宋体"/>
                      <w:sz w:val="21"/>
                    </w:rPr>
                  </w:pPr>
                </w:p>
              </w:tc>
              <w:tc>
                <w:tcPr>
                  <w:tcW w:w="976" w:type="dxa"/>
                  <w:shd w:val="clear" w:color="auto" w:fill="auto"/>
                  <w:vAlign w:val="center"/>
                </w:tcPr>
                <w:p w14:paraId="52E46CE9">
                  <w:pPr>
                    <w:pStyle w:val="30"/>
                    <w:widowControl/>
                    <w:spacing w:line="240" w:lineRule="auto"/>
                    <w:ind w:firstLine="0" w:firstLineChars="0"/>
                    <w:jc w:val="center"/>
                    <w:rPr>
                      <w:rFonts w:eastAsia="宋体"/>
                      <w:sz w:val="21"/>
                    </w:rPr>
                  </w:pPr>
                  <w:r>
                    <w:rPr>
                      <w:rFonts w:hint="eastAsia" w:eastAsia="宋体"/>
                      <w:sz w:val="21"/>
                    </w:rPr>
                    <w:t>污染物排放管控</w:t>
                  </w:r>
                </w:p>
              </w:tc>
              <w:tc>
                <w:tcPr>
                  <w:tcW w:w="6633" w:type="dxa"/>
                  <w:vAlign w:val="center"/>
                </w:tcPr>
                <w:p w14:paraId="20330B80">
                  <w:pPr>
                    <w:pStyle w:val="30"/>
                    <w:widowControl/>
                    <w:spacing w:line="240" w:lineRule="auto"/>
                    <w:ind w:firstLine="0" w:firstLineChars="0"/>
                    <w:rPr>
                      <w:rFonts w:eastAsia="宋体"/>
                      <w:sz w:val="21"/>
                    </w:rPr>
                  </w:pPr>
                  <w:r>
                    <w:rPr>
                      <w:rFonts w:hint="eastAsia" w:eastAsia="宋体"/>
                      <w:sz w:val="21"/>
                    </w:rPr>
                    <w:t>【允许排放量要求】：</w:t>
                  </w:r>
                </w:p>
                <w:p w14:paraId="614CF3B5">
                  <w:pPr>
                    <w:pStyle w:val="30"/>
                    <w:widowControl/>
                    <w:spacing w:line="240" w:lineRule="auto"/>
                    <w:ind w:firstLine="0" w:firstLineChars="0"/>
                    <w:rPr>
                      <w:rFonts w:eastAsia="宋体"/>
                      <w:sz w:val="21"/>
                    </w:rPr>
                  </w:pPr>
                  <w:r>
                    <w:rPr>
                      <w:rFonts w:hint="eastAsia" w:eastAsia="宋体"/>
                      <w:sz w:val="21"/>
                    </w:rPr>
                    <w:t>为保证2025、2035年区域地表水控制断面水质不下降，5个城镇重点管控单元COD、氨氮、总磷允许排放量2025年建议控制在34823.36吨、3944.61吨、752.25吨以下，2035年建议控制在35519.83吨、4023.51吨、767.31吨以下。</w:t>
                  </w:r>
                </w:p>
                <w:p w14:paraId="602E4829">
                  <w:pPr>
                    <w:pStyle w:val="30"/>
                    <w:widowControl/>
                    <w:spacing w:line="240" w:lineRule="auto"/>
                    <w:ind w:firstLine="0" w:firstLineChars="0"/>
                    <w:rPr>
                      <w:rFonts w:eastAsia="宋体"/>
                      <w:sz w:val="21"/>
                    </w:rPr>
                  </w:pPr>
                  <w:r>
                    <w:rPr>
                      <w:rFonts w:hint="eastAsia" w:eastAsia="宋体"/>
                      <w:sz w:val="21"/>
                    </w:rPr>
                    <w:t>【现有源提标升级改造】：</w:t>
                  </w:r>
                </w:p>
                <w:p w14:paraId="6A932BD4">
                  <w:pPr>
                    <w:pStyle w:val="30"/>
                    <w:widowControl/>
                    <w:spacing w:line="240" w:lineRule="auto"/>
                    <w:ind w:firstLine="0" w:firstLineChars="0"/>
                    <w:rPr>
                      <w:rFonts w:eastAsia="宋体"/>
                      <w:sz w:val="21"/>
                    </w:rPr>
                  </w:pPr>
                  <w:r>
                    <w:rPr>
                      <w:rFonts w:hint="eastAsia" w:eastAsia="宋体"/>
                      <w:sz w:val="21"/>
                    </w:rPr>
                    <w:t>到2025年，基本消除城市建成区生活污水直排口和收集处理设施空白区，县城污水处理率达到95%以上；水环境敏感地区污水处理基本达到一级A标排放标准。</w:t>
                  </w:r>
                </w:p>
                <w:p w14:paraId="2B05432D">
                  <w:pPr>
                    <w:pStyle w:val="30"/>
                    <w:widowControl/>
                    <w:spacing w:line="240" w:lineRule="auto"/>
                    <w:ind w:firstLine="0" w:firstLineChars="0"/>
                    <w:rPr>
                      <w:rFonts w:eastAsia="宋体"/>
                      <w:sz w:val="21"/>
                    </w:rPr>
                  </w:pPr>
                  <w:r>
                    <w:rPr>
                      <w:rFonts w:hint="eastAsia" w:eastAsia="宋体"/>
                      <w:sz w:val="21"/>
                    </w:rPr>
                    <w:t>到2035年，城市生活污水收集管网基本全覆盖，城镇污水处理能力全覆盖，全面实现污泥无害化处理。</w:t>
                  </w:r>
                </w:p>
                <w:p w14:paraId="03EEE30D">
                  <w:pPr>
                    <w:pStyle w:val="30"/>
                    <w:widowControl/>
                    <w:spacing w:line="240" w:lineRule="auto"/>
                    <w:ind w:firstLine="0" w:firstLineChars="0"/>
                    <w:rPr>
                      <w:rFonts w:eastAsia="宋体"/>
                      <w:sz w:val="21"/>
                    </w:rPr>
                  </w:pPr>
                  <w:r>
                    <w:rPr>
                      <w:rFonts w:hint="eastAsia" w:eastAsia="宋体"/>
                      <w:sz w:val="21"/>
                    </w:rPr>
                    <w:t>-加快城镇生活污水处理设施建设。推动县级及以上污水处理设施提标改造，坚持新建污水处理设施与配套管网同步涉及、同步建设、同步投运。</w:t>
                  </w:r>
                </w:p>
                <w:p w14:paraId="7E892B0E">
                  <w:pPr>
                    <w:pStyle w:val="30"/>
                    <w:widowControl/>
                    <w:spacing w:line="240" w:lineRule="auto"/>
                    <w:ind w:firstLine="0" w:firstLineChars="0"/>
                    <w:rPr>
                      <w:rFonts w:eastAsia="宋体"/>
                      <w:sz w:val="21"/>
                    </w:rPr>
                  </w:pPr>
                  <w:r>
                    <w:rPr>
                      <w:rFonts w:hint="eastAsia" w:eastAsia="宋体"/>
                      <w:sz w:val="21"/>
                    </w:rPr>
                    <w:t>推进车船结构升级，城区环卫、邮政、通勤、轻型物流配送等车辆使用新能源或清洁能源汽车比达到80%以上。</w:t>
                  </w:r>
                </w:p>
                <w:p w14:paraId="6F45C745">
                  <w:pPr>
                    <w:pStyle w:val="30"/>
                    <w:widowControl/>
                    <w:spacing w:line="240" w:lineRule="auto"/>
                    <w:ind w:firstLine="0" w:firstLineChars="0"/>
                    <w:rPr>
                      <w:rFonts w:eastAsia="宋体"/>
                      <w:sz w:val="21"/>
                    </w:rPr>
                  </w:pPr>
                  <w:r>
                    <w:rPr>
                      <w:rFonts w:hint="eastAsia" w:eastAsia="宋体"/>
                      <w:sz w:val="21"/>
                    </w:rPr>
                    <w:t>全面落实各类施工工地扬尘防控措施，重点、重大项目工地实现视频监控、可吸入颗粒物（PM10）在线监测全覆盖。</w:t>
                  </w:r>
                </w:p>
                <w:p w14:paraId="62FAA6C3">
                  <w:pPr>
                    <w:pStyle w:val="30"/>
                    <w:widowControl/>
                    <w:spacing w:line="240" w:lineRule="auto"/>
                    <w:ind w:firstLine="0" w:firstLineChars="0"/>
                    <w:rPr>
                      <w:rFonts w:eastAsia="宋体"/>
                      <w:sz w:val="21"/>
                    </w:rPr>
                  </w:pPr>
                  <w:r>
                    <w:rPr>
                      <w:rFonts w:hint="eastAsia" w:eastAsia="宋体"/>
                      <w:sz w:val="21"/>
                    </w:rPr>
                    <w:t>有序开展城市生活源VOCs污染防治；全面推广房屋建筑和市政工程涉VOCs工序环节使用低VOCs含量涂料和胶粘剂；推进加油站按照《四川省加油站大气污染排放标准》要求安装油气处理装置。</w:t>
                  </w:r>
                </w:p>
                <w:p w14:paraId="44DC7B0E">
                  <w:pPr>
                    <w:pStyle w:val="30"/>
                    <w:widowControl/>
                    <w:spacing w:line="240" w:lineRule="auto"/>
                    <w:ind w:firstLine="0" w:firstLineChars="0"/>
                    <w:rPr>
                      <w:rFonts w:eastAsia="宋体"/>
                      <w:sz w:val="21"/>
                    </w:rPr>
                  </w:pPr>
                  <w:r>
                    <w:rPr>
                      <w:rFonts w:hint="eastAsia" w:eastAsia="宋体"/>
                      <w:sz w:val="21"/>
                    </w:rPr>
                    <w:t>加大新能源汽车在城市公交、出租汽车、城市配送、邮政快递、机场、铁路货场、重点地区港口等领域应用，地级以上城市清洁能源汽车在公共领域使用率显著提升，设区的市城市公交车基本实现新能源化。</w:t>
                  </w:r>
                </w:p>
                <w:p w14:paraId="5969975C">
                  <w:pPr>
                    <w:pStyle w:val="30"/>
                    <w:widowControl/>
                    <w:spacing w:line="240" w:lineRule="auto"/>
                    <w:ind w:firstLine="0" w:firstLineChars="0"/>
                    <w:rPr>
                      <w:rFonts w:eastAsia="宋体"/>
                      <w:sz w:val="21"/>
                    </w:rPr>
                  </w:pPr>
                  <w:r>
                    <w:rPr>
                      <w:rFonts w:hint="eastAsia" w:eastAsia="宋体"/>
                      <w:sz w:val="21"/>
                    </w:rPr>
                    <w:t>【其他污染物排放管控要求】：</w:t>
                  </w:r>
                </w:p>
                <w:p w14:paraId="42E08501">
                  <w:pPr>
                    <w:pStyle w:val="30"/>
                    <w:widowControl/>
                    <w:spacing w:line="240" w:lineRule="auto"/>
                    <w:ind w:firstLine="0" w:firstLineChars="0"/>
                    <w:rPr>
                      <w:rFonts w:eastAsia="宋体"/>
                      <w:sz w:val="21"/>
                    </w:rPr>
                  </w:pPr>
                  <w:r>
                    <w:rPr>
                      <w:rFonts w:hint="eastAsia" w:eastAsia="宋体"/>
                      <w:sz w:val="21"/>
                    </w:rPr>
                    <w:t>1.污染物排放绩效水平准入要求：</w:t>
                  </w:r>
                </w:p>
                <w:p w14:paraId="3A5B565F">
                  <w:pPr>
                    <w:pStyle w:val="30"/>
                    <w:widowControl/>
                    <w:spacing w:line="240" w:lineRule="auto"/>
                    <w:ind w:firstLine="0" w:firstLineChars="0"/>
                    <w:rPr>
                      <w:rFonts w:eastAsia="宋体"/>
                      <w:sz w:val="21"/>
                    </w:rPr>
                  </w:pPr>
                  <w:r>
                    <w:rPr>
                      <w:rFonts w:hint="eastAsia" w:eastAsia="宋体"/>
                      <w:sz w:val="21"/>
                    </w:rPr>
                    <w:t>从事机动车修理、印刷、服装干洗、研发等排放挥发性有机污染物的生产作业，应当按照有关技术规范进行综合治理。禁止露天和敞开式喷漆作业；包装印刷业必须使用符合环保要求的油墨；餐饮服务业油烟必须经处理达到相应排放标准要求。</w:t>
                  </w:r>
                </w:p>
                <w:p w14:paraId="5D0D60A3">
                  <w:pPr>
                    <w:pStyle w:val="30"/>
                    <w:widowControl/>
                    <w:spacing w:line="240" w:lineRule="auto"/>
                    <w:ind w:firstLine="0" w:firstLineChars="0"/>
                    <w:rPr>
                      <w:rFonts w:eastAsia="宋体"/>
                      <w:sz w:val="21"/>
                    </w:rPr>
                  </w:pPr>
                  <w:r>
                    <w:rPr>
                      <w:rFonts w:hint="eastAsia" w:eastAsia="宋体"/>
                      <w:sz w:val="21"/>
                    </w:rPr>
                    <w:t>建材行业原料破碎、生产、运输、装卸等各环节严格落实抑尘措施，有效控制粉尘无组织排放。</w:t>
                  </w:r>
                </w:p>
                <w:p w14:paraId="65413D28">
                  <w:pPr>
                    <w:pStyle w:val="30"/>
                    <w:widowControl/>
                    <w:spacing w:line="240" w:lineRule="auto"/>
                    <w:ind w:firstLine="0" w:firstLineChars="0"/>
                    <w:rPr>
                      <w:rFonts w:eastAsia="宋体"/>
                      <w:sz w:val="21"/>
                    </w:rPr>
                  </w:pPr>
                  <w:r>
                    <w:rPr>
                      <w:rFonts w:hint="eastAsia" w:eastAsia="宋体"/>
                      <w:sz w:val="21"/>
                    </w:rPr>
                    <w:t>推进建筑装饰行业VOCs综合治理，倡导绿色装修，推广使用符合环保要求的建筑涂料、木器涂料、胶黏剂等产品。</w:t>
                  </w:r>
                </w:p>
                <w:p w14:paraId="12D40F9C">
                  <w:pPr>
                    <w:pStyle w:val="30"/>
                    <w:widowControl/>
                    <w:spacing w:line="240" w:lineRule="auto"/>
                    <w:ind w:firstLine="0" w:firstLineChars="0"/>
                    <w:rPr>
                      <w:rFonts w:eastAsia="宋体"/>
                      <w:sz w:val="21"/>
                    </w:rPr>
                  </w:pPr>
                  <w:r>
                    <w:rPr>
                      <w:rFonts w:hint="eastAsia" w:eastAsia="宋体"/>
                      <w:sz w:val="21"/>
                    </w:rPr>
                    <w:t>全面推广汽修行业使用低挥发性涂料，采用高效涂装工艺，完善有机废气收集和处理系统，取缔露天和敞开是汽修喷涂作业。</w:t>
                  </w:r>
                </w:p>
                <w:p w14:paraId="6C67929C">
                  <w:pPr>
                    <w:pStyle w:val="30"/>
                    <w:widowControl/>
                    <w:spacing w:line="240" w:lineRule="auto"/>
                    <w:ind w:firstLine="0" w:firstLineChars="0"/>
                    <w:rPr>
                      <w:rFonts w:eastAsia="宋体"/>
                      <w:sz w:val="21"/>
                    </w:rPr>
                  </w:pPr>
                  <w:r>
                    <w:rPr>
                      <w:rFonts w:hint="eastAsia" w:eastAsia="宋体"/>
                      <w:sz w:val="21"/>
                    </w:rPr>
                    <w:t>到2025年，中心城区污水处理率达到100%；到2030年，中心城区污水处理率达到100%，县城污水处理率达100%；到2023年底，力争全市生活垃圾焚烧处理能力占比达到60%以上，具备厨余垃圾集中处理能力；县城生活垃圾无害化处理率保持95%以上，乡镇及行政村生活垃圾收转运处置体系基本实现全覆盖。</w:t>
                  </w:r>
                </w:p>
                <w:p w14:paraId="5C705AB0">
                  <w:pPr>
                    <w:pStyle w:val="30"/>
                    <w:widowControl/>
                    <w:spacing w:line="240" w:lineRule="auto"/>
                    <w:ind w:firstLine="0" w:firstLineChars="0"/>
                    <w:rPr>
                      <w:rFonts w:eastAsia="宋体"/>
                      <w:sz w:val="21"/>
                    </w:rPr>
                  </w:pPr>
                  <w:r>
                    <w:rPr>
                      <w:rFonts w:hint="eastAsia" w:eastAsia="宋体"/>
                      <w:sz w:val="21"/>
                    </w:rPr>
                    <w:t>2.新建噪声敏感建筑物时，建设单位应全面执行绿色建筑标准，合理确定建筑物与交通干线等的防噪声距离，落实隔声减噪措施。</w:t>
                  </w:r>
                </w:p>
                <w:p w14:paraId="5D54010E">
                  <w:pPr>
                    <w:pStyle w:val="30"/>
                    <w:widowControl/>
                    <w:spacing w:line="240" w:lineRule="auto"/>
                    <w:ind w:firstLine="0" w:firstLineChars="0"/>
                    <w:rPr>
                      <w:rFonts w:eastAsia="宋体"/>
                      <w:sz w:val="21"/>
                    </w:rPr>
                  </w:pPr>
                  <w:r>
                    <w:rPr>
                      <w:rFonts w:hint="eastAsia" w:eastAsia="宋体"/>
                      <w:sz w:val="21"/>
                    </w:rPr>
                    <w:t>3.已竣工交付使用的住宅楼、商铺、办公楼等建筑物不得在午、夜间进行产噪装修作业，在其他时间进行装修作业的，应当采取噪声防治措施。</w:t>
                  </w:r>
                </w:p>
              </w:tc>
              <w:tc>
                <w:tcPr>
                  <w:tcW w:w="2384" w:type="dxa"/>
                  <w:vAlign w:val="center"/>
                </w:tcPr>
                <w:p w14:paraId="7AB95E3C">
                  <w:pPr>
                    <w:pStyle w:val="30"/>
                    <w:widowControl/>
                    <w:spacing w:line="240" w:lineRule="auto"/>
                    <w:ind w:firstLine="0" w:firstLineChars="0"/>
                    <w:jc w:val="center"/>
                    <w:rPr>
                      <w:rFonts w:eastAsia="宋体"/>
                      <w:sz w:val="21"/>
                    </w:rPr>
                  </w:pPr>
                  <w:r>
                    <w:rPr>
                      <w:rFonts w:hint="eastAsia" w:eastAsia="宋体"/>
                      <w:sz w:val="21"/>
                    </w:rPr>
                    <w:t>项目</w:t>
                  </w:r>
                  <w:r>
                    <w:rPr>
                      <w:rFonts w:hint="eastAsia" w:eastAsia="宋体"/>
                      <w:sz w:val="21"/>
                      <w:lang w:val="en-US" w:eastAsia="zh-CN"/>
                    </w:rPr>
                    <w:t>为防洪除涝工程，新建生态护岸、生态隔离带等可</w:t>
                  </w:r>
                  <w:r>
                    <w:rPr>
                      <w:rFonts w:hint="eastAsia" w:eastAsia="宋体"/>
                      <w:sz w:val="21"/>
                    </w:rPr>
                    <w:t>提高流域水环境流域现状。</w:t>
                  </w:r>
                </w:p>
              </w:tc>
              <w:tc>
                <w:tcPr>
                  <w:tcW w:w="899" w:type="dxa"/>
                  <w:vAlign w:val="center"/>
                </w:tcPr>
                <w:p w14:paraId="34611012">
                  <w:pPr>
                    <w:pStyle w:val="30"/>
                    <w:widowControl/>
                    <w:spacing w:line="240" w:lineRule="auto"/>
                    <w:ind w:firstLine="0" w:firstLineChars="0"/>
                    <w:jc w:val="center"/>
                    <w:rPr>
                      <w:rFonts w:eastAsia="宋体"/>
                      <w:sz w:val="21"/>
                    </w:rPr>
                  </w:pPr>
                  <w:r>
                    <w:rPr>
                      <w:rFonts w:hint="eastAsia" w:eastAsia="宋体"/>
                      <w:sz w:val="21"/>
                    </w:rPr>
                    <w:t>符合</w:t>
                  </w:r>
                </w:p>
              </w:tc>
            </w:tr>
            <w:tr w14:paraId="39517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Merge w:val="continue"/>
                  <w:vAlign w:val="center"/>
                </w:tcPr>
                <w:p w14:paraId="7486A9D3">
                  <w:pPr>
                    <w:pStyle w:val="30"/>
                    <w:widowControl/>
                    <w:spacing w:line="240" w:lineRule="auto"/>
                    <w:ind w:firstLine="0" w:firstLineChars="0"/>
                    <w:jc w:val="center"/>
                    <w:rPr>
                      <w:rFonts w:eastAsia="宋体"/>
                      <w:sz w:val="21"/>
                    </w:rPr>
                  </w:pPr>
                </w:p>
              </w:tc>
              <w:tc>
                <w:tcPr>
                  <w:tcW w:w="1164" w:type="dxa"/>
                  <w:vMerge w:val="continue"/>
                  <w:vAlign w:val="center"/>
                </w:tcPr>
                <w:p w14:paraId="6D2E038D">
                  <w:pPr>
                    <w:pStyle w:val="30"/>
                    <w:widowControl/>
                    <w:spacing w:line="240" w:lineRule="auto"/>
                    <w:ind w:firstLine="0" w:firstLineChars="0"/>
                    <w:jc w:val="center"/>
                    <w:rPr>
                      <w:rFonts w:eastAsia="宋体"/>
                      <w:sz w:val="21"/>
                    </w:rPr>
                  </w:pPr>
                </w:p>
              </w:tc>
              <w:tc>
                <w:tcPr>
                  <w:tcW w:w="976" w:type="dxa"/>
                  <w:shd w:val="clear" w:color="auto" w:fill="auto"/>
                  <w:vAlign w:val="center"/>
                </w:tcPr>
                <w:p w14:paraId="194B3AD3">
                  <w:pPr>
                    <w:pStyle w:val="30"/>
                    <w:widowControl/>
                    <w:spacing w:line="240" w:lineRule="auto"/>
                    <w:ind w:firstLine="0" w:firstLineChars="0"/>
                    <w:jc w:val="center"/>
                    <w:rPr>
                      <w:rFonts w:eastAsia="宋体"/>
                      <w:sz w:val="21"/>
                    </w:rPr>
                  </w:pPr>
                  <w:r>
                    <w:rPr>
                      <w:rFonts w:hint="eastAsia" w:eastAsia="宋体"/>
                      <w:sz w:val="21"/>
                    </w:rPr>
                    <w:t>环境风险防控</w:t>
                  </w:r>
                </w:p>
              </w:tc>
              <w:tc>
                <w:tcPr>
                  <w:tcW w:w="6633" w:type="dxa"/>
                  <w:vAlign w:val="center"/>
                </w:tcPr>
                <w:p w14:paraId="761C7B34">
                  <w:pPr>
                    <w:pStyle w:val="30"/>
                    <w:widowControl/>
                    <w:spacing w:line="240" w:lineRule="auto"/>
                    <w:ind w:firstLine="0" w:firstLineChars="0"/>
                    <w:rPr>
                      <w:rFonts w:eastAsia="宋体"/>
                      <w:sz w:val="21"/>
                    </w:rPr>
                  </w:pPr>
                  <w:r>
                    <w:rPr>
                      <w:rFonts w:hint="eastAsia" w:eastAsia="宋体"/>
                      <w:sz w:val="21"/>
                    </w:rPr>
                    <w:t>【联防联控要求】：</w:t>
                  </w:r>
                </w:p>
                <w:p w14:paraId="3DAF6FD4">
                  <w:pPr>
                    <w:pStyle w:val="30"/>
                    <w:widowControl/>
                    <w:spacing w:line="240" w:lineRule="auto"/>
                    <w:ind w:firstLine="0" w:firstLineChars="0"/>
                    <w:rPr>
                      <w:rFonts w:eastAsia="宋体"/>
                      <w:sz w:val="21"/>
                    </w:rPr>
                  </w:pPr>
                  <w:r>
                    <w:rPr>
                      <w:rFonts w:hint="eastAsia" w:eastAsia="宋体"/>
                      <w:sz w:val="21"/>
                    </w:rPr>
                    <w:t>强化大气污染区域联防联控措施，实施重污染天气应急管控。修订重污染天气应急预案，动态更新污染源排放清单，落实重点企业错峰生产、压产限产、工地停工等强制性措施，有效减缓重污染天气影响。</w:t>
                  </w:r>
                </w:p>
                <w:p w14:paraId="0E61EE43">
                  <w:pPr>
                    <w:pStyle w:val="30"/>
                    <w:widowControl/>
                    <w:spacing w:line="240" w:lineRule="auto"/>
                    <w:ind w:firstLine="0" w:firstLineChars="0"/>
                    <w:rPr>
                      <w:rFonts w:eastAsia="宋体"/>
                      <w:sz w:val="21"/>
                    </w:rPr>
                  </w:pPr>
                  <w:r>
                    <w:rPr>
                      <w:rFonts w:hint="eastAsia" w:eastAsia="宋体"/>
                      <w:sz w:val="21"/>
                    </w:rPr>
                    <w:t>【其他环境风险防控要求】</w:t>
                  </w:r>
                </w:p>
                <w:p w14:paraId="5DFE3670">
                  <w:pPr>
                    <w:pStyle w:val="30"/>
                    <w:widowControl/>
                    <w:spacing w:line="240" w:lineRule="auto"/>
                    <w:ind w:firstLine="0" w:firstLineChars="0"/>
                    <w:rPr>
                      <w:rFonts w:eastAsia="宋体"/>
                      <w:sz w:val="21"/>
                    </w:rPr>
                  </w:pPr>
                  <w:r>
                    <w:rPr>
                      <w:rFonts w:hint="eastAsia" w:eastAsia="宋体"/>
                      <w:sz w:val="21"/>
                    </w:rPr>
                    <w:t>企业环境风险防控要求：现有涉及五类重金属的企业，严控污染物排放，限时整治或搬迁。用地环境风险防控要求：工业企业退出用地，须经评估、修复满足相应用地功能后，方可改变用途。</w:t>
                  </w:r>
                </w:p>
              </w:tc>
              <w:tc>
                <w:tcPr>
                  <w:tcW w:w="2384" w:type="dxa"/>
                  <w:vAlign w:val="center"/>
                </w:tcPr>
                <w:p w14:paraId="7C7B4611">
                  <w:pPr>
                    <w:pStyle w:val="30"/>
                    <w:widowControl/>
                    <w:spacing w:line="240" w:lineRule="auto"/>
                    <w:ind w:firstLine="0" w:firstLineChars="0"/>
                    <w:jc w:val="center"/>
                    <w:rPr>
                      <w:rFonts w:eastAsia="宋体"/>
                      <w:sz w:val="21"/>
                    </w:rPr>
                  </w:pPr>
                  <w:r>
                    <w:rPr>
                      <w:rFonts w:hint="eastAsia" w:eastAsia="宋体"/>
                      <w:sz w:val="21"/>
                    </w:rPr>
                    <w:t>本项目大气污染主要以施工期为主，项目施工阶段严格落实裸土全覆盖、洒水、密闭运输、错峰施工等扬尘管控措施，减少扬尘对区域大气环境影响。项目为新建</w:t>
                  </w:r>
                  <w:r>
                    <w:rPr>
                      <w:rFonts w:hint="eastAsia" w:eastAsia="宋体"/>
                      <w:sz w:val="21"/>
                      <w:lang w:eastAsia="zh-CN"/>
                    </w:rPr>
                    <w:t>防洪除涝</w:t>
                  </w:r>
                  <w:r>
                    <w:rPr>
                      <w:rFonts w:hint="eastAsia" w:eastAsia="宋体"/>
                      <w:sz w:val="21"/>
                    </w:rPr>
                    <w:t>、城市（镇）管网及管廊建设工程，不属于工业企业。</w:t>
                  </w:r>
                </w:p>
              </w:tc>
              <w:tc>
                <w:tcPr>
                  <w:tcW w:w="899" w:type="dxa"/>
                  <w:vAlign w:val="center"/>
                </w:tcPr>
                <w:p w14:paraId="203C0326">
                  <w:pPr>
                    <w:pStyle w:val="30"/>
                    <w:widowControl/>
                    <w:spacing w:line="240" w:lineRule="auto"/>
                    <w:ind w:firstLine="0" w:firstLineChars="0"/>
                    <w:jc w:val="center"/>
                    <w:rPr>
                      <w:rFonts w:eastAsia="宋体"/>
                      <w:sz w:val="21"/>
                    </w:rPr>
                  </w:pPr>
                  <w:r>
                    <w:rPr>
                      <w:rFonts w:hint="eastAsia" w:eastAsia="宋体"/>
                      <w:sz w:val="21"/>
                    </w:rPr>
                    <w:t>符合</w:t>
                  </w:r>
                </w:p>
              </w:tc>
            </w:tr>
            <w:tr w14:paraId="0948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Merge w:val="continue"/>
                  <w:vAlign w:val="center"/>
                </w:tcPr>
                <w:p w14:paraId="0653253F">
                  <w:pPr>
                    <w:pStyle w:val="30"/>
                    <w:widowControl/>
                    <w:spacing w:line="240" w:lineRule="auto"/>
                    <w:ind w:firstLine="0" w:firstLineChars="0"/>
                    <w:jc w:val="center"/>
                    <w:rPr>
                      <w:rFonts w:eastAsia="宋体"/>
                      <w:sz w:val="21"/>
                    </w:rPr>
                  </w:pPr>
                </w:p>
              </w:tc>
              <w:tc>
                <w:tcPr>
                  <w:tcW w:w="1164" w:type="dxa"/>
                  <w:vMerge w:val="continue"/>
                  <w:vAlign w:val="center"/>
                </w:tcPr>
                <w:p w14:paraId="3EC88F38">
                  <w:pPr>
                    <w:pStyle w:val="30"/>
                    <w:widowControl/>
                    <w:spacing w:line="240" w:lineRule="auto"/>
                    <w:ind w:firstLine="0" w:firstLineChars="0"/>
                    <w:jc w:val="center"/>
                    <w:rPr>
                      <w:rFonts w:eastAsia="宋体"/>
                      <w:sz w:val="21"/>
                    </w:rPr>
                  </w:pPr>
                </w:p>
              </w:tc>
              <w:tc>
                <w:tcPr>
                  <w:tcW w:w="976" w:type="dxa"/>
                  <w:shd w:val="clear" w:color="auto" w:fill="auto"/>
                  <w:vAlign w:val="center"/>
                </w:tcPr>
                <w:p w14:paraId="2F2B2D10">
                  <w:pPr>
                    <w:pStyle w:val="30"/>
                    <w:widowControl/>
                    <w:spacing w:line="240" w:lineRule="auto"/>
                    <w:ind w:firstLine="0" w:firstLineChars="0"/>
                    <w:jc w:val="center"/>
                    <w:rPr>
                      <w:rFonts w:eastAsia="宋体"/>
                      <w:sz w:val="21"/>
                    </w:rPr>
                  </w:pPr>
                  <w:r>
                    <w:rPr>
                      <w:rFonts w:hint="eastAsia" w:eastAsia="宋体"/>
                      <w:sz w:val="21"/>
                    </w:rPr>
                    <w:t>资源开发利用效率要求</w:t>
                  </w:r>
                </w:p>
              </w:tc>
              <w:tc>
                <w:tcPr>
                  <w:tcW w:w="6633" w:type="dxa"/>
                  <w:vAlign w:val="center"/>
                </w:tcPr>
                <w:p w14:paraId="266C90DC">
                  <w:pPr>
                    <w:pStyle w:val="30"/>
                    <w:widowControl/>
                    <w:spacing w:line="240" w:lineRule="auto"/>
                    <w:ind w:firstLine="0" w:firstLineChars="0"/>
                    <w:rPr>
                      <w:rFonts w:eastAsia="宋体"/>
                      <w:sz w:val="21"/>
                    </w:rPr>
                  </w:pPr>
                  <w:r>
                    <w:rPr>
                      <w:rFonts w:hint="eastAsia" w:eastAsia="宋体"/>
                      <w:sz w:val="21"/>
                    </w:rPr>
                    <w:t>【水资源利用总量要求】：</w:t>
                  </w:r>
                </w:p>
                <w:p w14:paraId="2DFE1DCB">
                  <w:pPr>
                    <w:pStyle w:val="30"/>
                    <w:widowControl/>
                    <w:spacing w:line="240" w:lineRule="auto"/>
                    <w:ind w:firstLine="0" w:firstLineChars="0"/>
                    <w:rPr>
                      <w:rFonts w:eastAsia="宋体"/>
                      <w:sz w:val="21"/>
                    </w:rPr>
                  </w:pPr>
                  <w:r>
                    <w:rPr>
                      <w:rFonts w:hint="eastAsia" w:eastAsia="宋体"/>
                      <w:sz w:val="21"/>
                    </w:rPr>
                    <w:t>到2025年，全市用水总量控制在7.15亿m</w:t>
                  </w:r>
                  <w:r>
                    <w:rPr>
                      <w:rFonts w:hint="eastAsia" w:eastAsia="宋体"/>
                      <w:sz w:val="21"/>
                      <w:vertAlign w:val="superscript"/>
                    </w:rPr>
                    <w:t>3</w:t>
                  </w:r>
                  <w:r>
                    <w:rPr>
                      <w:rFonts w:hint="eastAsia" w:eastAsia="宋体"/>
                      <w:sz w:val="21"/>
                    </w:rPr>
                    <w:t>以内；到2030年，全市用水总量控制在7.4亿m</w:t>
                  </w:r>
                  <w:r>
                    <w:rPr>
                      <w:rFonts w:hint="eastAsia" w:eastAsia="宋体"/>
                      <w:sz w:val="21"/>
                      <w:vertAlign w:val="superscript"/>
                    </w:rPr>
                    <w:t>3</w:t>
                  </w:r>
                  <w:r>
                    <w:rPr>
                      <w:rFonts w:hint="eastAsia" w:eastAsia="宋体"/>
                      <w:sz w:val="21"/>
                    </w:rPr>
                    <w:t>以内，万元工业增加值用水量17.15m</w:t>
                  </w:r>
                  <w:r>
                    <w:rPr>
                      <w:rFonts w:hint="eastAsia" w:eastAsia="宋体"/>
                      <w:sz w:val="21"/>
                      <w:vertAlign w:val="superscript"/>
                    </w:rPr>
                    <w:t>3</w:t>
                  </w:r>
                  <w:r>
                    <w:rPr>
                      <w:rFonts w:hint="eastAsia" w:eastAsia="宋体"/>
                      <w:sz w:val="21"/>
                    </w:rPr>
                    <w:t>。</w:t>
                  </w:r>
                </w:p>
                <w:p w14:paraId="08C9AE5F">
                  <w:pPr>
                    <w:pStyle w:val="30"/>
                    <w:widowControl/>
                    <w:spacing w:line="240" w:lineRule="auto"/>
                    <w:ind w:firstLine="0" w:firstLineChars="0"/>
                    <w:rPr>
                      <w:rFonts w:eastAsia="宋体"/>
                      <w:sz w:val="21"/>
                    </w:rPr>
                  </w:pPr>
                  <w:r>
                    <w:rPr>
                      <w:rFonts w:hint="eastAsia" w:eastAsia="宋体"/>
                      <w:sz w:val="21"/>
                    </w:rPr>
                    <w:t>【地下水开采要求】：</w:t>
                  </w:r>
                </w:p>
                <w:p w14:paraId="3C3319C6">
                  <w:pPr>
                    <w:pStyle w:val="30"/>
                    <w:widowControl/>
                    <w:spacing w:line="240" w:lineRule="auto"/>
                    <w:ind w:firstLine="0" w:firstLineChars="0"/>
                    <w:rPr>
                      <w:rFonts w:eastAsia="宋体"/>
                      <w:sz w:val="21"/>
                    </w:rPr>
                  </w:pPr>
                  <w:r>
                    <w:rPr>
                      <w:rFonts w:hint="eastAsia" w:eastAsia="宋体"/>
                      <w:sz w:val="21"/>
                    </w:rPr>
                    <w:t>巴中市2025年地下水开采控制控制量保持在1400万m</w:t>
                  </w:r>
                  <w:r>
                    <w:rPr>
                      <w:rFonts w:hint="eastAsia" w:eastAsia="宋体"/>
                      <w:sz w:val="21"/>
                      <w:vertAlign w:val="superscript"/>
                    </w:rPr>
                    <w:t>3</w:t>
                  </w:r>
                  <w:r>
                    <w:rPr>
                      <w:rFonts w:hint="eastAsia" w:eastAsia="宋体"/>
                      <w:sz w:val="21"/>
                    </w:rPr>
                    <w:t>以内。</w:t>
                  </w:r>
                </w:p>
                <w:p w14:paraId="0F70A1AA">
                  <w:pPr>
                    <w:pStyle w:val="30"/>
                    <w:widowControl/>
                    <w:spacing w:line="240" w:lineRule="auto"/>
                    <w:ind w:firstLine="0" w:firstLineChars="0"/>
                    <w:rPr>
                      <w:rFonts w:eastAsia="宋体"/>
                      <w:sz w:val="21"/>
                    </w:rPr>
                  </w:pPr>
                  <w:r>
                    <w:rPr>
                      <w:rFonts w:hint="eastAsia" w:eastAsia="宋体"/>
                      <w:sz w:val="21"/>
                    </w:rPr>
                    <w:t>地下水开采量控制在可开采量的允 许范围内，抑制用水过度增长。</w:t>
                  </w:r>
                </w:p>
                <w:p w14:paraId="6EF6BD56">
                  <w:pPr>
                    <w:pStyle w:val="30"/>
                    <w:widowControl/>
                    <w:spacing w:line="240" w:lineRule="auto"/>
                    <w:ind w:firstLine="0" w:firstLineChars="0"/>
                    <w:rPr>
                      <w:rFonts w:eastAsia="宋体"/>
                      <w:sz w:val="21"/>
                    </w:rPr>
                  </w:pPr>
                  <w:r>
                    <w:rPr>
                      <w:rFonts w:hint="eastAsia" w:eastAsia="宋体"/>
                      <w:sz w:val="21"/>
                    </w:rPr>
                    <w:t>【能源利用总量及效率要求】：</w:t>
                  </w:r>
                </w:p>
                <w:p w14:paraId="0ACA907F">
                  <w:pPr>
                    <w:pStyle w:val="30"/>
                    <w:widowControl/>
                    <w:spacing w:line="240" w:lineRule="auto"/>
                    <w:ind w:firstLine="0" w:firstLineChars="0"/>
                    <w:rPr>
                      <w:rFonts w:eastAsia="宋体"/>
                      <w:sz w:val="21"/>
                    </w:rPr>
                  </w:pPr>
                  <w:r>
                    <w:rPr>
                      <w:rFonts w:hint="eastAsia" w:eastAsia="宋体"/>
                      <w:sz w:val="21"/>
                    </w:rPr>
                    <w:t>禁止使用不符合商品煤质量管理规定所列环保指标要求的商品煤。禁止劣质散煤流通与使用，依法查处散煤无照经营行为。加大民用散煤清洁化治理力度，推进以电代煤、以气代煤，推广使用洁净煤、先进民用炉具，加强民用散煤管理。</w:t>
                  </w:r>
                </w:p>
                <w:p w14:paraId="1815FC2E">
                  <w:pPr>
                    <w:pStyle w:val="30"/>
                    <w:widowControl/>
                    <w:spacing w:line="240" w:lineRule="auto"/>
                    <w:ind w:firstLine="0" w:firstLineChars="0"/>
                    <w:rPr>
                      <w:rFonts w:eastAsia="宋体"/>
                      <w:sz w:val="21"/>
                    </w:rPr>
                  </w:pPr>
                  <w:r>
                    <w:rPr>
                      <w:rFonts w:hint="eastAsia" w:eastAsia="宋体"/>
                      <w:sz w:val="21"/>
                    </w:rPr>
                    <w:t>【禁燃区要求】：</w:t>
                  </w:r>
                </w:p>
                <w:p w14:paraId="1E78325A">
                  <w:pPr>
                    <w:pStyle w:val="30"/>
                    <w:widowControl/>
                    <w:spacing w:line="240" w:lineRule="auto"/>
                    <w:ind w:firstLine="0" w:firstLineChars="0"/>
                    <w:rPr>
                      <w:rFonts w:eastAsia="宋体"/>
                      <w:sz w:val="21"/>
                    </w:rPr>
                  </w:pPr>
                  <w:r>
                    <w:rPr>
                      <w:rFonts w:hint="eastAsia" w:eastAsia="宋体"/>
                      <w:sz w:val="21"/>
                    </w:rPr>
                    <w:t>在禁燃区范围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p w14:paraId="04305EAC">
                  <w:pPr>
                    <w:pStyle w:val="30"/>
                    <w:widowControl/>
                    <w:spacing w:line="240" w:lineRule="auto"/>
                    <w:ind w:firstLine="0" w:firstLineChars="0"/>
                    <w:rPr>
                      <w:rFonts w:eastAsia="宋体"/>
                      <w:sz w:val="21"/>
                    </w:rPr>
                  </w:pPr>
                  <w:r>
                    <w:rPr>
                      <w:rFonts w:hint="eastAsia" w:eastAsia="宋体"/>
                      <w:sz w:val="21"/>
                    </w:rPr>
                    <w:t>【其他资源利用效率要求】：</w:t>
                  </w:r>
                </w:p>
                <w:p w14:paraId="4EAC93E5">
                  <w:pPr>
                    <w:pStyle w:val="30"/>
                    <w:widowControl/>
                    <w:spacing w:line="240" w:lineRule="auto"/>
                    <w:ind w:firstLine="0" w:firstLineChars="0"/>
                    <w:rPr>
                      <w:rFonts w:eastAsia="宋体"/>
                      <w:sz w:val="21"/>
                    </w:rPr>
                  </w:pPr>
                  <w:r>
                    <w:rPr>
                      <w:rFonts w:hint="eastAsia" w:eastAsia="宋体"/>
                      <w:sz w:val="21"/>
                    </w:rPr>
                    <w:t>到2025年，巴中市城市再生水利用率达到不低于20%，到2030年，再生水利用率不低于30%。</w:t>
                  </w:r>
                </w:p>
              </w:tc>
              <w:tc>
                <w:tcPr>
                  <w:tcW w:w="2384" w:type="dxa"/>
                  <w:vAlign w:val="center"/>
                </w:tcPr>
                <w:p w14:paraId="4DB2A6DC">
                  <w:pPr>
                    <w:pStyle w:val="30"/>
                    <w:widowControl/>
                    <w:spacing w:line="240" w:lineRule="auto"/>
                    <w:ind w:firstLine="0" w:firstLineChars="0"/>
                    <w:jc w:val="center"/>
                    <w:rPr>
                      <w:rFonts w:eastAsia="宋体"/>
                      <w:sz w:val="21"/>
                    </w:rPr>
                  </w:pPr>
                  <w:r>
                    <w:rPr>
                      <w:rFonts w:hint="eastAsia" w:eastAsia="宋体"/>
                      <w:sz w:val="21"/>
                    </w:rPr>
                    <w:t>本项目不涉及地下水开采，不涉及高污染燃料。</w:t>
                  </w:r>
                </w:p>
              </w:tc>
              <w:tc>
                <w:tcPr>
                  <w:tcW w:w="899" w:type="dxa"/>
                  <w:vAlign w:val="center"/>
                </w:tcPr>
                <w:p w14:paraId="59B82AA0">
                  <w:pPr>
                    <w:pStyle w:val="30"/>
                    <w:widowControl/>
                    <w:spacing w:line="240" w:lineRule="auto"/>
                    <w:ind w:firstLine="0" w:firstLineChars="0"/>
                    <w:jc w:val="center"/>
                    <w:rPr>
                      <w:rFonts w:eastAsia="宋体"/>
                      <w:sz w:val="21"/>
                    </w:rPr>
                  </w:pPr>
                  <w:r>
                    <w:rPr>
                      <w:rFonts w:hint="eastAsia" w:eastAsia="宋体"/>
                      <w:sz w:val="21"/>
                    </w:rPr>
                    <w:t>符合</w:t>
                  </w:r>
                </w:p>
              </w:tc>
            </w:tr>
          </w:tbl>
          <w:p w14:paraId="2E376E20">
            <w:pPr>
              <w:ind w:firstLine="422"/>
              <w:jc w:val="center"/>
            </w:pPr>
            <w:r>
              <w:rPr>
                <w:rFonts w:hint="eastAsia"/>
                <w:b/>
                <w:bCs/>
                <w:sz w:val="21"/>
                <w:szCs w:val="21"/>
              </w:rPr>
              <w:t>表1-9  县（市、区）普适性管控要求</w:t>
            </w:r>
          </w:p>
          <w:tbl>
            <w:tblPr>
              <w:tblStyle w:val="19"/>
              <w:tblW w:w="12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084"/>
              <w:gridCol w:w="1400"/>
              <w:gridCol w:w="4650"/>
              <w:gridCol w:w="3866"/>
              <w:gridCol w:w="893"/>
            </w:tblGrid>
            <w:tr w14:paraId="3A01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72" w:type="dxa"/>
                  <w:shd w:val="clear" w:color="auto" w:fill="auto"/>
                  <w:vAlign w:val="center"/>
                </w:tcPr>
                <w:p w14:paraId="1F889FD0">
                  <w:pPr>
                    <w:pStyle w:val="30"/>
                    <w:widowControl/>
                    <w:spacing w:line="240" w:lineRule="auto"/>
                    <w:ind w:firstLine="0" w:firstLineChars="0"/>
                    <w:jc w:val="center"/>
                    <w:rPr>
                      <w:rFonts w:eastAsia="宋体"/>
                      <w:b/>
                      <w:bCs/>
                      <w:sz w:val="21"/>
                    </w:rPr>
                  </w:pPr>
                  <w:r>
                    <w:rPr>
                      <w:rFonts w:hint="eastAsia" w:eastAsia="宋体"/>
                      <w:b/>
                      <w:bCs/>
                      <w:sz w:val="21"/>
                    </w:rPr>
                    <w:t>县区</w:t>
                  </w:r>
                </w:p>
              </w:tc>
              <w:tc>
                <w:tcPr>
                  <w:tcW w:w="1084" w:type="dxa"/>
                  <w:shd w:val="clear" w:color="auto" w:fill="auto"/>
                  <w:vAlign w:val="center"/>
                </w:tcPr>
                <w:p w14:paraId="5767AE66">
                  <w:pPr>
                    <w:pStyle w:val="30"/>
                    <w:widowControl/>
                    <w:spacing w:line="240" w:lineRule="auto"/>
                    <w:ind w:firstLine="0" w:firstLineChars="0"/>
                    <w:jc w:val="center"/>
                    <w:rPr>
                      <w:rFonts w:eastAsia="宋体"/>
                      <w:b/>
                      <w:bCs/>
                      <w:sz w:val="21"/>
                    </w:rPr>
                  </w:pPr>
                  <w:r>
                    <w:rPr>
                      <w:rFonts w:hint="eastAsia" w:eastAsia="宋体"/>
                      <w:b/>
                      <w:bCs/>
                      <w:sz w:val="21"/>
                    </w:rPr>
                    <w:t>区域名称</w:t>
                  </w:r>
                </w:p>
              </w:tc>
              <w:tc>
                <w:tcPr>
                  <w:tcW w:w="1400" w:type="dxa"/>
                  <w:shd w:val="clear" w:color="auto" w:fill="auto"/>
                  <w:vAlign w:val="center"/>
                </w:tcPr>
                <w:p w14:paraId="3F9A75F7">
                  <w:pPr>
                    <w:pStyle w:val="30"/>
                    <w:widowControl/>
                    <w:spacing w:line="240" w:lineRule="auto"/>
                    <w:ind w:firstLine="0" w:firstLineChars="0"/>
                    <w:jc w:val="center"/>
                    <w:rPr>
                      <w:rFonts w:eastAsia="宋体"/>
                      <w:b/>
                      <w:bCs/>
                      <w:sz w:val="21"/>
                    </w:rPr>
                  </w:pPr>
                  <w:r>
                    <w:rPr>
                      <w:rFonts w:hint="eastAsia" w:eastAsia="宋体"/>
                      <w:b/>
                      <w:bCs/>
                      <w:sz w:val="21"/>
                    </w:rPr>
                    <w:t>管控类别</w:t>
                  </w:r>
                </w:p>
              </w:tc>
              <w:tc>
                <w:tcPr>
                  <w:tcW w:w="4650" w:type="dxa"/>
                  <w:shd w:val="clear" w:color="auto" w:fill="auto"/>
                  <w:vAlign w:val="center"/>
                </w:tcPr>
                <w:p w14:paraId="23AC68B0">
                  <w:pPr>
                    <w:pStyle w:val="30"/>
                    <w:widowControl/>
                    <w:spacing w:line="240" w:lineRule="auto"/>
                    <w:ind w:firstLine="0" w:firstLineChars="0"/>
                    <w:jc w:val="center"/>
                    <w:rPr>
                      <w:rFonts w:eastAsia="宋体"/>
                      <w:b/>
                      <w:bCs/>
                      <w:sz w:val="21"/>
                    </w:rPr>
                  </w:pPr>
                  <w:r>
                    <w:rPr>
                      <w:rFonts w:hint="eastAsia" w:eastAsia="宋体"/>
                      <w:b/>
                      <w:bCs/>
                      <w:sz w:val="21"/>
                    </w:rPr>
                    <w:t>单元特性管控要求</w:t>
                  </w:r>
                </w:p>
              </w:tc>
              <w:tc>
                <w:tcPr>
                  <w:tcW w:w="3866" w:type="dxa"/>
                </w:tcPr>
                <w:p w14:paraId="2838E741">
                  <w:pPr>
                    <w:pStyle w:val="30"/>
                    <w:widowControl/>
                    <w:spacing w:line="240" w:lineRule="auto"/>
                    <w:ind w:firstLine="0" w:firstLineChars="0"/>
                    <w:jc w:val="center"/>
                    <w:rPr>
                      <w:rFonts w:eastAsia="宋体"/>
                      <w:b/>
                      <w:bCs/>
                      <w:sz w:val="21"/>
                    </w:rPr>
                  </w:pPr>
                  <w:r>
                    <w:rPr>
                      <w:rFonts w:hint="eastAsia" w:eastAsia="宋体"/>
                      <w:b/>
                      <w:bCs/>
                      <w:sz w:val="21"/>
                    </w:rPr>
                    <w:t>本项目情况</w:t>
                  </w:r>
                </w:p>
              </w:tc>
              <w:tc>
                <w:tcPr>
                  <w:tcW w:w="893" w:type="dxa"/>
                </w:tcPr>
                <w:p w14:paraId="2A0C6EBF">
                  <w:pPr>
                    <w:pStyle w:val="30"/>
                    <w:widowControl/>
                    <w:spacing w:line="240" w:lineRule="auto"/>
                    <w:ind w:firstLine="0" w:firstLineChars="0"/>
                    <w:jc w:val="center"/>
                    <w:rPr>
                      <w:rFonts w:eastAsia="宋体"/>
                      <w:b/>
                      <w:bCs/>
                      <w:sz w:val="21"/>
                    </w:rPr>
                  </w:pPr>
                  <w:r>
                    <w:rPr>
                      <w:rFonts w:hint="eastAsia" w:eastAsia="宋体"/>
                      <w:b/>
                      <w:bCs/>
                      <w:sz w:val="21"/>
                    </w:rPr>
                    <w:t>符合性</w:t>
                  </w:r>
                </w:p>
              </w:tc>
            </w:tr>
            <w:tr w14:paraId="4489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vMerge w:val="restart"/>
                  <w:vAlign w:val="center"/>
                </w:tcPr>
                <w:p w14:paraId="642BD4B5">
                  <w:pPr>
                    <w:pStyle w:val="30"/>
                    <w:widowControl/>
                    <w:spacing w:line="240" w:lineRule="auto"/>
                    <w:ind w:firstLine="0" w:firstLineChars="0"/>
                    <w:jc w:val="center"/>
                    <w:rPr>
                      <w:rFonts w:eastAsia="宋体"/>
                      <w:sz w:val="21"/>
                    </w:rPr>
                  </w:pPr>
                  <w:r>
                    <w:rPr>
                      <w:rFonts w:hint="eastAsia" w:eastAsia="宋体"/>
                      <w:sz w:val="21"/>
                    </w:rPr>
                    <w:t>巴州区</w:t>
                  </w:r>
                </w:p>
              </w:tc>
              <w:tc>
                <w:tcPr>
                  <w:tcW w:w="1084" w:type="dxa"/>
                  <w:vMerge w:val="restart"/>
                  <w:vAlign w:val="center"/>
                </w:tcPr>
                <w:p w14:paraId="008C028B">
                  <w:pPr>
                    <w:pStyle w:val="30"/>
                    <w:widowControl/>
                    <w:spacing w:line="240" w:lineRule="auto"/>
                    <w:ind w:firstLine="0" w:firstLineChars="0"/>
                    <w:jc w:val="center"/>
                    <w:rPr>
                      <w:rFonts w:eastAsia="宋体"/>
                      <w:sz w:val="21"/>
                    </w:rPr>
                  </w:pPr>
                  <w:r>
                    <w:rPr>
                      <w:rFonts w:hint="eastAsia" w:eastAsia="宋体"/>
                      <w:sz w:val="21"/>
                    </w:rPr>
                    <w:t>巴州区</w:t>
                  </w:r>
                </w:p>
              </w:tc>
              <w:tc>
                <w:tcPr>
                  <w:tcW w:w="1400" w:type="dxa"/>
                  <w:vAlign w:val="center"/>
                </w:tcPr>
                <w:p w14:paraId="164A395C">
                  <w:pPr>
                    <w:pStyle w:val="30"/>
                    <w:widowControl/>
                    <w:spacing w:line="240" w:lineRule="auto"/>
                    <w:ind w:firstLine="0" w:firstLineChars="0"/>
                    <w:jc w:val="center"/>
                    <w:rPr>
                      <w:rFonts w:eastAsia="宋体"/>
                      <w:sz w:val="21"/>
                    </w:rPr>
                  </w:pPr>
                  <w:r>
                    <w:rPr>
                      <w:rFonts w:hint="eastAsia" w:eastAsia="宋体"/>
                      <w:sz w:val="21"/>
                    </w:rPr>
                    <w:t>空间布局约束</w:t>
                  </w:r>
                </w:p>
              </w:tc>
              <w:tc>
                <w:tcPr>
                  <w:tcW w:w="4650" w:type="dxa"/>
                  <w:vAlign w:val="center"/>
                </w:tcPr>
                <w:p w14:paraId="38872E01">
                  <w:pPr>
                    <w:pStyle w:val="30"/>
                    <w:widowControl/>
                    <w:spacing w:line="240" w:lineRule="auto"/>
                    <w:ind w:firstLine="0" w:firstLineChars="0"/>
                    <w:rPr>
                      <w:rFonts w:eastAsia="宋体"/>
                      <w:sz w:val="21"/>
                    </w:rPr>
                  </w:pPr>
                  <w:r>
                    <w:rPr>
                      <w:rFonts w:hint="eastAsia" w:eastAsia="宋体"/>
                      <w:sz w:val="21"/>
                    </w:rPr>
                    <w:t>【限制开发建设活动的要求】：</w:t>
                  </w:r>
                </w:p>
                <w:p w14:paraId="34FCA874">
                  <w:pPr>
                    <w:pStyle w:val="30"/>
                    <w:widowControl/>
                    <w:spacing w:line="240" w:lineRule="auto"/>
                    <w:ind w:firstLine="0" w:firstLineChars="0"/>
                    <w:rPr>
                      <w:rFonts w:eastAsia="宋体"/>
                      <w:sz w:val="21"/>
                    </w:rPr>
                  </w:pPr>
                  <w:r>
                    <w:rPr>
                      <w:rFonts w:hint="eastAsia" w:eastAsia="宋体"/>
                      <w:sz w:val="21"/>
                    </w:rPr>
                    <w:t>/</w:t>
                  </w:r>
                </w:p>
                <w:p w14:paraId="5BD74241">
                  <w:pPr>
                    <w:pStyle w:val="30"/>
                    <w:widowControl/>
                    <w:spacing w:line="240" w:lineRule="auto"/>
                    <w:ind w:firstLine="0" w:firstLineChars="0"/>
                    <w:rPr>
                      <w:rFonts w:eastAsia="宋体"/>
                      <w:sz w:val="21"/>
                    </w:rPr>
                  </w:pPr>
                  <w:r>
                    <w:rPr>
                      <w:rFonts w:hint="eastAsia" w:eastAsia="宋体"/>
                      <w:sz w:val="21"/>
                    </w:rPr>
                    <w:t>【其他空间布局约束要求】：</w:t>
                  </w:r>
                </w:p>
                <w:p w14:paraId="6C15A8D4">
                  <w:pPr>
                    <w:pStyle w:val="30"/>
                    <w:widowControl/>
                    <w:spacing w:line="240" w:lineRule="auto"/>
                    <w:ind w:firstLine="0" w:firstLineChars="0"/>
                    <w:rPr>
                      <w:rFonts w:eastAsia="宋体"/>
                      <w:sz w:val="21"/>
                    </w:rPr>
                  </w:pPr>
                  <w:r>
                    <w:rPr>
                      <w:rFonts w:hint="eastAsia" w:eastAsia="宋体"/>
                      <w:sz w:val="21"/>
                    </w:rPr>
                    <w:t>加强流域水污染防治，推进流域水生态环境修复与治理；</w:t>
                  </w:r>
                </w:p>
                <w:p w14:paraId="15FAB877">
                  <w:pPr>
                    <w:pStyle w:val="30"/>
                    <w:widowControl/>
                    <w:spacing w:line="240" w:lineRule="auto"/>
                    <w:ind w:firstLine="0" w:firstLineChars="0"/>
                    <w:rPr>
                      <w:rFonts w:eastAsia="宋体"/>
                      <w:sz w:val="21"/>
                    </w:rPr>
                  </w:pPr>
                  <w:r>
                    <w:rPr>
                      <w:rFonts w:hint="eastAsia" w:eastAsia="宋体"/>
                      <w:sz w:val="21"/>
                    </w:rPr>
                    <w:t>加强城市精细化管理，提升市民对环境的幸福感、获得感。</w:t>
                  </w:r>
                </w:p>
              </w:tc>
              <w:tc>
                <w:tcPr>
                  <w:tcW w:w="3866" w:type="dxa"/>
                  <w:vAlign w:val="center"/>
                </w:tcPr>
                <w:p w14:paraId="4E8372FD">
                  <w:pPr>
                    <w:pStyle w:val="30"/>
                    <w:widowControl/>
                    <w:spacing w:line="240" w:lineRule="auto"/>
                    <w:ind w:firstLine="0" w:firstLineChars="0"/>
                    <w:jc w:val="center"/>
                    <w:rPr>
                      <w:rFonts w:eastAsia="宋体"/>
                      <w:sz w:val="21"/>
                    </w:rPr>
                  </w:pPr>
                  <w:r>
                    <w:rPr>
                      <w:rFonts w:eastAsia="宋体"/>
                      <w:sz w:val="21"/>
                    </w:rPr>
                    <w:t>工程通过新建</w:t>
                  </w:r>
                  <w:r>
                    <w:rPr>
                      <w:rFonts w:hint="eastAsia" w:eastAsia="宋体"/>
                      <w:sz w:val="21"/>
                    </w:rPr>
                    <w:t>生态景观</w:t>
                  </w:r>
                  <w:r>
                    <w:rPr>
                      <w:rFonts w:eastAsia="宋体"/>
                      <w:sz w:val="21"/>
                    </w:rPr>
                    <w:t>控流闸坝稳定河道生态水位、消除季节性断流，配套</w:t>
                  </w:r>
                  <w:r>
                    <w:rPr>
                      <w:rFonts w:hint="eastAsia" w:eastAsia="宋体"/>
                      <w:sz w:val="21"/>
                      <w:lang w:val="en-US" w:eastAsia="zh-CN"/>
                    </w:rPr>
                    <w:t>实施</w:t>
                  </w:r>
                  <w:r>
                    <w:rPr>
                      <w:rFonts w:eastAsia="宋体"/>
                      <w:sz w:val="21"/>
                    </w:rPr>
                    <w:t>生态护岸、生态植草沟、植被带等水土保持与生境修复措施，构建连续河流生态廊道，提升流域水源涵养与水体自净能力</w:t>
                  </w:r>
                  <w:r>
                    <w:rPr>
                      <w:rFonts w:hint="eastAsia" w:eastAsia="宋体"/>
                      <w:sz w:val="21"/>
                    </w:rPr>
                    <w:t>。</w:t>
                  </w:r>
                </w:p>
              </w:tc>
              <w:tc>
                <w:tcPr>
                  <w:tcW w:w="893" w:type="dxa"/>
                  <w:vAlign w:val="center"/>
                </w:tcPr>
                <w:p w14:paraId="23DF31DF">
                  <w:pPr>
                    <w:pStyle w:val="30"/>
                    <w:widowControl/>
                    <w:spacing w:line="240" w:lineRule="auto"/>
                    <w:ind w:firstLine="0" w:firstLineChars="0"/>
                    <w:jc w:val="center"/>
                    <w:rPr>
                      <w:rFonts w:eastAsia="宋体"/>
                      <w:sz w:val="21"/>
                    </w:rPr>
                  </w:pPr>
                  <w:r>
                    <w:rPr>
                      <w:rFonts w:hint="eastAsia" w:eastAsia="宋体"/>
                      <w:sz w:val="21"/>
                    </w:rPr>
                    <w:t>符合</w:t>
                  </w:r>
                </w:p>
              </w:tc>
            </w:tr>
            <w:tr w14:paraId="41A2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vMerge w:val="continue"/>
                  <w:vAlign w:val="center"/>
                </w:tcPr>
                <w:p w14:paraId="5836F89C">
                  <w:pPr>
                    <w:pStyle w:val="30"/>
                    <w:widowControl/>
                    <w:spacing w:line="240" w:lineRule="auto"/>
                    <w:ind w:firstLine="0" w:firstLineChars="0"/>
                    <w:jc w:val="center"/>
                    <w:rPr>
                      <w:rFonts w:eastAsia="宋体"/>
                      <w:sz w:val="21"/>
                    </w:rPr>
                  </w:pPr>
                </w:p>
              </w:tc>
              <w:tc>
                <w:tcPr>
                  <w:tcW w:w="1084" w:type="dxa"/>
                  <w:vMerge w:val="continue"/>
                  <w:vAlign w:val="center"/>
                </w:tcPr>
                <w:p w14:paraId="4FEC5B80">
                  <w:pPr>
                    <w:pStyle w:val="30"/>
                    <w:widowControl/>
                    <w:spacing w:line="240" w:lineRule="auto"/>
                    <w:ind w:firstLine="0" w:firstLineChars="0"/>
                    <w:jc w:val="center"/>
                    <w:rPr>
                      <w:rFonts w:eastAsia="宋体"/>
                      <w:sz w:val="21"/>
                    </w:rPr>
                  </w:pPr>
                </w:p>
              </w:tc>
              <w:tc>
                <w:tcPr>
                  <w:tcW w:w="1400" w:type="dxa"/>
                  <w:vAlign w:val="center"/>
                </w:tcPr>
                <w:p w14:paraId="397F2DBE">
                  <w:pPr>
                    <w:pStyle w:val="30"/>
                    <w:widowControl/>
                    <w:spacing w:line="240" w:lineRule="auto"/>
                    <w:ind w:firstLine="0" w:firstLineChars="0"/>
                    <w:jc w:val="center"/>
                    <w:rPr>
                      <w:rFonts w:eastAsia="宋体"/>
                      <w:sz w:val="21"/>
                    </w:rPr>
                  </w:pPr>
                  <w:r>
                    <w:rPr>
                      <w:rFonts w:hint="eastAsia" w:eastAsia="宋体"/>
                      <w:sz w:val="21"/>
                    </w:rPr>
                    <w:t>污染物排放管控</w:t>
                  </w:r>
                </w:p>
              </w:tc>
              <w:tc>
                <w:tcPr>
                  <w:tcW w:w="4650" w:type="dxa"/>
                  <w:vAlign w:val="center"/>
                </w:tcPr>
                <w:p w14:paraId="5F0AAF9B">
                  <w:pPr>
                    <w:pStyle w:val="30"/>
                    <w:widowControl/>
                    <w:spacing w:line="240" w:lineRule="auto"/>
                    <w:ind w:firstLine="0" w:firstLineChars="0"/>
                    <w:rPr>
                      <w:rFonts w:eastAsia="宋体"/>
                      <w:sz w:val="21"/>
                    </w:rPr>
                  </w:pPr>
                  <w:r>
                    <w:rPr>
                      <w:rFonts w:hint="eastAsia" w:eastAsia="宋体"/>
                      <w:sz w:val="21"/>
                    </w:rPr>
                    <w:t>【其他污染物排放管控要求】：</w:t>
                  </w:r>
                </w:p>
                <w:p w14:paraId="37FFC87E">
                  <w:pPr>
                    <w:pStyle w:val="30"/>
                    <w:widowControl/>
                    <w:spacing w:line="240" w:lineRule="auto"/>
                    <w:ind w:firstLine="0" w:firstLineChars="0"/>
                    <w:rPr>
                      <w:rFonts w:eastAsia="宋体"/>
                      <w:sz w:val="21"/>
                    </w:rPr>
                  </w:pPr>
                  <w:r>
                    <w:rPr>
                      <w:rFonts w:hint="eastAsia" w:eastAsia="宋体"/>
                      <w:sz w:val="21"/>
                    </w:rPr>
                    <w:t>加强工业园区内和园区外企业污染排放监管，推进“散乱污”企业整治；</w:t>
                  </w:r>
                </w:p>
                <w:p w14:paraId="6ABB54ED">
                  <w:pPr>
                    <w:pStyle w:val="30"/>
                    <w:widowControl/>
                    <w:spacing w:line="240" w:lineRule="auto"/>
                    <w:ind w:firstLine="0" w:firstLineChars="0"/>
                    <w:rPr>
                      <w:rFonts w:eastAsia="宋体"/>
                      <w:sz w:val="21"/>
                    </w:rPr>
                  </w:pPr>
                  <w:r>
                    <w:rPr>
                      <w:rFonts w:hint="eastAsia" w:eastAsia="宋体"/>
                      <w:sz w:val="21"/>
                    </w:rPr>
                    <w:t>强化扬尘源、燃烧源和移动源等大气污染防治。</w:t>
                  </w:r>
                </w:p>
              </w:tc>
              <w:tc>
                <w:tcPr>
                  <w:tcW w:w="3866" w:type="dxa"/>
                  <w:vAlign w:val="center"/>
                </w:tcPr>
                <w:p w14:paraId="2FB5E90E">
                  <w:pPr>
                    <w:pStyle w:val="30"/>
                    <w:widowControl/>
                    <w:spacing w:line="240" w:lineRule="auto"/>
                    <w:ind w:firstLine="0" w:firstLineChars="0"/>
                    <w:jc w:val="center"/>
                    <w:rPr>
                      <w:rFonts w:eastAsia="宋体"/>
                      <w:sz w:val="21"/>
                    </w:rPr>
                  </w:pPr>
                  <w:r>
                    <w:rPr>
                      <w:rFonts w:hint="eastAsia" w:eastAsia="宋体"/>
                      <w:sz w:val="21"/>
                    </w:rPr>
                    <w:t>项目不涉及。</w:t>
                  </w:r>
                </w:p>
              </w:tc>
              <w:tc>
                <w:tcPr>
                  <w:tcW w:w="893" w:type="dxa"/>
                  <w:vAlign w:val="center"/>
                </w:tcPr>
                <w:p w14:paraId="70BA9992">
                  <w:pPr>
                    <w:pStyle w:val="30"/>
                    <w:widowControl/>
                    <w:spacing w:line="240" w:lineRule="auto"/>
                    <w:ind w:firstLine="0" w:firstLineChars="0"/>
                    <w:jc w:val="center"/>
                    <w:rPr>
                      <w:rFonts w:eastAsia="宋体"/>
                      <w:sz w:val="21"/>
                    </w:rPr>
                  </w:pPr>
                  <w:r>
                    <w:rPr>
                      <w:rFonts w:hint="eastAsia" w:eastAsia="宋体"/>
                      <w:sz w:val="21"/>
                    </w:rPr>
                    <w:t>符合</w:t>
                  </w:r>
                </w:p>
              </w:tc>
            </w:tr>
            <w:tr w14:paraId="602EF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vMerge w:val="continue"/>
                  <w:vAlign w:val="center"/>
                </w:tcPr>
                <w:p w14:paraId="0F5FE88E">
                  <w:pPr>
                    <w:pStyle w:val="30"/>
                    <w:widowControl/>
                    <w:spacing w:line="240" w:lineRule="auto"/>
                    <w:ind w:firstLine="0" w:firstLineChars="0"/>
                    <w:jc w:val="center"/>
                    <w:rPr>
                      <w:rFonts w:eastAsia="宋体"/>
                      <w:sz w:val="21"/>
                    </w:rPr>
                  </w:pPr>
                </w:p>
              </w:tc>
              <w:tc>
                <w:tcPr>
                  <w:tcW w:w="1084" w:type="dxa"/>
                  <w:vMerge w:val="continue"/>
                  <w:vAlign w:val="center"/>
                </w:tcPr>
                <w:p w14:paraId="6D693FB0">
                  <w:pPr>
                    <w:pStyle w:val="30"/>
                    <w:widowControl/>
                    <w:spacing w:line="240" w:lineRule="auto"/>
                    <w:ind w:firstLine="0" w:firstLineChars="0"/>
                    <w:jc w:val="center"/>
                    <w:rPr>
                      <w:rFonts w:eastAsia="宋体"/>
                      <w:sz w:val="21"/>
                    </w:rPr>
                  </w:pPr>
                </w:p>
              </w:tc>
              <w:tc>
                <w:tcPr>
                  <w:tcW w:w="1400" w:type="dxa"/>
                  <w:vAlign w:val="center"/>
                </w:tcPr>
                <w:p w14:paraId="79BD344D">
                  <w:pPr>
                    <w:pStyle w:val="30"/>
                    <w:widowControl/>
                    <w:spacing w:line="240" w:lineRule="auto"/>
                    <w:ind w:firstLine="0" w:firstLineChars="0"/>
                    <w:jc w:val="center"/>
                    <w:rPr>
                      <w:rFonts w:eastAsia="宋体"/>
                      <w:sz w:val="21"/>
                    </w:rPr>
                  </w:pPr>
                  <w:r>
                    <w:rPr>
                      <w:rFonts w:hint="eastAsia" w:eastAsia="宋体"/>
                      <w:sz w:val="21"/>
                    </w:rPr>
                    <w:t>环境风险防控</w:t>
                  </w:r>
                </w:p>
              </w:tc>
              <w:tc>
                <w:tcPr>
                  <w:tcW w:w="4650" w:type="dxa"/>
                  <w:vAlign w:val="center"/>
                </w:tcPr>
                <w:p w14:paraId="6A8C676E">
                  <w:pPr>
                    <w:pStyle w:val="30"/>
                    <w:widowControl/>
                    <w:spacing w:line="240" w:lineRule="auto"/>
                    <w:ind w:firstLine="0" w:firstLineChars="0"/>
                    <w:rPr>
                      <w:rFonts w:eastAsia="宋体"/>
                      <w:sz w:val="21"/>
                    </w:rPr>
                  </w:pPr>
                  <w:r>
                    <w:rPr>
                      <w:rFonts w:hint="eastAsia" w:eastAsia="宋体"/>
                      <w:sz w:val="21"/>
                    </w:rPr>
                    <w:t>【其他环境风险防控要求】：</w:t>
                  </w:r>
                </w:p>
                <w:p w14:paraId="2768D1BC">
                  <w:pPr>
                    <w:pStyle w:val="30"/>
                    <w:widowControl/>
                    <w:spacing w:line="240" w:lineRule="auto"/>
                    <w:ind w:firstLine="0" w:firstLineChars="0"/>
                    <w:rPr>
                      <w:rFonts w:eastAsia="宋体"/>
                      <w:sz w:val="21"/>
                    </w:rPr>
                  </w:pPr>
                  <w:r>
                    <w:rPr>
                      <w:rFonts w:hint="eastAsia" w:eastAsia="宋体"/>
                      <w:sz w:val="21"/>
                    </w:rPr>
                    <w:t>强化建筑垃圾、生活垃圾、餐厨垃圾综合利用和无害化处置及危险废物环境风险管控。</w:t>
                  </w:r>
                </w:p>
              </w:tc>
              <w:tc>
                <w:tcPr>
                  <w:tcW w:w="3866" w:type="dxa"/>
                  <w:vAlign w:val="center"/>
                </w:tcPr>
                <w:p w14:paraId="7B42ECEA">
                  <w:pPr>
                    <w:pStyle w:val="30"/>
                    <w:widowControl/>
                    <w:spacing w:line="240" w:lineRule="auto"/>
                    <w:ind w:firstLine="0" w:firstLineChars="0"/>
                    <w:jc w:val="center"/>
                    <w:rPr>
                      <w:rFonts w:eastAsia="宋体"/>
                      <w:sz w:val="21"/>
                    </w:rPr>
                  </w:pPr>
                  <w:r>
                    <w:rPr>
                      <w:rFonts w:hint="eastAsia" w:eastAsia="宋体"/>
                      <w:sz w:val="21"/>
                    </w:rPr>
                    <w:t>项目施工期生活垃圾统一收集后交由环卫处理；危险废物暂存在临时危废暂存间后交由有资质单位处置；项目运营期不产生危废，运动广场由人为活动产生的生活垃圾统一收集后交由环卫处理，。</w:t>
                  </w:r>
                </w:p>
              </w:tc>
              <w:tc>
                <w:tcPr>
                  <w:tcW w:w="893" w:type="dxa"/>
                  <w:vAlign w:val="center"/>
                </w:tcPr>
                <w:p w14:paraId="5187C21F">
                  <w:pPr>
                    <w:pStyle w:val="30"/>
                    <w:widowControl/>
                    <w:spacing w:line="240" w:lineRule="auto"/>
                    <w:ind w:firstLine="0" w:firstLineChars="0"/>
                    <w:jc w:val="center"/>
                    <w:rPr>
                      <w:rFonts w:eastAsia="宋体"/>
                      <w:sz w:val="21"/>
                    </w:rPr>
                  </w:pPr>
                  <w:r>
                    <w:rPr>
                      <w:rFonts w:hint="eastAsia" w:eastAsia="宋体"/>
                      <w:sz w:val="21"/>
                    </w:rPr>
                    <w:t>符合</w:t>
                  </w:r>
                </w:p>
              </w:tc>
            </w:tr>
            <w:tr w14:paraId="60BE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vMerge w:val="continue"/>
                  <w:vAlign w:val="center"/>
                </w:tcPr>
                <w:p w14:paraId="048D3254">
                  <w:pPr>
                    <w:pStyle w:val="30"/>
                    <w:widowControl/>
                    <w:spacing w:line="240" w:lineRule="auto"/>
                    <w:ind w:firstLine="0" w:firstLineChars="0"/>
                    <w:jc w:val="center"/>
                    <w:rPr>
                      <w:rFonts w:eastAsia="宋体"/>
                      <w:sz w:val="21"/>
                    </w:rPr>
                  </w:pPr>
                </w:p>
              </w:tc>
              <w:tc>
                <w:tcPr>
                  <w:tcW w:w="1084" w:type="dxa"/>
                  <w:vMerge w:val="continue"/>
                  <w:vAlign w:val="center"/>
                </w:tcPr>
                <w:p w14:paraId="37D07989">
                  <w:pPr>
                    <w:pStyle w:val="30"/>
                    <w:widowControl/>
                    <w:spacing w:line="240" w:lineRule="auto"/>
                    <w:ind w:firstLine="0" w:firstLineChars="0"/>
                    <w:jc w:val="center"/>
                    <w:rPr>
                      <w:rFonts w:eastAsia="宋体"/>
                      <w:sz w:val="21"/>
                    </w:rPr>
                  </w:pPr>
                </w:p>
              </w:tc>
              <w:tc>
                <w:tcPr>
                  <w:tcW w:w="1400" w:type="dxa"/>
                  <w:vAlign w:val="center"/>
                </w:tcPr>
                <w:p w14:paraId="53D35F60">
                  <w:pPr>
                    <w:pStyle w:val="30"/>
                    <w:widowControl/>
                    <w:spacing w:line="240" w:lineRule="auto"/>
                    <w:ind w:firstLine="0" w:firstLineChars="0"/>
                    <w:jc w:val="center"/>
                    <w:rPr>
                      <w:rFonts w:eastAsia="宋体"/>
                      <w:sz w:val="21"/>
                    </w:rPr>
                  </w:pPr>
                  <w:r>
                    <w:rPr>
                      <w:rFonts w:hint="eastAsia" w:eastAsia="宋体"/>
                      <w:sz w:val="21"/>
                    </w:rPr>
                    <w:t>资源开发利用效率要求</w:t>
                  </w:r>
                </w:p>
              </w:tc>
              <w:tc>
                <w:tcPr>
                  <w:tcW w:w="4650" w:type="dxa"/>
                  <w:vAlign w:val="center"/>
                </w:tcPr>
                <w:p w14:paraId="6EFEC136">
                  <w:pPr>
                    <w:pStyle w:val="30"/>
                    <w:widowControl/>
                    <w:spacing w:line="240" w:lineRule="auto"/>
                    <w:ind w:firstLine="0" w:firstLineChars="0"/>
                    <w:rPr>
                      <w:rFonts w:eastAsia="宋体"/>
                      <w:sz w:val="21"/>
                    </w:rPr>
                  </w:pPr>
                  <w:r>
                    <w:rPr>
                      <w:rFonts w:hint="eastAsia" w:eastAsia="宋体"/>
                      <w:sz w:val="21"/>
                    </w:rPr>
                    <w:t>/</w:t>
                  </w:r>
                </w:p>
              </w:tc>
              <w:tc>
                <w:tcPr>
                  <w:tcW w:w="3866" w:type="dxa"/>
                  <w:vAlign w:val="center"/>
                </w:tcPr>
                <w:p w14:paraId="3E471E91">
                  <w:pPr>
                    <w:pStyle w:val="30"/>
                    <w:widowControl/>
                    <w:spacing w:line="240" w:lineRule="auto"/>
                    <w:ind w:firstLine="0" w:firstLineChars="0"/>
                    <w:jc w:val="center"/>
                    <w:rPr>
                      <w:rFonts w:eastAsia="宋体"/>
                      <w:sz w:val="21"/>
                    </w:rPr>
                  </w:pPr>
                  <w:r>
                    <w:rPr>
                      <w:rFonts w:hint="eastAsia" w:eastAsia="宋体"/>
                      <w:sz w:val="21"/>
                    </w:rPr>
                    <w:t>/</w:t>
                  </w:r>
                </w:p>
              </w:tc>
              <w:tc>
                <w:tcPr>
                  <w:tcW w:w="893" w:type="dxa"/>
                  <w:vAlign w:val="center"/>
                </w:tcPr>
                <w:p w14:paraId="496C7485">
                  <w:pPr>
                    <w:pStyle w:val="30"/>
                    <w:widowControl/>
                    <w:spacing w:line="240" w:lineRule="auto"/>
                    <w:ind w:firstLine="0" w:firstLineChars="0"/>
                    <w:jc w:val="center"/>
                    <w:rPr>
                      <w:rFonts w:eastAsia="宋体"/>
                      <w:sz w:val="21"/>
                    </w:rPr>
                  </w:pPr>
                  <w:r>
                    <w:rPr>
                      <w:rFonts w:hint="eastAsia" w:eastAsia="宋体"/>
                      <w:sz w:val="21"/>
                    </w:rPr>
                    <w:t>/</w:t>
                  </w:r>
                </w:p>
              </w:tc>
            </w:tr>
          </w:tbl>
          <w:p w14:paraId="18EF1B44">
            <w:pPr>
              <w:ind w:firstLine="422"/>
              <w:jc w:val="center"/>
            </w:pPr>
            <w:r>
              <w:rPr>
                <w:rFonts w:hint="eastAsia"/>
                <w:b/>
                <w:bCs/>
                <w:sz w:val="21"/>
                <w:szCs w:val="21"/>
              </w:rPr>
              <w:t>表1-10  本项目与环境管控准入清单和要素管控分区管控要求的符合性分析</w:t>
            </w:r>
          </w:p>
          <w:tbl>
            <w:tblPr>
              <w:tblStyle w:val="19"/>
              <w:tblW w:w="12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933"/>
              <w:gridCol w:w="1400"/>
              <w:gridCol w:w="6383"/>
              <w:gridCol w:w="2150"/>
              <w:gridCol w:w="893"/>
            </w:tblGrid>
            <w:tr w14:paraId="5B0E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2" w:type="dxa"/>
                  <w:gridSpan w:val="4"/>
                </w:tcPr>
                <w:p w14:paraId="27F5AFF5">
                  <w:pPr>
                    <w:pStyle w:val="30"/>
                    <w:widowControl/>
                    <w:spacing w:line="240" w:lineRule="auto"/>
                    <w:ind w:firstLine="0" w:firstLineChars="0"/>
                    <w:jc w:val="center"/>
                    <w:rPr>
                      <w:rFonts w:eastAsia="宋体"/>
                      <w:b/>
                      <w:bCs/>
                      <w:sz w:val="21"/>
                    </w:rPr>
                  </w:pPr>
                  <w:r>
                    <w:rPr>
                      <w:rFonts w:hint="eastAsia" w:eastAsia="宋体"/>
                      <w:b/>
                      <w:bCs/>
                      <w:sz w:val="21"/>
                    </w:rPr>
                    <w:t>“生态环境分区管控”的具体要求</w:t>
                  </w:r>
                </w:p>
              </w:tc>
              <w:tc>
                <w:tcPr>
                  <w:tcW w:w="2150" w:type="dxa"/>
                  <w:vMerge w:val="restart"/>
                  <w:vAlign w:val="center"/>
                </w:tcPr>
                <w:p w14:paraId="176C22F2">
                  <w:pPr>
                    <w:pStyle w:val="30"/>
                    <w:widowControl/>
                    <w:spacing w:line="240" w:lineRule="auto"/>
                    <w:ind w:firstLine="0" w:firstLineChars="0"/>
                    <w:jc w:val="center"/>
                    <w:rPr>
                      <w:rFonts w:eastAsia="宋体"/>
                      <w:b/>
                      <w:bCs/>
                      <w:sz w:val="21"/>
                    </w:rPr>
                  </w:pPr>
                  <w:r>
                    <w:rPr>
                      <w:rFonts w:hint="eastAsia" w:eastAsia="宋体"/>
                      <w:b/>
                      <w:bCs/>
                      <w:sz w:val="21"/>
                    </w:rPr>
                    <w:t>本项目情况</w:t>
                  </w:r>
                </w:p>
              </w:tc>
              <w:tc>
                <w:tcPr>
                  <w:tcW w:w="893" w:type="dxa"/>
                  <w:vMerge w:val="restart"/>
                  <w:vAlign w:val="center"/>
                </w:tcPr>
                <w:p w14:paraId="2A8568B2">
                  <w:pPr>
                    <w:pStyle w:val="30"/>
                    <w:widowControl/>
                    <w:spacing w:line="240" w:lineRule="auto"/>
                    <w:ind w:firstLine="0" w:firstLineChars="0"/>
                    <w:jc w:val="center"/>
                    <w:rPr>
                      <w:rFonts w:eastAsia="宋体"/>
                      <w:b/>
                      <w:bCs/>
                      <w:sz w:val="21"/>
                    </w:rPr>
                  </w:pPr>
                  <w:r>
                    <w:rPr>
                      <w:rFonts w:hint="eastAsia" w:eastAsia="宋体"/>
                      <w:b/>
                      <w:bCs/>
                      <w:sz w:val="21"/>
                    </w:rPr>
                    <w:t>符合性</w:t>
                  </w:r>
                </w:p>
              </w:tc>
            </w:tr>
            <w:tr w14:paraId="2422A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9" w:type="dxa"/>
                  <w:gridSpan w:val="3"/>
                </w:tcPr>
                <w:p w14:paraId="4ABEEC63">
                  <w:pPr>
                    <w:pStyle w:val="30"/>
                    <w:widowControl/>
                    <w:spacing w:line="240" w:lineRule="auto"/>
                    <w:ind w:firstLine="0" w:firstLineChars="0"/>
                    <w:jc w:val="center"/>
                    <w:rPr>
                      <w:rFonts w:eastAsia="宋体"/>
                      <w:b/>
                      <w:bCs/>
                      <w:sz w:val="21"/>
                    </w:rPr>
                  </w:pPr>
                  <w:r>
                    <w:rPr>
                      <w:rFonts w:hint="eastAsia" w:eastAsia="宋体"/>
                      <w:b/>
                      <w:bCs/>
                      <w:sz w:val="21"/>
                    </w:rPr>
                    <w:t>类别</w:t>
                  </w:r>
                </w:p>
              </w:tc>
              <w:tc>
                <w:tcPr>
                  <w:tcW w:w="6383" w:type="dxa"/>
                </w:tcPr>
                <w:p w14:paraId="197F619E">
                  <w:pPr>
                    <w:pStyle w:val="30"/>
                    <w:widowControl/>
                    <w:spacing w:line="240" w:lineRule="auto"/>
                    <w:ind w:firstLine="0" w:firstLineChars="0"/>
                    <w:jc w:val="center"/>
                    <w:rPr>
                      <w:rFonts w:eastAsia="宋体"/>
                      <w:b/>
                      <w:bCs/>
                      <w:sz w:val="21"/>
                    </w:rPr>
                  </w:pPr>
                  <w:r>
                    <w:rPr>
                      <w:rFonts w:hint="eastAsia" w:eastAsia="宋体"/>
                      <w:b/>
                      <w:bCs/>
                      <w:sz w:val="21"/>
                    </w:rPr>
                    <w:t>单元特性管控要求</w:t>
                  </w:r>
                </w:p>
              </w:tc>
              <w:tc>
                <w:tcPr>
                  <w:tcW w:w="2150" w:type="dxa"/>
                  <w:vMerge w:val="continue"/>
                  <w:vAlign w:val="center"/>
                </w:tcPr>
                <w:p w14:paraId="46D0A119">
                  <w:pPr>
                    <w:pStyle w:val="30"/>
                    <w:widowControl/>
                    <w:spacing w:line="240" w:lineRule="auto"/>
                    <w:ind w:firstLine="0" w:firstLineChars="0"/>
                    <w:jc w:val="center"/>
                    <w:rPr>
                      <w:rFonts w:eastAsia="宋体"/>
                      <w:sz w:val="21"/>
                    </w:rPr>
                  </w:pPr>
                </w:p>
              </w:tc>
              <w:tc>
                <w:tcPr>
                  <w:tcW w:w="893" w:type="dxa"/>
                  <w:vMerge w:val="continue"/>
                  <w:vAlign w:val="center"/>
                </w:tcPr>
                <w:p w14:paraId="4CC1067C">
                  <w:pPr>
                    <w:pStyle w:val="30"/>
                    <w:widowControl/>
                    <w:spacing w:line="240" w:lineRule="auto"/>
                    <w:ind w:firstLine="0" w:firstLineChars="0"/>
                    <w:jc w:val="center"/>
                    <w:rPr>
                      <w:rFonts w:eastAsia="宋体"/>
                      <w:sz w:val="21"/>
                    </w:rPr>
                  </w:pPr>
                </w:p>
              </w:tc>
            </w:tr>
            <w:tr w14:paraId="713E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restart"/>
                  <w:vAlign w:val="center"/>
                </w:tcPr>
                <w:p w14:paraId="6108C9B1">
                  <w:pPr>
                    <w:pStyle w:val="30"/>
                    <w:widowControl/>
                    <w:spacing w:line="240" w:lineRule="auto"/>
                    <w:ind w:firstLine="0" w:firstLineChars="0"/>
                    <w:jc w:val="center"/>
                    <w:rPr>
                      <w:rFonts w:eastAsia="宋体"/>
                      <w:sz w:val="21"/>
                    </w:rPr>
                  </w:pPr>
                  <w:r>
                    <w:rPr>
                      <w:rFonts w:hint="eastAsia" w:eastAsia="宋体"/>
                      <w:sz w:val="21"/>
                    </w:rPr>
                    <w:t>ZH51190220001巴州区城镇空间</w:t>
                  </w:r>
                </w:p>
              </w:tc>
              <w:tc>
                <w:tcPr>
                  <w:tcW w:w="933" w:type="dxa"/>
                  <w:vMerge w:val="restart"/>
                  <w:vAlign w:val="center"/>
                </w:tcPr>
                <w:p w14:paraId="292E7F71">
                  <w:pPr>
                    <w:pStyle w:val="30"/>
                    <w:widowControl/>
                    <w:spacing w:line="240" w:lineRule="auto"/>
                    <w:ind w:firstLine="0" w:firstLineChars="0"/>
                    <w:jc w:val="center"/>
                    <w:rPr>
                      <w:rFonts w:eastAsia="宋体"/>
                      <w:sz w:val="21"/>
                    </w:rPr>
                  </w:pPr>
                  <w:r>
                    <w:rPr>
                      <w:rFonts w:hint="eastAsia" w:eastAsia="宋体"/>
                      <w:sz w:val="21"/>
                    </w:rPr>
                    <w:t>重点管控单元</w:t>
                  </w:r>
                </w:p>
              </w:tc>
              <w:tc>
                <w:tcPr>
                  <w:tcW w:w="1400" w:type="dxa"/>
                  <w:vAlign w:val="center"/>
                </w:tcPr>
                <w:p w14:paraId="77DBDA5A">
                  <w:pPr>
                    <w:pStyle w:val="30"/>
                    <w:widowControl/>
                    <w:spacing w:line="240" w:lineRule="auto"/>
                    <w:ind w:firstLine="0" w:firstLineChars="0"/>
                    <w:jc w:val="center"/>
                    <w:rPr>
                      <w:rFonts w:eastAsia="宋体"/>
                      <w:sz w:val="21"/>
                    </w:rPr>
                  </w:pPr>
                  <w:r>
                    <w:rPr>
                      <w:rFonts w:hint="eastAsia" w:eastAsia="宋体"/>
                      <w:sz w:val="21"/>
                    </w:rPr>
                    <w:t>空间布局约束</w:t>
                  </w:r>
                </w:p>
              </w:tc>
              <w:tc>
                <w:tcPr>
                  <w:tcW w:w="6383" w:type="dxa"/>
                  <w:vAlign w:val="center"/>
                </w:tcPr>
                <w:p w14:paraId="4854B9C3">
                  <w:pPr>
                    <w:pStyle w:val="30"/>
                    <w:widowControl/>
                    <w:spacing w:line="240" w:lineRule="auto"/>
                    <w:ind w:firstLine="0" w:firstLineChars="0"/>
                    <w:rPr>
                      <w:rFonts w:eastAsia="宋体"/>
                      <w:sz w:val="21"/>
                    </w:rPr>
                  </w:pPr>
                  <w:r>
                    <w:rPr>
                      <w:rFonts w:hint="eastAsia" w:eastAsia="宋体"/>
                      <w:sz w:val="21"/>
                    </w:rPr>
                    <w:t>【禁止开发建设活动的要求】：</w:t>
                  </w:r>
                </w:p>
                <w:p w14:paraId="75674C79">
                  <w:pPr>
                    <w:pStyle w:val="30"/>
                    <w:widowControl/>
                    <w:spacing w:line="240" w:lineRule="auto"/>
                    <w:ind w:firstLine="0" w:firstLineChars="0"/>
                    <w:rPr>
                      <w:rFonts w:eastAsia="宋体"/>
                      <w:sz w:val="21"/>
                    </w:rPr>
                  </w:pPr>
                  <w:r>
                    <w:rPr>
                      <w:rFonts w:hint="eastAsia" w:eastAsia="宋体"/>
                      <w:sz w:val="21"/>
                    </w:rPr>
                    <w:t>（1）在禁燃区内禁止销售、燃用高污染燃料。禁燃区内禁止新建、扩建燃用高污染燃料的设施；</w:t>
                  </w:r>
                </w:p>
                <w:p w14:paraId="16EDA79C">
                  <w:pPr>
                    <w:pStyle w:val="30"/>
                    <w:widowControl/>
                    <w:spacing w:line="240" w:lineRule="auto"/>
                    <w:ind w:firstLine="0" w:firstLineChars="0"/>
                    <w:rPr>
                      <w:rFonts w:eastAsia="宋体"/>
                      <w:sz w:val="21"/>
                    </w:rPr>
                  </w:pPr>
                  <w:r>
                    <w:rPr>
                      <w:rFonts w:hint="eastAsia" w:eastAsia="宋体"/>
                      <w:sz w:val="21"/>
                    </w:rPr>
                    <w:t>（2）其他执行城镇重点管控单元普适性管控要求。</w:t>
                  </w:r>
                </w:p>
                <w:p w14:paraId="3643C3A5">
                  <w:pPr>
                    <w:pStyle w:val="30"/>
                    <w:widowControl/>
                    <w:spacing w:line="240" w:lineRule="auto"/>
                    <w:ind w:firstLine="0" w:firstLineChars="0"/>
                    <w:rPr>
                      <w:rFonts w:eastAsia="宋体"/>
                      <w:sz w:val="21"/>
                    </w:rPr>
                  </w:pPr>
                  <w:r>
                    <w:rPr>
                      <w:rFonts w:hint="eastAsia" w:eastAsia="宋体"/>
                      <w:sz w:val="21"/>
                    </w:rPr>
                    <w:t>【限制开发建设活动的要求】：</w:t>
                  </w:r>
                </w:p>
                <w:p w14:paraId="60B55EB7">
                  <w:pPr>
                    <w:pStyle w:val="30"/>
                    <w:widowControl/>
                    <w:spacing w:line="240" w:lineRule="auto"/>
                    <w:ind w:firstLine="0" w:firstLineChars="0"/>
                    <w:rPr>
                      <w:rFonts w:eastAsia="宋体"/>
                      <w:sz w:val="21"/>
                    </w:rPr>
                  </w:pPr>
                  <w:r>
                    <w:rPr>
                      <w:rFonts w:hint="eastAsia" w:eastAsia="宋体"/>
                      <w:sz w:val="21"/>
                    </w:rPr>
                    <w:t>（1）城市发展东拓南扩，适度向西向北，呈组团式发展。</w:t>
                  </w:r>
                </w:p>
                <w:p w14:paraId="28FF8127">
                  <w:pPr>
                    <w:pStyle w:val="30"/>
                    <w:widowControl/>
                    <w:spacing w:line="240" w:lineRule="auto"/>
                    <w:ind w:firstLine="0" w:firstLineChars="0"/>
                    <w:rPr>
                      <w:rFonts w:eastAsia="宋体"/>
                      <w:sz w:val="21"/>
                    </w:rPr>
                  </w:pPr>
                  <w:r>
                    <w:rPr>
                      <w:rFonts w:hint="eastAsia" w:eastAsia="宋体"/>
                      <w:sz w:val="21"/>
                    </w:rPr>
                    <w:t>（2）其他执行城镇重点管控单元普适性管控要求。</w:t>
                  </w:r>
                </w:p>
                <w:p w14:paraId="6D0A7382">
                  <w:pPr>
                    <w:pStyle w:val="30"/>
                    <w:widowControl/>
                    <w:spacing w:line="240" w:lineRule="auto"/>
                    <w:ind w:firstLine="0" w:firstLineChars="0"/>
                    <w:rPr>
                      <w:rFonts w:eastAsia="宋体"/>
                      <w:sz w:val="21"/>
                    </w:rPr>
                  </w:pPr>
                  <w:r>
                    <w:rPr>
                      <w:rFonts w:hint="eastAsia" w:eastAsia="宋体"/>
                      <w:sz w:val="21"/>
                    </w:rPr>
                    <w:t>【允许开发建设活动的要求】：</w:t>
                  </w:r>
                </w:p>
                <w:p w14:paraId="44FE20DC">
                  <w:pPr>
                    <w:pStyle w:val="30"/>
                    <w:widowControl/>
                    <w:spacing w:line="240" w:lineRule="auto"/>
                    <w:ind w:firstLine="0" w:firstLineChars="0"/>
                    <w:rPr>
                      <w:rFonts w:eastAsia="宋体"/>
                      <w:sz w:val="21"/>
                    </w:rPr>
                  </w:pPr>
                  <w:r>
                    <w:rPr>
                      <w:rFonts w:hint="eastAsia" w:eastAsia="宋体"/>
                      <w:sz w:val="21"/>
                    </w:rPr>
                    <w:t>/</w:t>
                  </w:r>
                </w:p>
                <w:p w14:paraId="643F81A5">
                  <w:pPr>
                    <w:pStyle w:val="30"/>
                    <w:widowControl/>
                    <w:spacing w:line="240" w:lineRule="auto"/>
                    <w:ind w:firstLine="0" w:firstLineChars="0"/>
                    <w:rPr>
                      <w:rFonts w:eastAsia="宋体"/>
                      <w:sz w:val="21"/>
                    </w:rPr>
                  </w:pPr>
                  <w:r>
                    <w:rPr>
                      <w:rFonts w:hint="eastAsia" w:eastAsia="宋体"/>
                      <w:sz w:val="21"/>
                    </w:rPr>
                    <w:t>【不符合空间布局要求活动的退出要求】：</w:t>
                  </w:r>
                </w:p>
                <w:p w14:paraId="735D7C17">
                  <w:pPr>
                    <w:pStyle w:val="30"/>
                    <w:widowControl/>
                    <w:spacing w:line="240" w:lineRule="auto"/>
                    <w:ind w:firstLine="0" w:firstLineChars="0"/>
                    <w:rPr>
                      <w:rFonts w:eastAsia="宋体"/>
                      <w:sz w:val="21"/>
                    </w:rPr>
                  </w:pPr>
                  <w:r>
                    <w:rPr>
                      <w:rFonts w:hint="eastAsia" w:eastAsia="宋体"/>
                      <w:sz w:val="21"/>
                    </w:rPr>
                    <w:t>执行城镇重点管控单元普适性管控要求。</w:t>
                  </w:r>
                </w:p>
                <w:p w14:paraId="646E86CC">
                  <w:pPr>
                    <w:pStyle w:val="30"/>
                    <w:widowControl/>
                    <w:spacing w:line="240" w:lineRule="auto"/>
                    <w:ind w:firstLine="0" w:firstLineChars="0"/>
                    <w:rPr>
                      <w:rFonts w:eastAsia="宋体"/>
                      <w:sz w:val="21"/>
                    </w:rPr>
                  </w:pPr>
                  <w:r>
                    <w:rPr>
                      <w:rFonts w:hint="eastAsia" w:eastAsia="宋体"/>
                      <w:sz w:val="21"/>
                    </w:rPr>
                    <w:t>【其他空间布局约束要求】：</w:t>
                  </w:r>
                </w:p>
                <w:p w14:paraId="7F363777">
                  <w:pPr>
                    <w:pStyle w:val="30"/>
                    <w:widowControl/>
                    <w:spacing w:line="240" w:lineRule="auto"/>
                    <w:ind w:firstLine="0" w:firstLineChars="0"/>
                    <w:rPr>
                      <w:rFonts w:eastAsia="宋体"/>
                      <w:sz w:val="21"/>
                    </w:rPr>
                  </w:pPr>
                  <w:r>
                    <w:rPr>
                      <w:rFonts w:hint="eastAsia" w:eastAsia="宋体"/>
                      <w:sz w:val="21"/>
                    </w:rPr>
                    <w:t>/</w:t>
                  </w:r>
                </w:p>
              </w:tc>
              <w:tc>
                <w:tcPr>
                  <w:tcW w:w="2150" w:type="dxa"/>
                  <w:vAlign w:val="center"/>
                </w:tcPr>
                <w:p w14:paraId="5DFADDFE">
                  <w:pPr>
                    <w:pStyle w:val="30"/>
                    <w:widowControl/>
                    <w:spacing w:line="240" w:lineRule="auto"/>
                    <w:ind w:firstLine="0" w:firstLineChars="0"/>
                    <w:jc w:val="center"/>
                    <w:rPr>
                      <w:rFonts w:eastAsia="宋体"/>
                      <w:sz w:val="21"/>
                    </w:rPr>
                  </w:pPr>
                  <w:r>
                    <w:rPr>
                      <w:rFonts w:hint="eastAsia" w:eastAsia="宋体"/>
                      <w:sz w:val="21"/>
                    </w:rPr>
                    <w:t>项目不涉及高污染燃料，其他符合城镇重点管控单元普适性管控要求。</w:t>
                  </w:r>
                </w:p>
              </w:tc>
              <w:tc>
                <w:tcPr>
                  <w:tcW w:w="893" w:type="dxa"/>
                  <w:vAlign w:val="center"/>
                </w:tcPr>
                <w:p w14:paraId="7C234C96">
                  <w:pPr>
                    <w:pStyle w:val="30"/>
                    <w:widowControl/>
                    <w:spacing w:line="240" w:lineRule="auto"/>
                    <w:ind w:firstLine="0" w:firstLineChars="0"/>
                    <w:jc w:val="center"/>
                    <w:rPr>
                      <w:rFonts w:eastAsia="宋体"/>
                      <w:sz w:val="21"/>
                    </w:rPr>
                  </w:pPr>
                  <w:r>
                    <w:rPr>
                      <w:rFonts w:hint="eastAsia" w:eastAsia="宋体"/>
                      <w:sz w:val="21"/>
                    </w:rPr>
                    <w:t>符合</w:t>
                  </w:r>
                </w:p>
              </w:tc>
            </w:tr>
            <w:tr w14:paraId="44827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735BBA9E">
                  <w:pPr>
                    <w:pStyle w:val="30"/>
                    <w:widowControl/>
                    <w:spacing w:line="240" w:lineRule="auto"/>
                    <w:ind w:firstLine="0" w:firstLineChars="0"/>
                    <w:jc w:val="center"/>
                    <w:rPr>
                      <w:rFonts w:eastAsia="宋体"/>
                      <w:sz w:val="21"/>
                    </w:rPr>
                  </w:pPr>
                </w:p>
              </w:tc>
              <w:tc>
                <w:tcPr>
                  <w:tcW w:w="933" w:type="dxa"/>
                  <w:vMerge w:val="continue"/>
                  <w:vAlign w:val="center"/>
                </w:tcPr>
                <w:p w14:paraId="211327ED">
                  <w:pPr>
                    <w:pStyle w:val="30"/>
                    <w:widowControl/>
                    <w:spacing w:line="240" w:lineRule="auto"/>
                    <w:ind w:firstLine="0" w:firstLineChars="0"/>
                    <w:jc w:val="center"/>
                    <w:rPr>
                      <w:rFonts w:eastAsia="宋体"/>
                      <w:sz w:val="21"/>
                    </w:rPr>
                  </w:pPr>
                </w:p>
              </w:tc>
              <w:tc>
                <w:tcPr>
                  <w:tcW w:w="1400" w:type="dxa"/>
                  <w:vAlign w:val="center"/>
                </w:tcPr>
                <w:p w14:paraId="76EF718E">
                  <w:pPr>
                    <w:pStyle w:val="30"/>
                    <w:widowControl/>
                    <w:spacing w:line="240" w:lineRule="auto"/>
                    <w:ind w:firstLine="0" w:firstLineChars="0"/>
                    <w:jc w:val="center"/>
                    <w:rPr>
                      <w:rFonts w:eastAsia="宋体"/>
                      <w:sz w:val="21"/>
                    </w:rPr>
                  </w:pPr>
                  <w:r>
                    <w:rPr>
                      <w:rFonts w:hint="eastAsia" w:eastAsia="宋体"/>
                      <w:sz w:val="21"/>
                    </w:rPr>
                    <w:t>污染物排放管控</w:t>
                  </w:r>
                </w:p>
              </w:tc>
              <w:tc>
                <w:tcPr>
                  <w:tcW w:w="6383" w:type="dxa"/>
                  <w:vAlign w:val="center"/>
                </w:tcPr>
                <w:p w14:paraId="5AE45935">
                  <w:pPr>
                    <w:pStyle w:val="30"/>
                    <w:widowControl/>
                    <w:spacing w:line="240" w:lineRule="auto"/>
                    <w:ind w:firstLine="0" w:firstLineChars="0"/>
                    <w:rPr>
                      <w:rFonts w:eastAsia="宋体"/>
                      <w:sz w:val="21"/>
                    </w:rPr>
                  </w:pPr>
                  <w:r>
                    <w:rPr>
                      <w:rFonts w:hint="eastAsia" w:eastAsia="宋体"/>
                      <w:sz w:val="21"/>
                    </w:rPr>
                    <w:t>【现有源提标升级改造】：</w:t>
                  </w:r>
                </w:p>
                <w:p w14:paraId="053F3394">
                  <w:pPr>
                    <w:pStyle w:val="30"/>
                    <w:widowControl/>
                    <w:spacing w:line="240" w:lineRule="auto"/>
                    <w:ind w:firstLine="0" w:firstLineChars="0"/>
                    <w:rPr>
                      <w:rFonts w:eastAsia="宋体"/>
                      <w:sz w:val="21"/>
                    </w:rPr>
                  </w:pPr>
                  <w:r>
                    <w:rPr>
                      <w:rFonts w:hint="eastAsia" w:eastAsia="宋体"/>
                      <w:sz w:val="21"/>
                    </w:rPr>
                    <w:t>（1）严格执行老旧机动车强制报废制度，加快淘汰污染严重的老旧车辆，鼓励使用新能源汽车，加快电动汽车充电桩、天然气加气站等基础设施建设，按期完成国家第五阶段标准车用汽油、柴油升级置换。</w:t>
                  </w:r>
                </w:p>
                <w:p w14:paraId="64AA68C4">
                  <w:pPr>
                    <w:pStyle w:val="30"/>
                    <w:widowControl/>
                    <w:spacing w:line="240" w:lineRule="auto"/>
                    <w:ind w:firstLine="0" w:firstLineChars="0"/>
                    <w:rPr>
                      <w:rFonts w:eastAsia="宋体"/>
                      <w:sz w:val="21"/>
                    </w:rPr>
                  </w:pPr>
                  <w:r>
                    <w:rPr>
                      <w:rFonts w:hint="eastAsia" w:eastAsia="宋体"/>
                      <w:sz w:val="21"/>
                    </w:rPr>
                    <w:t>（2）其他执行城镇重点管控单元普适性管控要求</w:t>
                  </w:r>
                </w:p>
                <w:p w14:paraId="78820349">
                  <w:pPr>
                    <w:pStyle w:val="30"/>
                    <w:widowControl/>
                    <w:spacing w:line="240" w:lineRule="auto"/>
                    <w:ind w:firstLine="0" w:firstLineChars="0"/>
                    <w:rPr>
                      <w:rFonts w:eastAsia="宋体"/>
                      <w:sz w:val="21"/>
                    </w:rPr>
                  </w:pPr>
                  <w:r>
                    <w:rPr>
                      <w:rFonts w:hint="eastAsia" w:eastAsia="宋体"/>
                      <w:sz w:val="21"/>
                    </w:rPr>
                    <w:t>【新增源等量或倍量替代】：</w:t>
                  </w:r>
                </w:p>
                <w:p w14:paraId="2EC510CA">
                  <w:pPr>
                    <w:pStyle w:val="30"/>
                    <w:widowControl/>
                    <w:spacing w:line="240" w:lineRule="auto"/>
                    <w:ind w:firstLine="0" w:firstLineChars="0"/>
                    <w:rPr>
                      <w:rFonts w:eastAsia="宋体"/>
                      <w:sz w:val="21"/>
                    </w:rPr>
                  </w:pPr>
                  <w:r>
                    <w:rPr>
                      <w:rFonts w:hint="eastAsia" w:eastAsia="宋体"/>
                      <w:sz w:val="21"/>
                    </w:rPr>
                    <w:t>执行城镇重点管控单元普适性管控要求</w:t>
                  </w:r>
                </w:p>
                <w:p w14:paraId="5921E63B">
                  <w:pPr>
                    <w:pStyle w:val="30"/>
                    <w:widowControl/>
                    <w:spacing w:line="240" w:lineRule="auto"/>
                    <w:ind w:firstLine="0" w:firstLineChars="0"/>
                    <w:rPr>
                      <w:rFonts w:eastAsia="宋体"/>
                      <w:sz w:val="21"/>
                    </w:rPr>
                  </w:pPr>
                  <w:r>
                    <w:rPr>
                      <w:rFonts w:hint="eastAsia" w:eastAsia="宋体"/>
                      <w:sz w:val="21"/>
                    </w:rPr>
                    <w:t>【新增源排放标准限值】：</w:t>
                  </w:r>
                </w:p>
                <w:p w14:paraId="048A3EE7">
                  <w:pPr>
                    <w:pStyle w:val="30"/>
                    <w:widowControl/>
                    <w:spacing w:line="240" w:lineRule="auto"/>
                    <w:ind w:firstLine="0" w:firstLineChars="0"/>
                    <w:rPr>
                      <w:rFonts w:eastAsia="宋体"/>
                      <w:sz w:val="21"/>
                    </w:rPr>
                  </w:pPr>
                  <w:r>
                    <w:rPr>
                      <w:rFonts w:hint="eastAsia" w:eastAsia="宋体"/>
                      <w:sz w:val="21"/>
                    </w:rPr>
                    <w:t>执行城镇重点管控单元普适性管控要求。</w:t>
                  </w:r>
                </w:p>
                <w:p w14:paraId="469BD2C0">
                  <w:pPr>
                    <w:pStyle w:val="30"/>
                    <w:widowControl/>
                    <w:spacing w:line="240" w:lineRule="auto"/>
                    <w:ind w:firstLine="0" w:firstLineChars="0"/>
                    <w:rPr>
                      <w:rFonts w:eastAsia="宋体"/>
                      <w:sz w:val="21"/>
                    </w:rPr>
                  </w:pPr>
                  <w:r>
                    <w:rPr>
                      <w:rFonts w:hint="eastAsia" w:eastAsia="宋体"/>
                      <w:sz w:val="21"/>
                    </w:rPr>
                    <w:t>【污染物排放绩效水平准入要求】；</w:t>
                  </w:r>
                </w:p>
                <w:p w14:paraId="62F0D761">
                  <w:pPr>
                    <w:pStyle w:val="30"/>
                    <w:widowControl/>
                    <w:spacing w:line="240" w:lineRule="auto"/>
                    <w:ind w:firstLine="0" w:firstLineChars="0"/>
                    <w:rPr>
                      <w:rFonts w:eastAsia="宋体"/>
                      <w:sz w:val="21"/>
                    </w:rPr>
                  </w:pPr>
                  <w:r>
                    <w:rPr>
                      <w:rFonts w:hint="eastAsia" w:eastAsia="宋体"/>
                      <w:sz w:val="21"/>
                    </w:rPr>
                    <w:t>执行城镇重点管控单元普适性管控要求</w:t>
                  </w:r>
                </w:p>
                <w:p w14:paraId="4C8396F4">
                  <w:pPr>
                    <w:pStyle w:val="30"/>
                    <w:widowControl/>
                    <w:spacing w:line="240" w:lineRule="auto"/>
                    <w:ind w:firstLine="0" w:firstLineChars="0"/>
                    <w:rPr>
                      <w:rFonts w:eastAsia="宋体"/>
                      <w:sz w:val="21"/>
                    </w:rPr>
                  </w:pPr>
                  <w:r>
                    <w:rPr>
                      <w:rFonts w:hint="eastAsia" w:eastAsia="宋体"/>
                      <w:sz w:val="21"/>
                    </w:rPr>
                    <w:t>【其他污染物排放管控要求】：</w:t>
                  </w:r>
                </w:p>
                <w:p w14:paraId="6F42EC00">
                  <w:pPr>
                    <w:pStyle w:val="30"/>
                    <w:widowControl/>
                    <w:spacing w:line="240" w:lineRule="auto"/>
                    <w:ind w:firstLine="0" w:firstLineChars="0"/>
                    <w:rPr>
                      <w:rFonts w:eastAsia="宋体"/>
                      <w:sz w:val="21"/>
                    </w:rPr>
                  </w:pPr>
                  <w:r>
                    <w:rPr>
                      <w:rFonts w:hint="eastAsia" w:eastAsia="宋体"/>
                      <w:sz w:val="21"/>
                    </w:rPr>
                    <w:t>/</w:t>
                  </w:r>
                </w:p>
              </w:tc>
              <w:tc>
                <w:tcPr>
                  <w:tcW w:w="2150" w:type="dxa"/>
                  <w:vAlign w:val="center"/>
                </w:tcPr>
                <w:p w14:paraId="7564A246">
                  <w:pPr>
                    <w:pStyle w:val="30"/>
                    <w:widowControl/>
                    <w:spacing w:line="240" w:lineRule="auto"/>
                    <w:ind w:firstLine="0" w:firstLineChars="0"/>
                    <w:jc w:val="center"/>
                    <w:rPr>
                      <w:rFonts w:eastAsia="宋体"/>
                      <w:sz w:val="21"/>
                    </w:rPr>
                  </w:pPr>
                  <w:r>
                    <w:rPr>
                      <w:rFonts w:hint="eastAsia" w:eastAsia="宋体"/>
                      <w:sz w:val="21"/>
                    </w:rPr>
                    <w:t>本项目不涉及。</w:t>
                  </w:r>
                </w:p>
              </w:tc>
              <w:tc>
                <w:tcPr>
                  <w:tcW w:w="893" w:type="dxa"/>
                  <w:vAlign w:val="center"/>
                </w:tcPr>
                <w:p w14:paraId="30B25563">
                  <w:pPr>
                    <w:pStyle w:val="30"/>
                    <w:widowControl/>
                    <w:spacing w:line="240" w:lineRule="auto"/>
                    <w:ind w:firstLine="0" w:firstLineChars="0"/>
                    <w:jc w:val="center"/>
                    <w:rPr>
                      <w:rFonts w:eastAsia="宋体"/>
                      <w:sz w:val="21"/>
                    </w:rPr>
                  </w:pPr>
                  <w:r>
                    <w:rPr>
                      <w:rFonts w:hint="eastAsia" w:eastAsia="宋体"/>
                      <w:sz w:val="21"/>
                    </w:rPr>
                    <w:t>符合</w:t>
                  </w:r>
                </w:p>
              </w:tc>
            </w:tr>
            <w:tr w14:paraId="4D30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5C2E6C38">
                  <w:pPr>
                    <w:pStyle w:val="30"/>
                    <w:widowControl/>
                    <w:spacing w:line="240" w:lineRule="auto"/>
                    <w:ind w:firstLine="0" w:firstLineChars="0"/>
                    <w:jc w:val="center"/>
                    <w:rPr>
                      <w:rFonts w:eastAsia="宋体"/>
                      <w:sz w:val="21"/>
                    </w:rPr>
                  </w:pPr>
                </w:p>
              </w:tc>
              <w:tc>
                <w:tcPr>
                  <w:tcW w:w="933" w:type="dxa"/>
                  <w:vMerge w:val="continue"/>
                  <w:vAlign w:val="center"/>
                </w:tcPr>
                <w:p w14:paraId="7BFA8592">
                  <w:pPr>
                    <w:pStyle w:val="30"/>
                    <w:widowControl/>
                    <w:spacing w:line="240" w:lineRule="auto"/>
                    <w:ind w:firstLine="0" w:firstLineChars="0"/>
                    <w:jc w:val="center"/>
                    <w:rPr>
                      <w:rFonts w:eastAsia="宋体"/>
                      <w:sz w:val="21"/>
                    </w:rPr>
                  </w:pPr>
                </w:p>
              </w:tc>
              <w:tc>
                <w:tcPr>
                  <w:tcW w:w="1400" w:type="dxa"/>
                  <w:vAlign w:val="center"/>
                </w:tcPr>
                <w:p w14:paraId="54E31B16">
                  <w:pPr>
                    <w:pStyle w:val="30"/>
                    <w:widowControl/>
                    <w:spacing w:line="240" w:lineRule="auto"/>
                    <w:ind w:firstLine="0" w:firstLineChars="0"/>
                    <w:jc w:val="center"/>
                    <w:rPr>
                      <w:rFonts w:eastAsia="宋体"/>
                      <w:sz w:val="21"/>
                    </w:rPr>
                  </w:pPr>
                  <w:r>
                    <w:rPr>
                      <w:rFonts w:hint="eastAsia" w:eastAsia="宋体"/>
                      <w:sz w:val="21"/>
                    </w:rPr>
                    <w:t>环境风险防控</w:t>
                  </w:r>
                </w:p>
              </w:tc>
              <w:tc>
                <w:tcPr>
                  <w:tcW w:w="6383" w:type="dxa"/>
                  <w:vAlign w:val="center"/>
                </w:tcPr>
                <w:p w14:paraId="27930E4F">
                  <w:pPr>
                    <w:pStyle w:val="30"/>
                    <w:widowControl/>
                    <w:spacing w:line="240" w:lineRule="auto"/>
                    <w:ind w:firstLine="0" w:firstLineChars="0"/>
                    <w:rPr>
                      <w:rFonts w:eastAsia="宋体"/>
                      <w:sz w:val="21"/>
                    </w:rPr>
                  </w:pPr>
                  <w:r>
                    <w:rPr>
                      <w:rFonts w:hint="eastAsia" w:eastAsia="宋体"/>
                      <w:sz w:val="21"/>
                    </w:rPr>
                    <w:t>【严格管控类农用地管控要求】：</w:t>
                  </w:r>
                </w:p>
                <w:p w14:paraId="4F98B514">
                  <w:pPr>
                    <w:pStyle w:val="30"/>
                    <w:widowControl/>
                    <w:spacing w:line="240" w:lineRule="auto"/>
                    <w:ind w:firstLine="0" w:firstLineChars="0"/>
                    <w:rPr>
                      <w:rFonts w:eastAsia="宋体"/>
                      <w:sz w:val="21"/>
                    </w:rPr>
                  </w:pPr>
                  <w:r>
                    <w:rPr>
                      <w:rFonts w:hint="eastAsia" w:eastAsia="宋体"/>
                      <w:sz w:val="21"/>
                    </w:rPr>
                    <w:t>执行城镇重点管控单元普适性管控要求</w:t>
                  </w:r>
                </w:p>
                <w:p w14:paraId="3067ABF0">
                  <w:pPr>
                    <w:pStyle w:val="30"/>
                    <w:widowControl/>
                    <w:spacing w:line="240" w:lineRule="auto"/>
                    <w:ind w:firstLine="0" w:firstLineChars="0"/>
                    <w:rPr>
                      <w:rFonts w:eastAsia="宋体"/>
                      <w:sz w:val="21"/>
                    </w:rPr>
                  </w:pPr>
                  <w:r>
                    <w:rPr>
                      <w:rFonts w:hint="eastAsia" w:eastAsia="宋体"/>
                      <w:sz w:val="21"/>
                    </w:rPr>
                    <w:t>【安全利用类农用地管控要求】：</w:t>
                  </w:r>
                </w:p>
                <w:p w14:paraId="143BF0B4">
                  <w:pPr>
                    <w:pStyle w:val="30"/>
                    <w:widowControl/>
                    <w:spacing w:line="240" w:lineRule="auto"/>
                    <w:ind w:firstLine="0" w:firstLineChars="0"/>
                    <w:rPr>
                      <w:rFonts w:eastAsia="宋体"/>
                      <w:sz w:val="21"/>
                    </w:rPr>
                  </w:pPr>
                  <w:r>
                    <w:rPr>
                      <w:rFonts w:hint="eastAsia" w:eastAsia="宋体"/>
                      <w:sz w:val="21"/>
                    </w:rPr>
                    <w:t>执行城镇重点管控单元普适性管控要求</w:t>
                  </w:r>
                </w:p>
                <w:p w14:paraId="5A8DED0D">
                  <w:pPr>
                    <w:pStyle w:val="30"/>
                    <w:widowControl/>
                    <w:spacing w:line="240" w:lineRule="auto"/>
                    <w:ind w:firstLine="0" w:firstLineChars="0"/>
                    <w:rPr>
                      <w:rFonts w:eastAsia="宋体"/>
                      <w:sz w:val="21"/>
                    </w:rPr>
                  </w:pPr>
                  <w:r>
                    <w:rPr>
                      <w:rFonts w:hint="eastAsia" w:eastAsia="宋体"/>
                      <w:sz w:val="21"/>
                    </w:rPr>
                    <w:t>【污染地块管控要求】：</w:t>
                  </w:r>
                </w:p>
                <w:p w14:paraId="11CBE664">
                  <w:pPr>
                    <w:pStyle w:val="30"/>
                    <w:widowControl/>
                    <w:spacing w:line="240" w:lineRule="auto"/>
                    <w:ind w:firstLine="0" w:firstLineChars="0"/>
                    <w:rPr>
                      <w:rFonts w:eastAsia="宋体"/>
                      <w:sz w:val="21"/>
                    </w:rPr>
                  </w:pPr>
                  <w:r>
                    <w:rPr>
                      <w:rFonts w:hint="eastAsia" w:eastAsia="宋体"/>
                      <w:sz w:val="21"/>
                    </w:rPr>
                    <w:t>执行城镇重点管控单元普适性管控要求</w:t>
                  </w:r>
                </w:p>
                <w:p w14:paraId="56523590">
                  <w:pPr>
                    <w:pStyle w:val="30"/>
                    <w:widowControl/>
                    <w:spacing w:line="240" w:lineRule="auto"/>
                    <w:ind w:firstLine="0" w:firstLineChars="0"/>
                    <w:rPr>
                      <w:rFonts w:eastAsia="宋体"/>
                      <w:sz w:val="21"/>
                    </w:rPr>
                  </w:pPr>
                  <w:r>
                    <w:rPr>
                      <w:rFonts w:hint="eastAsia" w:eastAsia="宋体"/>
                      <w:sz w:val="21"/>
                    </w:rPr>
                    <w:t>【企业环境风险防控要求】：</w:t>
                  </w:r>
                </w:p>
                <w:p w14:paraId="2ADDA7BC">
                  <w:pPr>
                    <w:pStyle w:val="30"/>
                    <w:widowControl/>
                    <w:spacing w:line="240" w:lineRule="auto"/>
                    <w:ind w:firstLine="0" w:firstLineChars="0"/>
                    <w:rPr>
                      <w:rFonts w:eastAsia="宋体"/>
                      <w:sz w:val="21"/>
                    </w:rPr>
                  </w:pPr>
                  <w:r>
                    <w:rPr>
                      <w:rFonts w:hint="eastAsia" w:eastAsia="宋体"/>
                      <w:sz w:val="21"/>
                    </w:rPr>
                    <w:t>执行城镇重点管控单元普适性管控要求</w:t>
                  </w:r>
                </w:p>
                <w:p w14:paraId="1478A9A5">
                  <w:pPr>
                    <w:pStyle w:val="30"/>
                    <w:widowControl/>
                    <w:spacing w:line="240" w:lineRule="auto"/>
                    <w:ind w:firstLine="0" w:firstLineChars="0"/>
                    <w:rPr>
                      <w:rFonts w:eastAsia="宋体"/>
                      <w:sz w:val="21"/>
                    </w:rPr>
                  </w:pPr>
                  <w:r>
                    <w:rPr>
                      <w:rFonts w:hint="eastAsia" w:eastAsia="宋体"/>
                      <w:sz w:val="21"/>
                    </w:rPr>
                    <w:t>【其他环境风险防控要求】：</w:t>
                  </w:r>
                </w:p>
                <w:p w14:paraId="7410EA51">
                  <w:pPr>
                    <w:pStyle w:val="30"/>
                    <w:widowControl/>
                    <w:spacing w:line="240" w:lineRule="auto"/>
                    <w:ind w:firstLine="0" w:firstLineChars="0"/>
                    <w:rPr>
                      <w:rFonts w:eastAsia="宋体"/>
                      <w:sz w:val="21"/>
                    </w:rPr>
                  </w:pPr>
                  <w:r>
                    <w:rPr>
                      <w:rFonts w:hint="eastAsia" w:eastAsia="宋体"/>
                      <w:sz w:val="21"/>
                    </w:rPr>
                    <w:t>/</w:t>
                  </w:r>
                </w:p>
              </w:tc>
              <w:tc>
                <w:tcPr>
                  <w:tcW w:w="2150" w:type="dxa"/>
                  <w:vAlign w:val="center"/>
                </w:tcPr>
                <w:p w14:paraId="47FA1B4A">
                  <w:pPr>
                    <w:pStyle w:val="30"/>
                    <w:widowControl/>
                    <w:spacing w:line="240" w:lineRule="auto"/>
                    <w:ind w:firstLine="0" w:firstLineChars="0"/>
                    <w:jc w:val="center"/>
                    <w:rPr>
                      <w:rFonts w:eastAsia="宋体"/>
                      <w:sz w:val="21"/>
                    </w:rPr>
                  </w:pPr>
                  <w:r>
                    <w:rPr>
                      <w:rFonts w:hint="eastAsia" w:eastAsia="宋体"/>
                      <w:sz w:val="21"/>
                    </w:rPr>
                    <w:t>项目符合城镇重点管控单元普适性管控要求。</w:t>
                  </w:r>
                </w:p>
              </w:tc>
              <w:tc>
                <w:tcPr>
                  <w:tcW w:w="893" w:type="dxa"/>
                  <w:vAlign w:val="center"/>
                </w:tcPr>
                <w:p w14:paraId="60F5B515">
                  <w:pPr>
                    <w:pStyle w:val="30"/>
                    <w:widowControl/>
                    <w:spacing w:line="240" w:lineRule="auto"/>
                    <w:ind w:firstLine="0" w:firstLineChars="0"/>
                    <w:jc w:val="center"/>
                    <w:rPr>
                      <w:rFonts w:eastAsia="宋体"/>
                      <w:sz w:val="21"/>
                    </w:rPr>
                  </w:pPr>
                  <w:r>
                    <w:rPr>
                      <w:rFonts w:hint="eastAsia" w:eastAsia="宋体"/>
                      <w:sz w:val="21"/>
                    </w:rPr>
                    <w:t>符合</w:t>
                  </w:r>
                </w:p>
              </w:tc>
            </w:tr>
            <w:tr w14:paraId="3DF5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624BEDA7">
                  <w:pPr>
                    <w:pStyle w:val="30"/>
                    <w:widowControl/>
                    <w:spacing w:line="240" w:lineRule="auto"/>
                    <w:ind w:firstLine="0" w:firstLineChars="0"/>
                    <w:jc w:val="center"/>
                    <w:rPr>
                      <w:rFonts w:eastAsia="宋体"/>
                      <w:sz w:val="21"/>
                    </w:rPr>
                  </w:pPr>
                </w:p>
              </w:tc>
              <w:tc>
                <w:tcPr>
                  <w:tcW w:w="933" w:type="dxa"/>
                  <w:vMerge w:val="continue"/>
                  <w:vAlign w:val="center"/>
                </w:tcPr>
                <w:p w14:paraId="15E9056C">
                  <w:pPr>
                    <w:pStyle w:val="30"/>
                    <w:widowControl/>
                    <w:spacing w:line="240" w:lineRule="auto"/>
                    <w:ind w:firstLine="0" w:firstLineChars="0"/>
                    <w:jc w:val="center"/>
                    <w:rPr>
                      <w:rFonts w:eastAsia="宋体"/>
                      <w:sz w:val="21"/>
                    </w:rPr>
                  </w:pPr>
                </w:p>
              </w:tc>
              <w:tc>
                <w:tcPr>
                  <w:tcW w:w="1400" w:type="dxa"/>
                  <w:vAlign w:val="center"/>
                </w:tcPr>
                <w:p w14:paraId="2781CD56">
                  <w:pPr>
                    <w:pStyle w:val="30"/>
                    <w:widowControl/>
                    <w:spacing w:line="240" w:lineRule="auto"/>
                    <w:ind w:firstLine="0" w:firstLineChars="0"/>
                    <w:jc w:val="center"/>
                    <w:rPr>
                      <w:rFonts w:eastAsia="宋体"/>
                      <w:sz w:val="21"/>
                    </w:rPr>
                  </w:pPr>
                  <w:r>
                    <w:rPr>
                      <w:rFonts w:hint="eastAsia" w:eastAsia="宋体"/>
                      <w:sz w:val="21"/>
                    </w:rPr>
                    <w:t>资源开发利用效率要求</w:t>
                  </w:r>
                </w:p>
              </w:tc>
              <w:tc>
                <w:tcPr>
                  <w:tcW w:w="6383" w:type="dxa"/>
                  <w:vAlign w:val="center"/>
                </w:tcPr>
                <w:p w14:paraId="39AF328F">
                  <w:pPr>
                    <w:pStyle w:val="30"/>
                    <w:widowControl/>
                    <w:spacing w:line="240" w:lineRule="auto"/>
                    <w:ind w:firstLine="0" w:firstLineChars="0"/>
                    <w:rPr>
                      <w:rFonts w:eastAsia="宋体"/>
                      <w:sz w:val="21"/>
                    </w:rPr>
                  </w:pPr>
                  <w:r>
                    <w:rPr>
                      <w:rFonts w:hint="eastAsia" w:eastAsia="宋体"/>
                      <w:sz w:val="21"/>
                    </w:rPr>
                    <w:t>【水资源利用效率要求】：</w:t>
                  </w:r>
                </w:p>
                <w:p w14:paraId="11337B62">
                  <w:pPr>
                    <w:pStyle w:val="30"/>
                    <w:widowControl/>
                    <w:spacing w:line="240" w:lineRule="auto"/>
                    <w:ind w:firstLine="0" w:firstLineChars="0"/>
                    <w:rPr>
                      <w:rFonts w:eastAsia="宋体"/>
                      <w:sz w:val="21"/>
                    </w:rPr>
                  </w:pPr>
                  <w:r>
                    <w:rPr>
                      <w:rFonts w:hint="eastAsia" w:eastAsia="宋体"/>
                      <w:sz w:val="21"/>
                    </w:rPr>
                    <w:t>执行城镇重点管控单元普适性管控要求</w:t>
                  </w:r>
                </w:p>
                <w:p w14:paraId="7F11137F">
                  <w:pPr>
                    <w:pStyle w:val="30"/>
                    <w:widowControl/>
                    <w:spacing w:line="240" w:lineRule="auto"/>
                    <w:ind w:firstLine="0" w:firstLineChars="0"/>
                    <w:rPr>
                      <w:rFonts w:eastAsia="宋体"/>
                      <w:sz w:val="21"/>
                    </w:rPr>
                  </w:pPr>
                  <w:r>
                    <w:rPr>
                      <w:rFonts w:hint="eastAsia" w:eastAsia="宋体"/>
                      <w:sz w:val="21"/>
                    </w:rPr>
                    <w:t>【地下水开采要求】：</w:t>
                  </w:r>
                </w:p>
                <w:p w14:paraId="4D25F87B">
                  <w:pPr>
                    <w:pStyle w:val="30"/>
                    <w:widowControl/>
                    <w:spacing w:line="240" w:lineRule="auto"/>
                    <w:ind w:firstLine="0" w:firstLineChars="0"/>
                    <w:rPr>
                      <w:rFonts w:eastAsia="宋体"/>
                      <w:sz w:val="21"/>
                    </w:rPr>
                  </w:pPr>
                  <w:r>
                    <w:rPr>
                      <w:rFonts w:hint="eastAsia" w:eastAsia="宋体"/>
                      <w:sz w:val="21"/>
                    </w:rPr>
                    <w:t>执行城镇重点管控单元普适性管控要求</w:t>
                  </w:r>
                </w:p>
                <w:p w14:paraId="44BA5E93">
                  <w:pPr>
                    <w:pStyle w:val="30"/>
                    <w:widowControl/>
                    <w:spacing w:line="240" w:lineRule="auto"/>
                    <w:ind w:firstLine="0" w:firstLineChars="0"/>
                    <w:rPr>
                      <w:rFonts w:eastAsia="宋体"/>
                      <w:sz w:val="21"/>
                    </w:rPr>
                  </w:pPr>
                  <w:r>
                    <w:rPr>
                      <w:rFonts w:hint="eastAsia" w:eastAsia="宋体"/>
                      <w:sz w:val="21"/>
                    </w:rPr>
                    <w:t>【能源利用效率要求】：</w:t>
                  </w:r>
                </w:p>
                <w:p w14:paraId="3CCB09B7">
                  <w:pPr>
                    <w:pStyle w:val="30"/>
                    <w:widowControl/>
                    <w:spacing w:line="240" w:lineRule="auto"/>
                    <w:ind w:firstLine="0" w:firstLineChars="0"/>
                    <w:rPr>
                      <w:rFonts w:eastAsia="宋体"/>
                      <w:sz w:val="21"/>
                    </w:rPr>
                  </w:pPr>
                  <w:r>
                    <w:rPr>
                      <w:rFonts w:hint="eastAsia" w:eastAsia="宋体"/>
                      <w:sz w:val="21"/>
                    </w:rPr>
                    <w:t>执行城镇重点管控单元普适性管控要求</w:t>
                  </w:r>
                </w:p>
                <w:p w14:paraId="544082ED">
                  <w:pPr>
                    <w:pStyle w:val="30"/>
                    <w:widowControl/>
                    <w:spacing w:line="240" w:lineRule="auto"/>
                    <w:ind w:firstLine="0" w:firstLineChars="0"/>
                    <w:rPr>
                      <w:rFonts w:eastAsia="宋体"/>
                      <w:sz w:val="21"/>
                    </w:rPr>
                  </w:pPr>
                  <w:r>
                    <w:rPr>
                      <w:rFonts w:hint="eastAsia" w:eastAsia="宋体"/>
                      <w:sz w:val="21"/>
                    </w:rPr>
                    <w:t>【其他资源利用效率要求】：</w:t>
                  </w:r>
                </w:p>
                <w:p w14:paraId="49EBA8F2">
                  <w:pPr>
                    <w:pStyle w:val="30"/>
                    <w:widowControl/>
                    <w:spacing w:line="240" w:lineRule="auto"/>
                    <w:ind w:firstLine="0" w:firstLineChars="0"/>
                    <w:rPr>
                      <w:rFonts w:eastAsia="宋体"/>
                      <w:sz w:val="21"/>
                    </w:rPr>
                  </w:pPr>
                  <w:r>
                    <w:rPr>
                      <w:rFonts w:hint="eastAsia" w:eastAsia="宋体"/>
                      <w:sz w:val="21"/>
                    </w:rPr>
                    <w:t>/</w:t>
                  </w:r>
                </w:p>
              </w:tc>
              <w:tc>
                <w:tcPr>
                  <w:tcW w:w="2150" w:type="dxa"/>
                  <w:vAlign w:val="center"/>
                </w:tcPr>
                <w:p w14:paraId="70BD2680">
                  <w:pPr>
                    <w:pStyle w:val="30"/>
                    <w:widowControl/>
                    <w:spacing w:line="240" w:lineRule="auto"/>
                    <w:ind w:firstLine="0" w:firstLineChars="0"/>
                    <w:jc w:val="center"/>
                    <w:rPr>
                      <w:rFonts w:eastAsia="宋体"/>
                      <w:sz w:val="21"/>
                    </w:rPr>
                  </w:pPr>
                  <w:r>
                    <w:rPr>
                      <w:rFonts w:hint="eastAsia" w:eastAsia="宋体"/>
                      <w:sz w:val="21"/>
                    </w:rPr>
                    <w:t>项目不涉及地下水开采，其他符合城镇重点管控单元普适性管控要求。</w:t>
                  </w:r>
                </w:p>
              </w:tc>
              <w:tc>
                <w:tcPr>
                  <w:tcW w:w="893" w:type="dxa"/>
                  <w:vAlign w:val="center"/>
                </w:tcPr>
                <w:p w14:paraId="237AED7E">
                  <w:pPr>
                    <w:pStyle w:val="30"/>
                    <w:widowControl/>
                    <w:spacing w:line="240" w:lineRule="auto"/>
                    <w:ind w:firstLine="0" w:firstLineChars="0"/>
                    <w:jc w:val="center"/>
                    <w:rPr>
                      <w:rFonts w:eastAsia="宋体"/>
                      <w:sz w:val="21"/>
                    </w:rPr>
                  </w:pPr>
                  <w:r>
                    <w:rPr>
                      <w:rFonts w:hint="eastAsia" w:eastAsia="宋体"/>
                      <w:sz w:val="21"/>
                    </w:rPr>
                    <w:t>符合</w:t>
                  </w:r>
                </w:p>
              </w:tc>
            </w:tr>
            <w:tr w14:paraId="0EA77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6" w:hRule="atLeast"/>
              </w:trPr>
              <w:tc>
                <w:tcPr>
                  <w:tcW w:w="1006" w:type="dxa"/>
                  <w:vMerge w:val="restart"/>
                  <w:vAlign w:val="center"/>
                </w:tcPr>
                <w:p w14:paraId="1A6BE266">
                  <w:pPr>
                    <w:pStyle w:val="30"/>
                    <w:widowControl/>
                    <w:spacing w:line="240" w:lineRule="auto"/>
                    <w:ind w:firstLine="0" w:firstLineChars="0"/>
                    <w:jc w:val="center"/>
                    <w:rPr>
                      <w:rFonts w:eastAsia="宋体"/>
                      <w:sz w:val="21"/>
                    </w:rPr>
                  </w:pPr>
                  <w:r>
                    <w:rPr>
                      <w:rFonts w:hint="eastAsia" w:eastAsia="宋体"/>
                      <w:sz w:val="21"/>
                    </w:rPr>
                    <w:t>YS5119022610001渠江江河湖库岸线重点管控区</w:t>
                  </w:r>
                </w:p>
              </w:tc>
              <w:tc>
                <w:tcPr>
                  <w:tcW w:w="933" w:type="dxa"/>
                  <w:vMerge w:val="restart"/>
                  <w:vAlign w:val="center"/>
                </w:tcPr>
                <w:p w14:paraId="37D931F4">
                  <w:pPr>
                    <w:pStyle w:val="30"/>
                    <w:widowControl/>
                    <w:spacing w:line="240" w:lineRule="auto"/>
                    <w:ind w:firstLine="0" w:firstLineChars="0"/>
                    <w:jc w:val="center"/>
                    <w:rPr>
                      <w:rFonts w:eastAsia="宋体"/>
                      <w:sz w:val="21"/>
                    </w:rPr>
                  </w:pPr>
                  <w:r>
                    <w:rPr>
                      <w:rFonts w:hint="eastAsia" w:eastAsia="宋体"/>
                      <w:sz w:val="21"/>
                    </w:rPr>
                    <w:t>江河湖库岸线重点管控区</w:t>
                  </w:r>
                </w:p>
              </w:tc>
              <w:tc>
                <w:tcPr>
                  <w:tcW w:w="1400" w:type="dxa"/>
                  <w:vAlign w:val="center"/>
                </w:tcPr>
                <w:p w14:paraId="225E41BF">
                  <w:pPr>
                    <w:pStyle w:val="30"/>
                    <w:widowControl/>
                    <w:spacing w:line="240" w:lineRule="auto"/>
                    <w:ind w:firstLine="0" w:firstLineChars="0"/>
                    <w:jc w:val="center"/>
                    <w:rPr>
                      <w:rFonts w:eastAsia="宋体"/>
                      <w:sz w:val="21"/>
                    </w:rPr>
                  </w:pPr>
                  <w:r>
                    <w:rPr>
                      <w:rFonts w:hint="eastAsia" w:eastAsia="宋体"/>
                      <w:sz w:val="21"/>
                    </w:rPr>
                    <w:t>空间布局约束</w:t>
                  </w:r>
                </w:p>
              </w:tc>
              <w:tc>
                <w:tcPr>
                  <w:tcW w:w="6383" w:type="dxa"/>
                  <w:vAlign w:val="center"/>
                </w:tcPr>
                <w:p w14:paraId="150D09A4">
                  <w:pPr>
                    <w:pStyle w:val="30"/>
                    <w:widowControl/>
                    <w:spacing w:line="240" w:lineRule="auto"/>
                    <w:ind w:firstLine="0" w:firstLineChars="0"/>
                    <w:rPr>
                      <w:rFonts w:eastAsia="宋体"/>
                      <w:sz w:val="21"/>
                    </w:rPr>
                  </w:pPr>
                  <w:r>
                    <w:rPr>
                      <w:rFonts w:hint="eastAsia" w:eastAsia="宋体"/>
                      <w:sz w:val="21"/>
                    </w:rPr>
                    <w:t>【禁止开发建设活动的要求】：</w:t>
                  </w:r>
                </w:p>
                <w:p w14:paraId="30379678">
                  <w:pPr>
                    <w:pStyle w:val="30"/>
                    <w:widowControl/>
                    <w:spacing w:line="240" w:lineRule="auto"/>
                    <w:ind w:firstLine="0" w:firstLineChars="0"/>
                    <w:rPr>
                      <w:rFonts w:eastAsia="宋体"/>
                      <w:sz w:val="21"/>
                    </w:rPr>
                  </w:pPr>
                  <w:r>
                    <w:rPr>
                      <w:rFonts w:hint="eastAsia" w:eastAsia="宋体"/>
                      <w:sz w:val="21"/>
                    </w:rPr>
                    <w:t>1.严格控制新增开发利用项目的数量和类型，应按照国土、城市、水利、交通等相关规划，合理控制整体开发规模和强度，新建和改扩建项目必须严格论证，不得加大对防洪安全、河势稳定、供水安全、航道稳定的累计不利影响。2.严格控制项目类型和开发利用方式，不得加剧险情或影响今后险工险段治理，不得违反生态敏感区特定保护目标。除建设生态公园、河滩风光带等社会公益性项目外，一般不得建设其他项目设施。</w:t>
                  </w:r>
                </w:p>
              </w:tc>
              <w:tc>
                <w:tcPr>
                  <w:tcW w:w="2150" w:type="dxa"/>
                  <w:vAlign w:val="center"/>
                </w:tcPr>
                <w:p w14:paraId="5F9454C8">
                  <w:pPr>
                    <w:pStyle w:val="30"/>
                    <w:widowControl/>
                    <w:spacing w:line="240" w:lineRule="auto"/>
                    <w:ind w:firstLine="0" w:firstLineChars="0"/>
                    <w:jc w:val="center"/>
                    <w:rPr>
                      <w:rFonts w:eastAsia="宋体"/>
                      <w:sz w:val="21"/>
                    </w:rPr>
                  </w:pPr>
                  <w:r>
                    <w:rPr>
                      <w:rFonts w:hint="eastAsia" w:eastAsia="宋体"/>
                      <w:sz w:val="21"/>
                    </w:rPr>
                    <w:t>本项目为檬子河流域水环境综合治理工程。工程通过新建拦河控流闸坝稳定河道生态水位、消除季节性断流，配套实施生态护岸、生态植草沟、植被带等水土保持与生境修复措施，构建连续河流生态廊道，提升流域水源涵养与水体自净能力；闸坝汛期全敞泄行洪，不破坏原有河流水文连通性。</w:t>
                  </w:r>
                </w:p>
              </w:tc>
              <w:tc>
                <w:tcPr>
                  <w:tcW w:w="893" w:type="dxa"/>
                  <w:vAlign w:val="center"/>
                </w:tcPr>
                <w:p w14:paraId="588558AB">
                  <w:pPr>
                    <w:pStyle w:val="30"/>
                    <w:widowControl/>
                    <w:spacing w:line="240" w:lineRule="auto"/>
                    <w:ind w:firstLine="0" w:firstLineChars="0"/>
                    <w:jc w:val="center"/>
                    <w:rPr>
                      <w:rFonts w:eastAsia="宋体"/>
                      <w:sz w:val="21"/>
                    </w:rPr>
                  </w:pPr>
                  <w:r>
                    <w:rPr>
                      <w:rFonts w:hint="eastAsia" w:eastAsia="宋体"/>
                      <w:sz w:val="21"/>
                    </w:rPr>
                    <w:t>符合</w:t>
                  </w:r>
                </w:p>
              </w:tc>
            </w:tr>
            <w:tr w14:paraId="50941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491C386B">
                  <w:pPr>
                    <w:pStyle w:val="30"/>
                    <w:widowControl/>
                    <w:spacing w:line="240" w:lineRule="auto"/>
                    <w:ind w:firstLine="0" w:firstLineChars="0"/>
                    <w:jc w:val="center"/>
                    <w:rPr>
                      <w:rFonts w:eastAsia="宋体"/>
                      <w:sz w:val="21"/>
                    </w:rPr>
                  </w:pPr>
                </w:p>
              </w:tc>
              <w:tc>
                <w:tcPr>
                  <w:tcW w:w="933" w:type="dxa"/>
                  <w:vMerge w:val="continue"/>
                  <w:vAlign w:val="center"/>
                </w:tcPr>
                <w:p w14:paraId="5AAD39F6">
                  <w:pPr>
                    <w:pStyle w:val="30"/>
                    <w:widowControl/>
                    <w:spacing w:line="240" w:lineRule="auto"/>
                    <w:ind w:firstLine="0" w:firstLineChars="0"/>
                    <w:jc w:val="center"/>
                    <w:rPr>
                      <w:rFonts w:eastAsia="宋体"/>
                      <w:sz w:val="21"/>
                    </w:rPr>
                  </w:pPr>
                </w:p>
              </w:tc>
              <w:tc>
                <w:tcPr>
                  <w:tcW w:w="1400" w:type="dxa"/>
                  <w:vAlign w:val="center"/>
                </w:tcPr>
                <w:p w14:paraId="42956B15">
                  <w:pPr>
                    <w:pStyle w:val="30"/>
                    <w:widowControl/>
                    <w:spacing w:line="240" w:lineRule="auto"/>
                    <w:ind w:firstLine="0" w:firstLineChars="0"/>
                    <w:jc w:val="center"/>
                    <w:rPr>
                      <w:rFonts w:eastAsia="宋体"/>
                      <w:sz w:val="21"/>
                    </w:rPr>
                  </w:pPr>
                  <w:r>
                    <w:rPr>
                      <w:rFonts w:hint="eastAsia" w:eastAsia="宋体"/>
                      <w:sz w:val="21"/>
                    </w:rPr>
                    <w:t>污染物排放管控</w:t>
                  </w:r>
                </w:p>
              </w:tc>
              <w:tc>
                <w:tcPr>
                  <w:tcW w:w="6383" w:type="dxa"/>
                  <w:vAlign w:val="center"/>
                </w:tcPr>
                <w:p w14:paraId="7939E0DD">
                  <w:pPr>
                    <w:pStyle w:val="30"/>
                    <w:widowControl/>
                    <w:spacing w:line="240" w:lineRule="auto"/>
                    <w:ind w:firstLine="0" w:firstLineChars="0"/>
                    <w:rPr>
                      <w:rFonts w:eastAsia="宋体"/>
                      <w:sz w:val="21"/>
                    </w:rPr>
                  </w:pPr>
                  <w:r>
                    <w:rPr>
                      <w:rFonts w:hint="eastAsia" w:eastAsia="宋体"/>
                      <w:sz w:val="21"/>
                    </w:rPr>
                    <w:t>/</w:t>
                  </w:r>
                </w:p>
              </w:tc>
              <w:tc>
                <w:tcPr>
                  <w:tcW w:w="2150" w:type="dxa"/>
                  <w:vAlign w:val="center"/>
                </w:tcPr>
                <w:p w14:paraId="3C746F21">
                  <w:pPr>
                    <w:pStyle w:val="30"/>
                    <w:widowControl/>
                    <w:spacing w:line="240" w:lineRule="auto"/>
                    <w:ind w:firstLine="0" w:firstLineChars="0"/>
                    <w:jc w:val="center"/>
                    <w:rPr>
                      <w:rFonts w:eastAsia="宋体"/>
                      <w:sz w:val="21"/>
                    </w:rPr>
                  </w:pPr>
                  <w:r>
                    <w:rPr>
                      <w:rFonts w:hint="eastAsia" w:eastAsia="宋体"/>
                      <w:sz w:val="21"/>
                    </w:rPr>
                    <w:t>/</w:t>
                  </w:r>
                </w:p>
              </w:tc>
              <w:tc>
                <w:tcPr>
                  <w:tcW w:w="893" w:type="dxa"/>
                  <w:vAlign w:val="center"/>
                </w:tcPr>
                <w:p w14:paraId="59D80DBE">
                  <w:pPr>
                    <w:pStyle w:val="30"/>
                    <w:widowControl/>
                    <w:spacing w:line="240" w:lineRule="auto"/>
                    <w:ind w:firstLine="0" w:firstLineChars="0"/>
                    <w:jc w:val="center"/>
                    <w:rPr>
                      <w:rFonts w:eastAsia="宋体"/>
                      <w:sz w:val="21"/>
                    </w:rPr>
                  </w:pPr>
                  <w:r>
                    <w:rPr>
                      <w:rFonts w:hint="eastAsia" w:eastAsia="宋体"/>
                      <w:sz w:val="21"/>
                    </w:rPr>
                    <w:t>/</w:t>
                  </w:r>
                </w:p>
              </w:tc>
            </w:tr>
            <w:tr w14:paraId="79F05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5CBCF641">
                  <w:pPr>
                    <w:pStyle w:val="30"/>
                    <w:widowControl/>
                    <w:spacing w:line="240" w:lineRule="auto"/>
                    <w:ind w:firstLine="0" w:firstLineChars="0"/>
                    <w:jc w:val="center"/>
                    <w:rPr>
                      <w:rFonts w:eastAsia="宋体"/>
                      <w:sz w:val="21"/>
                    </w:rPr>
                  </w:pPr>
                </w:p>
              </w:tc>
              <w:tc>
                <w:tcPr>
                  <w:tcW w:w="933" w:type="dxa"/>
                  <w:vMerge w:val="continue"/>
                  <w:vAlign w:val="center"/>
                </w:tcPr>
                <w:p w14:paraId="58400782">
                  <w:pPr>
                    <w:pStyle w:val="30"/>
                    <w:widowControl/>
                    <w:spacing w:line="240" w:lineRule="auto"/>
                    <w:ind w:firstLine="0" w:firstLineChars="0"/>
                    <w:jc w:val="center"/>
                    <w:rPr>
                      <w:rFonts w:eastAsia="宋体"/>
                      <w:sz w:val="21"/>
                    </w:rPr>
                  </w:pPr>
                </w:p>
              </w:tc>
              <w:tc>
                <w:tcPr>
                  <w:tcW w:w="1400" w:type="dxa"/>
                  <w:vAlign w:val="center"/>
                </w:tcPr>
                <w:p w14:paraId="2B6CF5A6">
                  <w:pPr>
                    <w:pStyle w:val="30"/>
                    <w:widowControl/>
                    <w:spacing w:line="240" w:lineRule="auto"/>
                    <w:ind w:firstLine="0" w:firstLineChars="0"/>
                    <w:jc w:val="center"/>
                    <w:rPr>
                      <w:rFonts w:eastAsia="宋体"/>
                      <w:sz w:val="21"/>
                    </w:rPr>
                  </w:pPr>
                  <w:r>
                    <w:rPr>
                      <w:rFonts w:hint="eastAsia" w:eastAsia="宋体"/>
                      <w:sz w:val="21"/>
                    </w:rPr>
                    <w:t>环境风险防控</w:t>
                  </w:r>
                </w:p>
              </w:tc>
              <w:tc>
                <w:tcPr>
                  <w:tcW w:w="6383" w:type="dxa"/>
                  <w:vAlign w:val="center"/>
                </w:tcPr>
                <w:p w14:paraId="0E18989B">
                  <w:pPr>
                    <w:pStyle w:val="30"/>
                    <w:widowControl/>
                    <w:spacing w:line="240" w:lineRule="auto"/>
                    <w:ind w:firstLine="0" w:firstLineChars="0"/>
                    <w:rPr>
                      <w:rFonts w:eastAsia="宋体"/>
                      <w:sz w:val="21"/>
                    </w:rPr>
                  </w:pPr>
                  <w:r>
                    <w:rPr>
                      <w:rFonts w:hint="eastAsia" w:eastAsia="宋体"/>
                      <w:sz w:val="21"/>
                    </w:rPr>
                    <w:t>/</w:t>
                  </w:r>
                </w:p>
              </w:tc>
              <w:tc>
                <w:tcPr>
                  <w:tcW w:w="2150" w:type="dxa"/>
                  <w:vAlign w:val="center"/>
                </w:tcPr>
                <w:p w14:paraId="60A327BB">
                  <w:pPr>
                    <w:pStyle w:val="30"/>
                    <w:widowControl/>
                    <w:spacing w:line="240" w:lineRule="auto"/>
                    <w:ind w:firstLine="0" w:firstLineChars="0"/>
                    <w:jc w:val="center"/>
                    <w:rPr>
                      <w:rFonts w:eastAsia="宋体"/>
                      <w:sz w:val="21"/>
                    </w:rPr>
                  </w:pPr>
                  <w:r>
                    <w:rPr>
                      <w:rFonts w:hint="eastAsia" w:eastAsia="宋体"/>
                      <w:sz w:val="21"/>
                    </w:rPr>
                    <w:t>/</w:t>
                  </w:r>
                </w:p>
              </w:tc>
              <w:tc>
                <w:tcPr>
                  <w:tcW w:w="893" w:type="dxa"/>
                  <w:vAlign w:val="center"/>
                </w:tcPr>
                <w:p w14:paraId="6E381E54">
                  <w:pPr>
                    <w:pStyle w:val="30"/>
                    <w:widowControl/>
                    <w:spacing w:line="240" w:lineRule="auto"/>
                    <w:ind w:firstLine="0" w:firstLineChars="0"/>
                    <w:jc w:val="center"/>
                    <w:rPr>
                      <w:rFonts w:eastAsia="宋体"/>
                      <w:sz w:val="21"/>
                    </w:rPr>
                  </w:pPr>
                  <w:r>
                    <w:rPr>
                      <w:rFonts w:hint="eastAsia" w:eastAsia="宋体"/>
                      <w:sz w:val="21"/>
                    </w:rPr>
                    <w:t>/</w:t>
                  </w:r>
                </w:p>
              </w:tc>
            </w:tr>
            <w:tr w14:paraId="5B67E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154D25E0">
                  <w:pPr>
                    <w:pStyle w:val="30"/>
                    <w:widowControl/>
                    <w:spacing w:line="240" w:lineRule="auto"/>
                    <w:ind w:firstLine="0" w:firstLineChars="0"/>
                    <w:jc w:val="center"/>
                    <w:rPr>
                      <w:rFonts w:eastAsia="宋体"/>
                      <w:sz w:val="21"/>
                    </w:rPr>
                  </w:pPr>
                </w:p>
              </w:tc>
              <w:tc>
                <w:tcPr>
                  <w:tcW w:w="933" w:type="dxa"/>
                  <w:vMerge w:val="continue"/>
                  <w:vAlign w:val="center"/>
                </w:tcPr>
                <w:p w14:paraId="4BB2C656">
                  <w:pPr>
                    <w:pStyle w:val="30"/>
                    <w:widowControl/>
                    <w:spacing w:line="240" w:lineRule="auto"/>
                    <w:ind w:firstLine="0" w:firstLineChars="0"/>
                    <w:jc w:val="center"/>
                    <w:rPr>
                      <w:rFonts w:eastAsia="宋体"/>
                      <w:sz w:val="21"/>
                    </w:rPr>
                  </w:pPr>
                </w:p>
              </w:tc>
              <w:tc>
                <w:tcPr>
                  <w:tcW w:w="1400" w:type="dxa"/>
                  <w:vAlign w:val="center"/>
                </w:tcPr>
                <w:p w14:paraId="246FA16B">
                  <w:pPr>
                    <w:pStyle w:val="30"/>
                    <w:widowControl/>
                    <w:spacing w:line="240" w:lineRule="auto"/>
                    <w:ind w:firstLine="0" w:firstLineChars="0"/>
                    <w:jc w:val="center"/>
                    <w:rPr>
                      <w:rFonts w:eastAsia="宋体"/>
                      <w:sz w:val="21"/>
                    </w:rPr>
                  </w:pPr>
                  <w:r>
                    <w:rPr>
                      <w:rFonts w:hint="eastAsia" w:eastAsia="宋体"/>
                      <w:sz w:val="21"/>
                    </w:rPr>
                    <w:t>资源开发利用效率要求</w:t>
                  </w:r>
                </w:p>
              </w:tc>
              <w:tc>
                <w:tcPr>
                  <w:tcW w:w="6383" w:type="dxa"/>
                  <w:vAlign w:val="center"/>
                </w:tcPr>
                <w:p w14:paraId="699046FB">
                  <w:pPr>
                    <w:pStyle w:val="30"/>
                    <w:widowControl/>
                    <w:spacing w:line="240" w:lineRule="auto"/>
                    <w:ind w:firstLine="0" w:firstLineChars="0"/>
                    <w:rPr>
                      <w:rFonts w:eastAsia="宋体"/>
                      <w:sz w:val="21"/>
                    </w:rPr>
                  </w:pPr>
                  <w:r>
                    <w:rPr>
                      <w:rFonts w:hint="eastAsia" w:eastAsia="宋体"/>
                      <w:sz w:val="21"/>
                    </w:rPr>
                    <w:t>/</w:t>
                  </w:r>
                </w:p>
              </w:tc>
              <w:tc>
                <w:tcPr>
                  <w:tcW w:w="2150" w:type="dxa"/>
                  <w:vAlign w:val="center"/>
                </w:tcPr>
                <w:p w14:paraId="5F000577">
                  <w:pPr>
                    <w:pStyle w:val="30"/>
                    <w:widowControl/>
                    <w:spacing w:line="240" w:lineRule="auto"/>
                    <w:ind w:firstLine="0" w:firstLineChars="0"/>
                    <w:jc w:val="center"/>
                    <w:rPr>
                      <w:rFonts w:eastAsia="宋体"/>
                      <w:sz w:val="21"/>
                    </w:rPr>
                  </w:pPr>
                  <w:r>
                    <w:rPr>
                      <w:rFonts w:hint="eastAsia" w:eastAsia="宋体"/>
                      <w:sz w:val="21"/>
                    </w:rPr>
                    <w:t>/</w:t>
                  </w:r>
                </w:p>
              </w:tc>
              <w:tc>
                <w:tcPr>
                  <w:tcW w:w="893" w:type="dxa"/>
                  <w:vAlign w:val="center"/>
                </w:tcPr>
                <w:p w14:paraId="1EDE90DB">
                  <w:pPr>
                    <w:pStyle w:val="30"/>
                    <w:widowControl/>
                    <w:spacing w:line="240" w:lineRule="auto"/>
                    <w:ind w:firstLine="0" w:firstLineChars="0"/>
                    <w:jc w:val="center"/>
                    <w:rPr>
                      <w:rFonts w:eastAsia="宋体"/>
                      <w:sz w:val="21"/>
                    </w:rPr>
                  </w:pPr>
                  <w:r>
                    <w:rPr>
                      <w:rFonts w:hint="eastAsia" w:eastAsia="宋体"/>
                      <w:sz w:val="21"/>
                    </w:rPr>
                    <w:t>/</w:t>
                  </w:r>
                </w:p>
              </w:tc>
            </w:tr>
            <w:tr w14:paraId="1993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restart"/>
                  <w:vAlign w:val="center"/>
                </w:tcPr>
                <w:p w14:paraId="3C1F0C84">
                  <w:pPr>
                    <w:pStyle w:val="30"/>
                    <w:widowControl/>
                    <w:spacing w:line="240" w:lineRule="auto"/>
                    <w:ind w:firstLine="0" w:firstLineChars="0"/>
                    <w:jc w:val="center"/>
                    <w:rPr>
                      <w:rFonts w:eastAsia="宋体"/>
                      <w:sz w:val="21"/>
                    </w:rPr>
                  </w:pPr>
                  <w:r>
                    <w:rPr>
                      <w:rFonts w:hint="eastAsia" w:eastAsia="宋体"/>
                      <w:sz w:val="21"/>
                    </w:rPr>
                    <w:t>YS5119022530001巴州区城镇开发边界</w:t>
                  </w:r>
                </w:p>
              </w:tc>
              <w:tc>
                <w:tcPr>
                  <w:tcW w:w="933" w:type="dxa"/>
                  <w:vMerge w:val="restart"/>
                  <w:vAlign w:val="center"/>
                </w:tcPr>
                <w:p w14:paraId="0E2FF960">
                  <w:pPr>
                    <w:pStyle w:val="30"/>
                    <w:widowControl/>
                    <w:spacing w:line="240" w:lineRule="auto"/>
                    <w:ind w:firstLine="0" w:firstLineChars="0"/>
                    <w:jc w:val="center"/>
                    <w:rPr>
                      <w:rFonts w:eastAsia="宋体"/>
                      <w:sz w:val="21"/>
                    </w:rPr>
                  </w:pPr>
                  <w:r>
                    <w:rPr>
                      <w:rFonts w:hint="eastAsia" w:eastAsia="宋体"/>
                      <w:sz w:val="21"/>
                    </w:rPr>
                    <w:t>土地资源重点管控区</w:t>
                  </w:r>
                </w:p>
              </w:tc>
              <w:tc>
                <w:tcPr>
                  <w:tcW w:w="1400" w:type="dxa"/>
                  <w:shd w:val="clear" w:color="auto" w:fill="auto"/>
                  <w:vAlign w:val="center"/>
                </w:tcPr>
                <w:p w14:paraId="617E8E0C">
                  <w:pPr>
                    <w:pStyle w:val="30"/>
                    <w:widowControl/>
                    <w:spacing w:line="240" w:lineRule="auto"/>
                    <w:ind w:firstLine="0" w:firstLineChars="0"/>
                    <w:jc w:val="center"/>
                    <w:rPr>
                      <w:rFonts w:eastAsia="宋体"/>
                      <w:sz w:val="21"/>
                    </w:rPr>
                  </w:pPr>
                  <w:r>
                    <w:rPr>
                      <w:rFonts w:hint="eastAsia" w:eastAsia="宋体"/>
                      <w:sz w:val="21"/>
                    </w:rPr>
                    <w:t>空间布局约束</w:t>
                  </w:r>
                </w:p>
              </w:tc>
              <w:tc>
                <w:tcPr>
                  <w:tcW w:w="6383" w:type="dxa"/>
                  <w:vAlign w:val="center"/>
                </w:tcPr>
                <w:p w14:paraId="4F1C48B6">
                  <w:pPr>
                    <w:pStyle w:val="30"/>
                    <w:widowControl/>
                    <w:spacing w:line="240" w:lineRule="auto"/>
                    <w:ind w:firstLine="0" w:firstLineChars="0"/>
                    <w:rPr>
                      <w:rFonts w:eastAsia="宋体"/>
                      <w:sz w:val="21"/>
                    </w:rPr>
                  </w:pPr>
                  <w:r>
                    <w:rPr>
                      <w:rFonts w:hint="eastAsia" w:eastAsia="宋体"/>
                      <w:sz w:val="21"/>
                    </w:rPr>
                    <w:t>1.以城镇开发建设现状为基础，综合考虑资源承载能力、人口分布、经济布局、城乡统筹、城镇无序蔓延。科学预留一定比例的留白区，为未来发展留有开发空间。城镇建设和发展不得违法违规侵占河道、湖面、滩地。2.城镇开发边界调整报国土空间规划原审批机关审批。</w:t>
                  </w:r>
                </w:p>
              </w:tc>
              <w:tc>
                <w:tcPr>
                  <w:tcW w:w="2150" w:type="dxa"/>
                  <w:vAlign w:val="center"/>
                </w:tcPr>
                <w:p w14:paraId="0B1E4C9B">
                  <w:pPr>
                    <w:pStyle w:val="30"/>
                    <w:widowControl/>
                    <w:spacing w:line="240" w:lineRule="auto"/>
                    <w:ind w:firstLine="0" w:firstLineChars="0"/>
                    <w:jc w:val="center"/>
                    <w:rPr>
                      <w:rFonts w:eastAsia="宋体"/>
                      <w:sz w:val="21"/>
                    </w:rPr>
                  </w:pPr>
                  <w:r>
                    <w:rPr>
                      <w:rFonts w:hint="eastAsia" w:eastAsia="宋体"/>
                      <w:sz w:val="21"/>
                    </w:rPr>
                    <w:t>本项目不涉及。</w:t>
                  </w:r>
                </w:p>
              </w:tc>
              <w:tc>
                <w:tcPr>
                  <w:tcW w:w="893" w:type="dxa"/>
                  <w:vAlign w:val="center"/>
                </w:tcPr>
                <w:p w14:paraId="246D8BA9">
                  <w:pPr>
                    <w:pStyle w:val="30"/>
                    <w:widowControl/>
                    <w:spacing w:line="240" w:lineRule="auto"/>
                    <w:ind w:firstLine="0" w:firstLineChars="0"/>
                    <w:jc w:val="center"/>
                    <w:rPr>
                      <w:rFonts w:eastAsia="宋体"/>
                      <w:sz w:val="21"/>
                    </w:rPr>
                  </w:pPr>
                  <w:r>
                    <w:rPr>
                      <w:rFonts w:hint="eastAsia" w:eastAsia="宋体"/>
                      <w:sz w:val="21"/>
                    </w:rPr>
                    <w:t>符合</w:t>
                  </w:r>
                </w:p>
              </w:tc>
            </w:tr>
            <w:tr w14:paraId="62237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4D6677F5">
                  <w:pPr>
                    <w:pStyle w:val="30"/>
                    <w:widowControl/>
                    <w:spacing w:line="240" w:lineRule="auto"/>
                    <w:ind w:firstLine="0" w:firstLineChars="0"/>
                    <w:jc w:val="center"/>
                    <w:rPr>
                      <w:rFonts w:eastAsia="宋体"/>
                      <w:sz w:val="21"/>
                    </w:rPr>
                  </w:pPr>
                </w:p>
              </w:tc>
              <w:tc>
                <w:tcPr>
                  <w:tcW w:w="933" w:type="dxa"/>
                  <w:vMerge w:val="continue"/>
                  <w:vAlign w:val="center"/>
                </w:tcPr>
                <w:p w14:paraId="6F14C998">
                  <w:pPr>
                    <w:pStyle w:val="30"/>
                    <w:widowControl/>
                    <w:spacing w:line="240" w:lineRule="auto"/>
                    <w:ind w:firstLine="0" w:firstLineChars="0"/>
                    <w:jc w:val="center"/>
                    <w:rPr>
                      <w:rFonts w:eastAsia="宋体"/>
                      <w:sz w:val="21"/>
                    </w:rPr>
                  </w:pPr>
                </w:p>
              </w:tc>
              <w:tc>
                <w:tcPr>
                  <w:tcW w:w="1400" w:type="dxa"/>
                  <w:shd w:val="clear" w:color="auto" w:fill="auto"/>
                  <w:vAlign w:val="center"/>
                </w:tcPr>
                <w:p w14:paraId="0B86B306">
                  <w:pPr>
                    <w:pStyle w:val="30"/>
                    <w:widowControl/>
                    <w:spacing w:line="240" w:lineRule="auto"/>
                    <w:ind w:firstLine="0" w:firstLineChars="0"/>
                    <w:jc w:val="center"/>
                    <w:rPr>
                      <w:rFonts w:eastAsia="宋体"/>
                      <w:sz w:val="21"/>
                    </w:rPr>
                  </w:pPr>
                  <w:r>
                    <w:rPr>
                      <w:rFonts w:hint="eastAsia" w:eastAsia="宋体"/>
                      <w:sz w:val="21"/>
                    </w:rPr>
                    <w:t>污染物排放管控</w:t>
                  </w:r>
                </w:p>
              </w:tc>
              <w:tc>
                <w:tcPr>
                  <w:tcW w:w="6383" w:type="dxa"/>
                  <w:shd w:val="clear" w:color="auto" w:fill="auto"/>
                  <w:vAlign w:val="center"/>
                </w:tcPr>
                <w:p w14:paraId="498EA8BF">
                  <w:pPr>
                    <w:pStyle w:val="30"/>
                    <w:widowControl/>
                    <w:spacing w:line="240" w:lineRule="auto"/>
                    <w:ind w:firstLine="0" w:firstLineChars="0"/>
                    <w:rPr>
                      <w:rFonts w:eastAsia="宋体"/>
                      <w:sz w:val="21"/>
                    </w:rPr>
                  </w:pPr>
                  <w:r>
                    <w:rPr>
                      <w:rFonts w:hint="eastAsia" w:eastAsia="宋体"/>
                      <w:sz w:val="21"/>
                    </w:rPr>
                    <w:t>/</w:t>
                  </w:r>
                </w:p>
              </w:tc>
              <w:tc>
                <w:tcPr>
                  <w:tcW w:w="2150" w:type="dxa"/>
                  <w:shd w:val="clear" w:color="auto" w:fill="auto"/>
                  <w:vAlign w:val="center"/>
                </w:tcPr>
                <w:p w14:paraId="00EC90BD">
                  <w:pPr>
                    <w:pStyle w:val="30"/>
                    <w:widowControl/>
                    <w:spacing w:line="240" w:lineRule="auto"/>
                    <w:ind w:firstLine="0" w:firstLineChars="0"/>
                    <w:jc w:val="center"/>
                    <w:rPr>
                      <w:rFonts w:eastAsia="宋体"/>
                      <w:sz w:val="21"/>
                    </w:rPr>
                  </w:pPr>
                  <w:r>
                    <w:rPr>
                      <w:rFonts w:hint="eastAsia" w:eastAsia="宋体"/>
                      <w:sz w:val="21"/>
                    </w:rPr>
                    <w:t>/</w:t>
                  </w:r>
                </w:p>
              </w:tc>
              <w:tc>
                <w:tcPr>
                  <w:tcW w:w="893" w:type="dxa"/>
                  <w:shd w:val="clear" w:color="auto" w:fill="auto"/>
                  <w:vAlign w:val="center"/>
                </w:tcPr>
                <w:p w14:paraId="0E7964FA">
                  <w:pPr>
                    <w:pStyle w:val="30"/>
                    <w:widowControl/>
                    <w:spacing w:line="240" w:lineRule="auto"/>
                    <w:ind w:firstLine="0" w:firstLineChars="0"/>
                    <w:jc w:val="center"/>
                    <w:rPr>
                      <w:rFonts w:eastAsia="宋体"/>
                      <w:sz w:val="21"/>
                    </w:rPr>
                  </w:pPr>
                  <w:r>
                    <w:rPr>
                      <w:rFonts w:hint="eastAsia" w:eastAsia="宋体"/>
                      <w:sz w:val="21"/>
                    </w:rPr>
                    <w:t>/</w:t>
                  </w:r>
                </w:p>
              </w:tc>
            </w:tr>
            <w:tr w14:paraId="61308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0543F736">
                  <w:pPr>
                    <w:pStyle w:val="30"/>
                    <w:widowControl/>
                    <w:spacing w:line="240" w:lineRule="auto"/>
                    <w:ind w:firstLine="0" w:firstLineChars="0"/>
                    <w:jc w:val="center"/>
                    <w:rPr>
                      <w:rFonts w:eastAsia="宋体"/>
                      <w:sz w:val="21"/>
                    </w:rPr>
                  </w:pPr>
                </w:p>
              </w:tc>
              <w:tc>
                <w:tcPr>
                  <w:tcW w:w="933" w:type="dxa"/>
                  <w:vMerge w:val="continue"/>
                  <w:vAlign w:val="center"/>
                </w:tcPr>
                <w:p w14:paraId="1B6F869F">
                  <w:pPr>
                    <w:pStyle w:val="30"/>
                    <w:widowControl/>
                    <w:spacing w:line="240" w:lineRule="auto"/>
                    <w:ind w:firstLine="0" w:firstLineChars="0"/>
                    <w:jc w:val="center"/>
                    <w:rPr>
                      <w:rFonts w:eastAsia="宋体"/>
                      <w:sz w:val="21"/>
                    </w:rPr>
                  </w:pPr>
                </w:p>
              </w:tc>
              <w:tc>
                <w:tcPr>
                  <w:tcW w:w="1400" w:type="dxa"/>
                  <w:shd w:val="clear" w:color="auto" w:fill="auto"/>
                  <w:vAlign w:val="center"/>
                </w:tcPr>
                <w:p w14:paraId="208C377D">
                  <w:pPr>
                    <w:pStyle w:val="30"/>
                    <w:widowControl/>
                    <w:spacing w:line="240" w:lineRule="auto"/>
                    <w:ind w:firstLine="0" w:firstLineChars="0"/>
                    <w:jc w:val="center"/>
                    <w:rPr>
                      <w:rFonts w:eastAsia="宋体"/>
                      <w:sz w:val="21"/>
                    </w:rPr>
                  </w:pPr>
                  <w:r>
                    <w:rPr>
                      <w:rFonts w:hint="eastAsia" w:eastAsia="宋体"/>
                      <w:sz w:val="21"/>
                    </w:rPr>
                    <w:t>环境风险防控</w:t>
                  </w:r>
                </w:p>
              </w:tc>
              <w:tc>
                <w:tcPr>
                  <w:tcW w:w="6383" w:type="dxa"/>
                  <w:shd w:val="clear" w:color="auto" w:fill="auto"/>
                  <w:vAlign w:val="center"/>
                </w:tcPr>
                <w:p w14:paraId="3E3972F4">
                  <w:pPr>
                    <w:pStyle w:val="30"/>
                    <w:widowControl/>
                    <w:spacing w:line="240" w:lineRule="auto"/>
                    <w:ind w:firstLine="0" w:firstLineChars="0"/>
                    <w:rPr>
                      <w:rFonts w:eastAsia="宋体"/>
                      <w:sz w:val="21"/>
                    </w:rPr>
                  </w:pPr>
                  <w:r>
                    <w:rPr>
                      <w:rFonts w:hint="eastAsia" w:eastAsia="宋体"/>
                      <w:sz w:val="21"/>
                    </w:rPr>
                    <w:t>/</w:t>
                  </w:r>
                </w:p>
              </w:tc>
              <w:tc>
                <w:tcPr>
                  <w:tcW w:w="2150" w:type="dxa"/>
                  <w:shd w:val="clear" w:color="auto" w:fill="auto"/>
                  <w:vAlign w:val="center"/>
                </w:tcPr>
                <w:p w14:paraId="3CFBCB7D">
                  <w:pPr>
                    <w:pStyle w:val="30"/>
                    <w:widowControl/>
                    <w:spacing w:line="240" w:lineRule="auto"/>
                    <w:ind w:firstLine="0" w:firstLineChars="0"/>
                    <w:jc w:val="center"/>
                    <w:rPr>
                      <w:rFonts w:eastAsia="宋体"/>
                      <w:sz w:val="21"/>
                    </w:rPr>
                  </w:pPr>
                  <w:r>
                    <w:rPr>
                      <w:rFonts w:hint="eastAsia" w:eastAsia="宋体"/>
                      <w:sz w:val="21"/>
                    </w:rPr>
                    <w:t>/</w:t>
                  </w:r>
                </w:p>
              </w:tc>
              <w:tc>
                <w:tcPr>
                  <w:tcW w:w="893" w:type="dxa"/>
                  <w:shd w:val="clear" w:color="auto" w:fill="auto"/>
                  <w:vAlign w:val="center"/>
                </w:tcPr>
                <w:p w14:paraId="22BA53E0">
                  <w:pPr>
                    <w:pStyle w:val="30"/>
                    <w:widowControl/>
                    <w:spacing w:line="240" w:lineRule="auto"/>
                    <w:ind w:firstLine="0" w:firstLineChars="0"/>
                    <w:jc w:val="center"/>
                    <w:rPr>
                      <w:rFonts w:eastAsia="宋体"/>
                      <w:sz w:val="21"/>
                    </w:rPr>
                  </w:pPr>
                  <w:r>
                    <w:rPr>
                      <w:rFonts w:hint="eastAsia" w:eastAsia="宋体"/>
                      <w:sz w:val="21"/>
                    </w:rPr>
                    <w:t>/</w:t>
                  </w:r>
                </w:p>
              </w:tc>
            </w:tr>
            <w:tr w14:paraId="1F68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1EB3E1AC">
                  <w:pPr>
                    <w:pStyle w:val="30"/>
                    <w:widowControl/>
                    <w:spacing w:line="240" w:lineRule="auto"/>
                    <w:ind w:firstLine="0" w:firstLineChars="0"/>
                    <w:jc w:val="center"/>
                    <w:rPr>
                      <w:rFonts w:eastAsia="宋体"/>
                      <w:sz w:val="21"/>
                    </w:rPr>
                  </w:pPr>
                </w:p>
              </w:tc>
              <w:tc>
                <w:tcPr>
                  <w:tcW w:w="933" w:type="dxa"/>
                  <w:vMerge w:val="continue"/>
                  <w:vAlign w:val="center"/>
                </w:tcPr>
                <w:p w14:paraId="75E54FD5">
                  <w:pPr>
                    <w:pStyle w:val="30"/>
                    <w:widowControl/>
                    <w:spacing w:line="240" w:lineRule="auto"/>
                    <w:ind w:firstLine="0" w:firstLineChars="0"/>
                    <w:jc w:val="center"/>
                    <w:rPr>
                      <w:rFonts w:eastAsia="宋体"/>
                      <w:sz w:val="21"/>
                    </w:rPr>
                  </w:pPr>
                </w:p>
              </w:tc>
              <w:tc>
                <w:tcPr>
                  <w:tcW w:w="1400" w:type="dxa"/>
                  <w:shd w:val="clear" w:color="auto" w:fill="auto"/>
                  <w:vAlign w:val="center"/>
                </w:tcPr>
                <w:p w14:paraId="7934A21A">
                  <w:pPr>
                    <w:pStyle w:val="30"/>
                    <w:widowControl/>
                    <w:spacing w:line="240" w:lineRule="auto"/>
                    <w:ind w:firstLine="0" w:firstLineChars="0"/>
                    <w:jc w:val="center"/>
                    <w:rPr>
                      <w:rFonts w:eastAsia="宋体"/>
                      <w:sz w:val="21"/>
                    </w:rPr>
                  </w:pPr>
                  <w:r>
                    <w:rPr>
                      <w:rFonts w:hint="eastAsia" w:eastAsia="宋体"/>
                      <w:sz w:val="21"/>
                    </w:rPr>
                    <w:t>资源开发利用效率要求</w:t>
                  </w:r>
                </w:p>
              </w:tc>
              <w:tc>
                <w:tcPr>
                  <w:tcW w:w="6383" w:type="dxa"/>
                  <w:vAlign w:val="center"/>
                </w:tcPr>
                <w:p w14:paraId="733BA5DF">
                  <w:pPr>
                    <w:pStyle w:val="30"/>
                    <w:widowControl/>
                    <w:spacing w:line="240" w:lineRule="auto"/>
                    <w:ind w:firstLine="0" w:firstLineChars="0"/>
                    <w:rPr>
                      <w:rFonts w:eastAsia="宋体"/>
                      <w:sz w:val="21"/>
                    </w:rPr>
                  </w:pPr>
                  <w:r>
                    <w:rPr>
                      <w:rFonts w:hint="eastAsia" w:eastAsia="宋体"/>
                      <w:sz w:val="21"/>
                    </w:rPr>
                    <w:t>【土地资源开发效率要求】：</w:t>
                  </w:r>
                </w:p>
                <w:p w14:paraId="5257418A">
                  <w:pPr>
                    <w:pStyle w:val="30"/>
                    <w:widowControl/>
                    <w:spacing w:line="240" w:lineRule="auto"/>
                    <w:ind w:firstLine="0" w:firstLineChars="0"/>
                    <w:rPr>
                      <w:rFonts w:eastAsia="宋体"/>
                      <w:sz w:val="21"/>
                    </w:rPr>
                  </w:pPr>
                  <w:r>
                    <w:rPr>
                      <w:rFonts w:hint="eastAsia" w:eastAsia="宋体"/>
                      <w:sz w:val="21"/>
                    </w:rPr>
                    <w:t>土地资源开发利用量不得超过土地资源利用上线控制性指标。</w:t>
                  </w:r>
                </w:p>
              </w:tc>
              <w:tc>
                <w:tcPr>
                  <w:tcW w:w="2150" w:type="dxa"/>
                  <w:vAlign w:val="center"/>
                </w:tcPr>
                <w:p w14:paraId="787A29C4">
                  <w:pPr>
                    <w:pStyle w:val="30"/>
                    <w:widowControl/>
                    <w:spacing w:line="240" w:lineRule="auto"/>
                    <w:ind w:firstLine="0" w:firstLineChars="0"/>
                    <w:jc w:val="center"/>
                    <w:rPr>
                      <w:rFonts w:eastAsia="宋体"/>
                      <w:sz w:val="21"/>
                    </w:rPr>
                  </w:pPr>
                  <w:r>
                    <w:rPr>
                      <w:rFonts w:hint="eastAsia" w:eastAsia="宋体"/>
                      <w:sz w:val="21"/>
                    </w:rPr>
                    <w:t>本项目不涉及。</w:t>
                  </w:r>
                </w:p>
              </w:tc>
              <w:tc>
                <w:tcPr>
                  <w:tcW w:w="893" w:type="dxa"/>
                  <w:vAlign w:val="center"/>
                </w:tcPr>
                <w:p w14:paraId="01A12DDB">
                  <w:pPr>
                    <w:pStyle w:val="30"/>
                    <w:widowControl/>
                    <w:spacing w:line="240" w:lineRule="auto"/>
                    <w:ind w:firstLine="0" w:firstLineChars="0"/>
                    <w:jc w:val="center"/>
                    <w:rPr>
                      <w:rFonts w:eastAsia="宋体"/>
                      <w:sz w:val="21"/>
                    </w:rPr>
                  </w:pPr>
                  <w:r>
                    <w:rPr>
                      <w:rFonts w:hint="eastAsia" w:eastAsia="宋体"/>
                      <w:sz w:val="21"/>
                    </w:rPr>
                    <w:t>符合</w:t>
                  </w:r>
                </w:p>
              </w:tc>
            </w:tr>
            <w:tr w14:paraId="408B6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restart"/>
                  <w:vAlign w:val="center"/>
                </w:tcPr>
                <w:p w14:paraId="15C74930">
                  <w:pPr>
                    <w:pStyle w:val="30"/>
                    <w:widowControl/>
                    <w:spacing w:line="240" w:lineRule="auto"/>
                    <w:ind w:firstLine="0" w:firstLineChars="0"/>
                    <w:jc w:val="center"/>
                    <w:rPr>
                      <w:rFonts w:eastAsia="宋体"/>
                      <w:sz w:val="21"/>
                    </w:rPr>
                  </w:pPr>
                  <w:r>
                    <w:rPr>
                      <w:rFonts w:hint="eastAsia" w:eastAsia="宋体"/>
                      <w:sz w:val="21"/>
                    </w:rPr>
                    <w:t>YS5119022540001巴州区高污染燃料禁燃区</w:t>
                  </w:r>
                </w:p>
              </w:tc>
              <w:tc>
                <w:tcPr>
                  <w:tcW w:w="933" w:type="dxa"/>
                  <w:vMerge w:val="restart"/>
                  <w:vAlign w:val="center"/>
                </w:tcPr>
                <w:p w14:paraId="194F63E2">
                  <w:pPr>
                    <w:pStyle w:val="30"/>
                    <w:widowControl/>
                    <w:spacing w:line="240" w:lineRule="auto"/>
                    <w:ind w:firstLine="0" w:firstLineChars="0"/>
                    <w:jc w:val="center"/>
                    <w:rPr>
                      <w:rFonts w:eastAsia="宋体"/>
                      <w:sz w:val="21"/>
                    </w:rPr>
                  </w:pPr>
                  <w:r>
                    <w:rPr>
                      <w:rFonts w:hint="eastAsia" w:eastAsia="宋体"/>
                      <w:sz w:val="21"/>
                    </w:rPr>
                    <w:t>高污染燃料禁燃区</w:t>
                  </w:r>
                </w:p>
              </w:tc>
              <w:tc>
                <w:tcPr>
                  <w:tcW w:w="1400" w:type="dxa"/>
                  <w:shd w:val="clear" w:color="auto" w:fill="auto"/>
                  <w:vAlign w:val="center"/>
                </w:tcPr>
                <w:p w14:paraId="15B7A218">
                  <w:pPr>
                    <w:pStyle w:val="30"/>
                    <w:widowControl/>
                    <w:spacing w:line="240" w:lineRule="auto"/>
                    <w:ind w:firstLine="0" w:firstLineChars="0"/>
                    <w:jc w:val="center"/>
                    <w:rPr>
                      <w:rFonts w:eastAsia="宋体"/>
                      <w:sz w:val="21"/>
                    </w:rPr>
                  </w:pPr>
                  <w:r>
                    <w:rPr>
                      <w:rFonts w:hint="eastAsia" w:eastAsia="宋体"/>
                      <w:sz w:val="21"/>
                    </w:rPr>
                    <w:t>空间布局约束</w:t>
                  </w:r>
                </w:p>
              </w:tc>
              <w:tc>
                <w:tcPr>
                  <w:tcW w:w="6383" w:type="dxa"/>
                  <w:vAlign w:val="center"/>
                </w:tcPr>
                <w:p w14:paraId="40D22B67">
                  <w:pPr>
                    <w:pStyle w:val="30"/>
                    <w:widowControl/>
                    <w:spacing w:line="240" w:lineRule="auto"/>
                    <w:ind w:firstLine="0" w:firstLineChars="0"/>
                    <w:rPr>
                      <w:rFonts w:eastAsia="宋体"/>
                      <w:sz w:val="21"/>
                    </w:rPr>
                  </w:pPr>
                  <w:r>
                    <w:rPr>
                      <w:rFonts w:hint="eastAsia" w:eastAsia="宋体"/>
                      <w:sz w:val="21"/>
                    </w:rPr>
                    <w:t>坚决遏制“两高一低”项目盲目发展。</w:t>
                  </w:r>
                </w:p>
              </w:tc>
              <w:tc>
                <w:tcPr>
                  <w:tcW w:w="2150" w:type="dxa"/>
                  <w:shd w:val="clear" w:color="auto" w:fill="auto"/>
                  <w:vAlign w:val="center"/>
                </w:tcPr>
                <w:p w14:paraId="59D7E4D9">
                  <w:pPr>
                    <w:pStyle w:val="30"/>
                    <w:widowControl/>
                    <w:spacing w:line="240" w:lineRule="auto"/>
                    <w:ind w:firstLine="0" w:firstLineChars="0"/>
                    <w:jc w:val="center"/>
                    <w:rPr>
                      <w:rFonts w:eastAsia="宋体"/>
                      <w:sz w:val="21"/>
                    </w:rPr>
                  </w:pPr>
                  <w:r>
                    <w:rPr>
                      <w:rFonts w:hint="eastAsia" w:eastAsia="宋体"/>
                      <w:sz w:val="21"/>
                    </w:rPr>
                    <w:t>本项目不涉及。</w:t>
                  </w:r>
                </w:p>
              </w:tc>
              <w:tc>
                <w:tcPr>
                  <w:tcW w:w="893" w:type="dxa"/>
                  <w:shd w:val="clear" w:color="auto" w:fill="auto"/>
                  <w:vAlign w:val="center"/>
                </w:tcPr>
                <w:p w14:paraId="4A73337F">
                  <w:pPr>
                    <w:pStyle w:val="30"/>
                    <w:widowControl/>
                    <w:spacing w:line="240" w:lineRule="auto"/>
                    <w:ind w:firstLine="0" w:firstLineChars="0"/>
                    <w:jc w:val="center"/>
                    <w:rPr>
                      <w:rFonts w:eastAsia="宋体"/>
                      <w:sz w:val="21"/>
                    </w:rPr>
                  </w:pPr>
                  <w:r>
                    <w:rPr>
                      <w:rFonts w:hint="eastAsia" w:eastAsia="宋体"/>
                      <w:sz w:val="21"/>
                    </w:rPr>
                    <w:t>符合</w:t>
                  </w:r>
                </w:p>
              </w:tc>
            </w:tr>
            <w:tr w14:paraId="7108A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3E0ADEB8">
                  <w:pPr>
                    <w:pStyle w:val="30"/>
                    <w:widowControl/>
                    <w:spacing w:line="240" w:lineRule="auto"/>
                    <w:ind w:firstLine="0" w:firstLineChars="0"/>
                    <w:jc w:val="center"/>
                    <w:rPr>
                      <w:rFonts w:eastAsia="宋体"/>
                      <w:sz w:val="21"/>
                    </w:rPr>
                  </w:pPr>
                </w:p>
              </w:tc>
              <w:tc>
                <w:tcPr>
                  <w:tcW w:w="933" w:type="dxa"/>
                  <w:vMerge w:val="continue"/>
                  <w:vAlign w:val="center"/>
                </w:tcPr>
                <w:p w14:paraId="420F0B31">
                  <w:pPr>
                    <w:pStyle w:val="30"/>
                    <w:widowControl/>
                    <w:spacing w:line="240" w:lineRule="auto"/>
                    <w:ind w:firstLine="0" w:firstLineChars="0"/>
                    <w:jc w:val="center"/>
                    <w:rPr>
                      <w:rFonts w:eastAsia="宋体"/>
                      <w:sz w:val="21"/>
                    </w:rPr>
                  </w:pPr>
                </w:p>
              </w:tc>
              <w:tc>
                <w:tcPr>
                  <w:tcW w:w="1400" w:type="dxa"/>
                  <w:shd w:val="clear" w:color="auto" w:fill="auto"/>
                  <w:vAlign w:val="center"/>
                </w:tcPr>
                <w:p w14:paraId="562D222D">
                  <w:pPr>
                    <w:pStyle w:val="30"/>
                    <w:widowControl/>
                    <w:spacing w:line="240" w:lineRule="auto"/>
                    <w:ind w:firstLine="0" w:firstLineChars="0"/>
                    <w:jc w:val="center"/>
                    <w:rPr>
                      <w:rFonts w:eastAsia="宋体"/>
                      <w:sz w:val="21"/>
                    </w:rPr>
                  </w:pPr>
                  <w:r>
                    <w:rPr>
                      <w:rFonts w:hint="eastAsia" w:eastAsia="宋体"/>
                      <w:sz w:val="21"/>
                    </w:rPr>
                    <w:t>污染物排放管控</w:t>
                  </w:r>
                </w:p>
              </w:tc>
              <w:tc>
                <w:tcPr>
                  <w:tcW w:w="6383" w:type="dxa"/>
                  <w:shd w:val="clear" w:color="auto" w:fill="auto"/>
                  <w:vAlign w:val="center"/>
                </w:tcPr>
                <w:p w14:paraId="1C850E36">
                  <w:pPr>
                    <w:pStyle w:val="30"/>
                    <w:widowControl/>
                    <w:spacing w:line="240" w:lineRule="auto"/>
                    <w:ind w:firstLine="0" w:firstLineChars="0"/>
                    <w:rPr>
                      <w:rFonts w:eastAsia="宋体"/>
                      <w:sz w:val="21"/>
                    </w:rPr>
                  </w:pPr>
                  <w:r>
                    <w:rPr>
                      <w:rFonts w:hint="eastAsia" w:eastAsia="宋体"/>
                      <w:sz w:val="21"/>
                    </w:rPr>
                    <w:t>/</w:t>
                  </w:r>
                </w:p>
              </w:tc>
              <w:tc>
                <w:tcPr>
                  <w:tcW w:w="2150" w:type="dxa"/>
                  <w:shd w:val="clear" w:color="auto" w:fill="auto"/>
                  <w:vAlign w:val="center"/>
                </w:tcPr>
                <w:p w14:paraId="377EFCBE">
                  <w:pPr>
                    <w:pStyle w:val="30"/>
                    <w:widowControl/>
                    <w:spacing w:line="240" w:lineRule="auto"/>
                    <w:ind w:firstLine="0" w:firstLineChars="0"/>
                    <w:jc w:val="center"/>
                    <w:rPr>
                      <w:rFonts w:eastAsia="宋体"/>
                      <w:sz w:val="21"/>
                    </w:rPr>
                  </w:pPr>
                  <w:r>
                    <w:rPr>
                      <w:rFonts w:hint="eastAsia" w:eastAsia="宋体"/>
                      <w:sz w:val="21"/>
                    </w:rPr>
                    <w:t>/</w:t>
                  </w:r>
                </w:p>
              </w:tc>
              <w:tc>
                <w:tcPr>
                  <w:tcW w:w="893" w:type="dxa"/>
                  <w:shd w:val="clear" w:color="auto" w:fill="auto"/>
                  <w:vAlign w:val="center"/>
                </w:tcPr>
                <w:p w14:paraId="1DB2D7AC">
                  <w:pPr>
                    <w:pStyle w:val="30"/>
                    <w:widowControl/>
                    <w:spacing w:line="240" w:lineRule="auto"/>
                    <w:ind w:firstLine="0" w:firstLineChars="0"/>
                    <w:jc w:val="center"/>
                    <w:rPr>
                      <w:rFonts w:eastAsia="宋体"/>
                      <w:sz w:val="21"/>
                    </w:rPr>
                  </w:pPr>
                  <w:r>
                    <w:rPr>
                      <w:rFonts w:hint="eastAsia" w:eastAsia="宋体"/>
                      <w:sz w:val="21"/>
                    </w:rPr>
                    <w:t>/</w:t>
                  </w:r>
                </w:p>
              </w:tc>
            </w:tr>
            <w:tr w14:paraId="74E5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7349FBE3">
                  <w:pPr>
                    <w:pStyle w:val="30"/>
                    <w:widowControl/>
                    <w:spacing w:line="240" w:lineRule="auto"/>
                    <w:ind w:firstLine="0" w:firstLineChars="0"/>
                    <w:jc w:val="center"/>
                    <w:rPr>
                      <w:rFonts w:eastAsia="宋体"/>
                      <w:sz w:val="21"/>
                    </w:rPr>
                  </w:pPr>
                </w:p>
              </w:tc>
              <w:tc>
                <w:tcPr>
                  <w:tcW w:w="933" w:type="dxa"/>
                  <w:vMerge w:val="continue"/>
                  <w:vAlign w:val="center"/>
                </w:tcPr>
                <w:p w14:paraId="78512A86">
                  <w:pPr>
                    <w:pStyle w:val="30"/>
                    <w:widowControl/>
                    <w:spacing w:line="240" w:lineRule="auto"/>
                    <w:ind w:firstLine="0" w:firstLineChars="0"/>
                    <w:jc w:val="center"/>
                    <w:rPr>
                      <w:rFonts w:eastAsia="宋体"/>
                      <w:sz w:val="21"/>
                    </w:rPr>
                  </w:pPr>
                </w:p>
              </w:tc>
              <w:tc>
                <w:tcPr>
                  <w:tcW w:w="1400" w:type="dxa"/>
                  <w:shd w:val="clear" w:color="auto" w:fill="auto"/>
                  <w:vAlign w:val="center"/>
                </w:tcPr>
                <w:p w14:paraId="5CD948A5">
                  <w:pPr>
                    <w:pStyle w:val="30"/>
                    <w:widowControl/>
                    <w:spacing w:line="240" w:lineRule="auto"/>
                    <w:ind w:firstLine="0" w:firstLineChars="0"/>
                    <w:jc w:val="center"/>
                    <w:rPr>
                      <w:rFonts w:eastAsia="宋体"/>
                      <w:sz w:val="21"/>
                    </w:rPr>
                  </w:pPr>
                  <w:r>
                    <w:rPr>
                      <w:rFonts w:hint="eastAsia" w:eastAsia="宋体"/>
                      <w:sz w:val="21"/>
                    </w:rPr>
                    <w:t>环境风险防控</w:t>
                  </w:r>
                </w:p>
              </w:tc>
              <w:tc>
                <w:tcPr>
                  <w:tcW w:w="6383" w:type="dxa"/>
                  <w:shd w:val="clear" w:color="auto" w:fill="auto"/>
                  <w:vAlign w:val="center"/>
                </w:tcPr>
                <w:p w14:paraId="16C4C66C">
                  <w:pPr>
                    <w:pStyle w:val="30"/>
                    <w:widowControl/>
                    <w:spacing w:line="240" w:lineRule="auto"/>
                    <w:ind w:firstLine="0" w:firstLineChars="0"/>
                    <w:rPr>
                      <w:rFonts w:eastAsia="宋体"/>
                      <w:sz w:val="21"/>
                    </w:rPr>
                  </w:pPr>
                  <w:r>
                    <w:rPr>
                      <w:rFonts w:hint="eastAsia" w:eastAsia="宋体"/>
                      <w:sz w:val="21"/>
                    </w:rPr>
                    <w:t>/</w:t>
                  </w:r>
                </w:p>
              </w:tc>
              <w:tc>
                <w:tcPr>
                  <w:tcW w:w="2150" w:type="dxa"/>
                  <w:shd w:val="clear" w:color="auto" w:fill="auto"/>
                  <w:vAlign w:val="center"/>
                </w:tcPr>
                <w:p w14:paraId="15FCE6F7">
                  <w:pPr>
                    <w:pStyle w:val="30"/>
                    <w:widowControl/>
                    <w:spacing w:line="240" w:lineRule="auto"/>
                    <w:ind w:firstLine="0" w:firstLineChars="0"/>
                    <w:jc w:val="center"/>
                    <w:rPr>
                      <w:rFonts w:eastAsia="宋体"/>
                      <w:sz w:val="21"/>
                    </w:rPr>
                  </w:pPr>
                  <w:r>
                    <w:rPr>
                      <w:rFonts w:hint="eastAsia" w:eastAsia="宋体"/>
                      <w:sz w:val="21"/>
                    </w:rPr>
                    <w:t>/</w:t>
                  </w:r>
                </w:p>
              </w:tc>
              <w:tc>
                <w:tcPr>
                  <w:tcW w:w="893" w:type="dxa"/>
                  <w:shd w:val="clear" w:color="auto" w:fill="auto"/>
                  <w:vAlign w:val="center"/>
                </w:tcPr>
                <w:p w14:paraId="22356162">
                  <w:pPr>
                    <w:pStyle w:val="30"/>
                    <w:widowControl/>
                    <w:spacing w:line="240" w:lineRule="auto"/>
                    <w:ind w:firstLine="0" w:firstLineChars="0"/>
                    <w:jc w:val="center"/>
                    <w:rPr>
                      <w:rFonts w:eastAsia="宋体"/>
                      <w:sz w:val="21"/>
                    </w:rPr>
                  </w:pPr>
                  <w:r>
                    <w:rPr>
                      <w:rFonts w:hint="eastAsia" w:eastAsia="宋体"/>
                      <w:sz w:val="21"/>
                    </w:rPr>
                    <w:t>/</w:t>
                  </w:r>
                </w:p>
              </w:tc>
            </w:tr>
            <w:tr w14:paraId="48BB6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28B68B61">
                  <w:pPr>
                    <w:pStyle w:val="30"/>
                    <w:widowControl/>
                    <w:spacing w:line="240" w:lineRule="auto"/>
                    <w:ind w:firstLine="0" w:firstLineChars="0"/>
                    <w:jc w:val="center"/>
                    <w:rPr>
                      <w:rFonts w:eastAsia="宋体"/>
                      <w:sz w:val="21"/>
                    </w:rPr>
                  </w:pPr>
                </w:p>
              </w:tc>
              <w:tc>
                <w:tcPr>
                  <w:tcW w:w="933" w:type="dxa"/>
                  <w:vMerge w:val="continue"/>
                  <w:vAlign w:val="center"/>
                </w:tcPr>
                <w:p w14:paraId="7E0DC9F2">
                  <w:pPr>
                    <w:pStyle w:val="30"/>
                    <w:widowControl/>
                    <w:spacing w:line="240" w:lineRule="auto"/>
                    <w:ind w:firstLine="0" w:firstLineChars="0"/>
                    <w:jc w:val="center"/>
                    <w:rPr>
                      <w:rFonts w:eastAsia="宋体"/>
                      <w:sz w:val="21"/>
                    </w:rPr>
                  </w:pPr>
                </w:p>
              </w:tc>
              <w:tc>
                <w:tcPr>
                  <w:tcW w:w="1400" w:type="dxa"/>
                  <w:shd w:val="clear" w:color="auto" w:fill="auto"/>
                  <w:vAlign w:val="center"/>
                </w:tcPr>
                <w:p w14:paraId="72095494">
                  <w:pPr>
                    <w:pStyle w:val="30"/>
                    <w:widowControl/>
                    <w:spacing w:line="240" w:lineRule="auto"/>
                    <w:ind w:firstLine="0" w:firstLineChars="0"/>
                    <w:jc w:val="center"/>
                    <w:rPr>
                      <w:rFonts w:eastAsia="宋体"/>
                      <w:sz w:val="21"/>
                    </w:rPr>
                  </w:pPr>
                  <w:r>
                    <w:rPr>
                      <w:rFonts w:hint="eastAsia" w:eastAsia="宋体"/>
                      <w:sz w:val="21"/>
                    </w:rPr>
                    <w:t>资源开发利用效率要求</w:t>
                  </w:r>
                </w:p>
              </w:tc>
              <w:tc>
                <w:tcPr>
                  <w:tcW w:w="6383" w:type="dxa"/>
                  <w:vAlign w:val="center"/>
                </w:tcPr>
                <w:p w14:paraId="6AFEA1C8">
                  <w:pPr>
                    <w:pStyle w:val="30"/>
                    <w:widowControl/>
                    <w:spacing w:line="240" w:lineRule="auto"/>
                    <w:ind w:firstLine="0" w:firstLineChars="0"/>
                    <w:rPr>
                      <w:rFonts w:eastAsia="宋体"/>
                      <w:sz w:val="21"/>
                    </w:rPr>
                  </w:pPr>
                  <w:r>
                    <w:rPr>
                      <w:rFonts w:hint="eastAsia" w:eastAsia="宋体"/>
                      <w:sz w:val="21"/>
                    </w:rPr>
                    <w:t>【土地资源开发效率要求】：</w:t>
                  </w:r>
                </w:p>
                <w:p w14:paraId="459164C6">
                  <w:pPr>
                    <w:pStyle w:val="30"/>
                    <w:widowControl/>
                    <w:spacing w:line="240" w:lineRule="auto"/>
                    <w:ind w:firstLine="0" w:firstLineChars="0"/>
                    <w:rPr>
                      <w:rFonts w:eastAsia="宋体"/>
                      <w:sz w:val="21"/>
                    </w:rPr>
                  </w:pPr>
                  <w:r>
                    <w:rPr>
                      <w:rFonts w:hint="eastAsia" w:eastAsia="宋体"/>
                      <w:sz w:val="21"/>
                    </w:rPr>
                    <w:t>土地资源开发利用量不得超过土地资源利用上线控制性指标。</w:t>
                  </w:r>
                </w:p>
              </w:tc>
              <w:tc>
                <w:tcPr>
                  <w:tcW w:w="2150" w:type="dxa"/>
                  <w:shd w:val="clear" w:color="auto" w:fill="auto"/>
                  <w:vAlign w:val="center"/>
                </w:tcPr>
                <w:p w14:paraId="75D3E827">
                  <w:pPr>
                    <w:pStyle w:val="30"/>
                    <w:widowControl/>
                    <w:spacing w:line="240" w:lineRule="auto"/>
                    <w:ind w:firstLine="0" w:firstLineChars="0"/>
                    <w:jc w:val="center"/>
                    <w:rPr>
                      <w:rFonts w:eastAsia="宋体"/>
                      <w:sz w:val="21"/>
                    </w:rPr>
                  </w:pPr>
                  <w:r>
                    <w:rPr>
                      <w:rFonts w:hint="eastAsia" w:eastAsia="宋体"/>
                      <w:sz w:val="21"/>
                    </w:rPr>
                    <w:t>本项目不涉及。</w:t>
                  </w:r>
                </w:p>
              </w:tc>
              <w:tc>
                <w:tcPr>
                  <w:tcW w:w="893" w:type="dxa"/>
                  <w:shd w:val="clear" w:color="auto" w:fill="auto"/>
                  <w:vAlign w:val="center"/>
                </w:tcPr>
                <w:p w14:paraId="5D7E1368">
                  <w:pPr>
                    <w:pStyle w:val="30"/>
                    <w:widowControl/>
                    <w:spacing w:line="240" w:lineRule="auto"/>
                    <w:ind w:firstLine="0" w:firstLineChars="0"/>
                    <w:jc w:val="center"/>
                    <w:rPr>
                      <w:rFonts w:eastAsia="宋体"/>
                      <w:sz w:val="21"/>
                    </w:rPr>
                  </w:pPr>
                  <w:r>
                    <w:rPr>
                      <w:rFonts w:hint="eastAsia" w:eastAsia="宋体"/>
                      <w:sz w:val="21"/>
                    </w:rPr>
                    <w:t>符合</w:t>
                  </w:r>
                </w:p>
              </w:tc>
            </w:tr>
            <w:tr w14:paraId="070C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restart"/>
                  <w:vAlign w:val="center"/>
                </w:tcPr>
                <w:p w14:paraId="58134B1F">
                  <w:pPr>
                    <w:pStyle w:val="30"/>
                    <w:widowControl/>
                    <w:spacing w:line="240" w:lineRule="auto"/>
                    <w:ind w:firstLine="0" w:firstLineChars="0"/>
                    <w:jc w:val="center"/>
                    <w:rPr>
                      <w:rFonts w:eastAsia="宋体"/>
                      <w:sz w:val="21"/>
                    </w:rPr>
                  </w:pPr>
                  <w:r>
                    <w:rPr>
                      <w:rFonts w:hint="eastAsia" w:eastAsia="宋体"/>
                      <w:sz w:val="21"/>
                    </w:rPr>
                    <w:t>YS5119022550001巴州区自然资源重点管控区</w:t>
                  </w:r>
                </w:p>
              </w:tc>
              <w:tc>
                <w:tcPr>
                  <w:tcW w:w="933" w:type="dxa"/>
                  <w:vMerge w:val="restart"/>
                  <w:vAlign w:val="center"/>
                </w:tcPr>
                <w:p w14:paraId="7735B628">
                  <w:pPr>
                    <w:pStyle w:val="30"/>
                    <w:widowControl/>
                    <w:spacing w:line="240" w:lineRule="auto"/>
                    <w:ind w:firstLine="0" w:firstLineChars="0"/>
                    <w:jc w:val="center"/>
                    <w:rPr>
                      <w:rFonts w:eastAsia="宋体"/>
                      <w:sz w:val="21"/>
                    </w:rPr>
                  </w:pPr>
                  <w:r>
                    <w:rPr>
                      <w:rFonts w:hint="eastAsia" w:eastAsia="宋体"/>
                      <w:sz w:val="21"/>
                    </w:rPr>
                    <w:t>自然资源重点管控区</w:t>
                  </w:r>
                </w:p>
              </w:tc>
              <w:tc>
                <w:tcPr>
                  <w:tcW w:w="1400" w:type="dxa"/>
                  <w:shd w:val="clear" w:color="auto" w:fill="auto"/>
                  <w:vAlign w:val="center"/>
                </w:tcPr>
                <w:p w14:paraId="629A0AD3">
                  <w:pPr>
                    <w:pStyle w:val="30"/>
                    <w:widowControl/>
                    <w:spacing w:line="240" w:lineRule="auto"/>
                    <w:ind w:firstLine="0" w:firstLineChars="0"/>
                    <w:jc w:val="center"/>
                    <w:rPr>
                      <w:rFonts w:eastAsia="宋体"/>
                      <w:sz w:val="21"/>
                    </w:rPr>
                  </w:pPr>
                  <w:r>
                    <w:rPr>
                      <w:rFonts w:hint="eastAsia" w:eastAsia="宋体"/>
                      <w:sz w:val="21"/>
                    </w:rPr>
                    <w:t>空间布局约束</w:t>
                  </w:r>
                </w:p>
              </w:tc>
              <w:tc>
                <w:tcPr>
                  <w:tcW w:w="6383" w:type="dxa"/>
                  <w:vAlign w:val="center"/>
                </w:tcPr>
                <w:p w14:paraId="4A9E28E1">
                  <w:pPr>
                    <w:pStyle w:val="30"/>
                    <w:widowControl/>
                    <w:spacing w:line="240" w:lineRule="auto"/>
                    <w:ind w:firstLine="0" w:firstLineChars="0"/>
                    <w:rPr>
                      <w:rFonts w:eastAsia="宋体"/>
                      <w:sz w:val="21"/>
                    </w:rPr>
                  </w:pPr>
                  <w:r>
                    <w:rPr>
                      <w:rFonts w:hint="eastAsia" w:eastAsia="宋体"/>
                      <w:sz w:val="21"/>
                    </w:rPr>
                    <w:t>/</w:t>
                  </w:r>
                </w:p>
              </w:tc>
              <w:tc>
                <w:tcPr>
                  <w:tcW w:w="2150" w:type="dxa"/>
                  <w:vAlign w:val="center"/>
                </w:tcPr>
                <w:p w14:paraId="30930C9E">
                  <w:pPr>
                    <w:pStyle w:val="30"/>
                    <w:widowControl/>
                    <w:spacing w:line="240" w:lineRule="auto"/>
                    <w:ind w:firstLine="0" w:firstLineChars="0"/>
                    <w:jc w:val="center"/>
                    <w:rPr>
                      <w:rFonts w:eastAsia="宋体"/>
                      <w:sz w:val="21"/>
                    </w:rPr>
                  </w:pPr>
                  <w:r>
                    <w:rPr>
                      <w:rFonts w:hint="eastAsia" w:eastAsia="宋体"/>
                      <w:sz w:val="21"/>
                    </w:rPr>
                    <w:t>/</w:t>
                  </w:r>
                </w:p>
              </w:tc>
              <w:tc>
                <w:tcPr>
                  <w:tcW w:w="893" w:type="dxa"/>
                  <w:vAlign w:val="center"/>
                </w:tcPr>
                <w:p w14:paraId="1457CAD0">
                  <w:pPr>
                    <w:pStyle w:val="30"/>
                    <w:widowControl/>
                    <w:spacing w:line="240" w:lineRule="auto"/>
                    <w:ind w:firstLine="0" w:firstLineChars="0"/>
                    <w:jc w:val="center"/>
                    <w:rPr>
                      <w:rFonts w:eastAsia="宋体"/>
                      <w:sz w:val="21"/>
                    </w:rPr>
                  </w:pPr>
                  <w:r>
                    <w:rPr>
                      <w:rFonts w:hint="eastAsia" w:eastAsia="宋体"/>
                      <w:sz w:val="21"/>
                    </w:rPr>
                    <w:t>/</w:t>
                  </w:r>
                </w:p>
              </w:tc>
            </w:tr>
            <w:tr w14:paraId="4B391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7F722869">
                  <w:pPr>
                    <w:pStyle w:val="30"/>
                    <w:widowControl/>
                    <w:spacing w:line="240" w:lineRule="auto"/>
                    <w:ind w:firstLine="0" w:firstLineChars="0"/>
                    <w:jc w:val="center"/>
                    <w:rPr>
                      <w:rFonts w:eastAsia="宋体"/>
                      <w:sz w:val="21"/>
                    </w:rPr>
                  </w:pPr>
                </w:p>
              </w:tc>
              <w:tc>
                <w:tcPr>
                  <w:tcW w:w="933" w:type="dxa"/>
                  <w:vMerge w:val="continue"/>
                  <w:vAlign w:val="center"/>
                </w:tcPr>
                <w:p w14:paraId="598531B0">
                  <w:pPr>
                    <w:pStyle w:val="30"/>
                    <w:widowControl/>
                    <w:spacing w:line="240" w:lineRule="auto"/>
                    <w:ind w:firstLine="0" w:firstLineChars="0"/>
                    <w:jc w:val="center"/>
                    <w:rPr>
                      <w:rFonts w:eastAsia="宋体"/>
                      <w:sz w:val="21"/>
                    </w:rPr>
                  </w:pPr>
                </w:p>
              </w:tc>
              <w:tc>
                <w:tcPr>
                  <w:tcW w:w="1400" w:type="dxa"/>
                  <w:shd w:val="clear" w:color="auto" w:fill="auto"/>
                  <w:vAlign w:val="center"/>
                </w:tcPr>
                <w:p w14:paraId="65D01C5B">
                  <w:pPr>
                    <w:pStyle w:val="30"/>
                    <w:widowControl/>
                    <w:spacing w:line="240" w:lineRule="auto"/>
                    <w:ind w:firstLine="0" w:firstLineChars="0"/>
                    <w:jc w:val="center"/>
                    <w:rPr>
                      <w:rFonts w:eastAsia="宋体"/>
                      <w:sz w:val="21"/>
                    </w:rPr>
                  </w:pPr>
                  <w:r>
                    <w:rPr>
                      <w:rFonts w:hint="eastAsia" w:eastAsia="宋体"/>
                      <w:sz w:val="21"/>
                    </w:rPr>
                    <w:t>污染物排放管控</w:t>
                  </w:r>
                </w:p>
              </w:tc>
              <w:tc>
                <w:tcPr>
                  <w:tcW w:w="6383" w:type="dxa"/>
                  <w:vAlign w:val="center"/>
                </w:tcPr>
                <w:p w14:paraId="7BDCACB7">
                  <w:pPr>
                    <w:pStyle w:val="30"/>
                    <w:widowControl/>
                    <w:spacing w:line="240" w:lineRule="auto"/>
                    <w:ind w:firstLine="0" w:firstLineChars="0"/>
                    <w:rPr>
                      <w:rFonts w:eastAsia="宋体"/>
                      <w:sz w:val="21"/>
                    </w:rPr>
                  </w:pPr>
                  <w:r>
                    <w:rPr>
                      <w:rFonts w:hint="eastAsia" w:eastAsia="宋体"/>
                      <w:sz w:val="21"/>
                    </w:rPr>
                    <w:t>/</w:t>
                  </w:r>
                </w:p>
              </w:tc>
              <w:tc>
                <w:tcPr>
                  <w:tcW w:w="2150" w:type="dxa"/>
                  <w:vAlign w:val="center"/>
                </w:tcPr>
                <w:p w14:paraId="5BDAEAA1">
                  <w:pPr>
                    <w:pStyle w:val="30"/>
                    <w:widowControl/>
                    <w:spacing w:line="240" w:lineRule="auto"/>
                    <w:ind w:firstLine="0" w:firstLineChars="0"/>
                    <w:jc w:val="center"/>
                    <w:rPr>
                      <w:rFonts w:eastAsia="宋体"/>
                      <w:sz w:val="21"/>
                    </w:rPr>
                  </w:pPr>
                  <w:r>
                    <w:rPr>
                      <w:rFonts w:hint="eastAsia" w:eastAsia="宋体"/>
                      <w:sz w:val="21"/>
                    </w:rPr>
                    <w:t>/</w:t>
                  </w:r>
                </w:p>
              </w:tc>
              <w:tc>
                <w:tcPr>
                  <w:tcW w:w="893" w:type="dxa"/>
                  <w:vAlign w:val="center"/>
                </w:tcPr>
                <w:p w14:paraId="78680FF5">
                  <w:pPr>
                    <w:pStyle w:val="30"/>
                    <w:widowControl/>
                    <w:spacing w:line="240" w:lineRule="auto"/>
                    <w:ind w:firstLine="0" w:firstLineChars="0"/>
                    <w:jc w:val="center"/>
                    <w:rPr>
                      <w:rFonts w:eastAsia="宋体"/>
                      <w:sz w:val="21"/>
                    </w:rPr>
                  </w:pPr>
                  <w:r>
                    <w:rPr>
                      <w:rFonts w:hint="eastAsia" w:eastAsia="宋体"/>
                      <w:sz w:val="21"/>
                    </w:rPr>
                    <w:t>/</w:t>
                  </w:r>
                </w:p>
              </w:tc>
            </w:tr>
            <w:tr w14:paraId="389E8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67800E2E">
                  <w:pPr>
                    <w:pStyle w:val="30"/>
                    <w:widowControl/>
                    <w:spacing w:line="240" w:lineRule="auto"/>
                    <w:ind w:firstLine="0" w:firstLineChars="0"/>
                    <w:jc w:val="center"/>
                    <w:rPr>
                      <w:rFonts w:eastAsia="宋体"/>
                      <w:sz w:val="21"/>
                    </w:rPr>
                  </w:pPr>
                </w:p>
              </w:tc>
              <w:tc>
                <w:tcPr>
                  <w:tcW w:w="933" w:type="dxa"/>
                  <w:vMerge w:val="continue"/>
                  <w:vAlign w:val="center"/>
                </w:tcPr>
                <w:p w14:paraId="36ACDE5E">
                  <w:pPr>
                    <w:pStyle w:val="30"/>
                    <w:widowControl/>
                    <w:spacing w:line="240" w:lineRule="auto"/>
                    <w:ind w:firstLine="0" w:firstLineChars="0"/>
                    <w:jc w:val="center"/>
                    <w:rPr>
                      <w:rFonts w:eastAsia="宋体"/>
                      <w:sz w:val="21"/>
                    </w:rPr>
                  </w:pPr>
                </w:p>
              </w:tc>
              <w:tc>
                <w:tcPr>
                  <w:tcW w:w="1400" w:type="dxa"/>
                  <w:shd w:val="clear" w:color="auto" w:fill="auto"/>
                  <w:vAlign w:val="center"/>
                </w:tcPr>
                <w:p w14:paraId="20DB85F4">
                  <w:pPr>
                    <w:pStyle w:val="30"/>
                    <w:widowControl/>
                    <w:spacing w:line="240" w:lineRule="auto"/>
                    <w:ind w:firstLine="0" w:firstLineChars="0"/>
                    <w:jc w:val="center"/>
                    <w:rPr>
                      <w:rFonts w:eastAsia="宋体"/>
                      <w:sz w:val="21"/>
                    </w:rPr>
                  </w:pPr>
                  <w:r>
                    <w:rPr>
                      <w:rFonts w:hint="eastAsia" w:eastAsia="宋体"/>
                      <w:sz w:val="21"/>
                    </w:rPr>
                    <w:t>环境风险防控</w:t>
                  </w:r>
                </w:p>
              </w:tc>
              <w:tc>
                <w:tcPr>
                  <w:tcW w:w="6383" w:type="dxa"/>
                  <w:vAlign w:val="center"/>
                </w:tcPr>
                <w:p w14:paraId="20AEB843">
                  <w:pPr>
                    <w:pStyle w:val="30"/>
                    <w:widowControl/>
                    <w:spacing w:line="240" w:lineRule="auto"/>
                    <w:ind w:firstLine="0" w:firstLineChars="0"/>
                    <w:rPr>
                      <w:rFonts w:eastAsia="宋体"/>
                      <w:sz w:val="21"/>
                    </w:rPr>
                  </w:pPr>
                  <w:r>
                    <w:rPr>
                      <w:rFonts w:hint="eastAsia" w:eastAsia="宋体"/>
                      <w:sz w:val="21"/>
                    </w:rPr>
                    <w:t>/</w:t>
                  </w:r>
                </w:p>
              </w:tc>
              <w:tc>
                <w:tcPr>
                  <w:tcW w:w="2150" w:type="dxa"/>
                  <w:vAlign w:val="center"/>
                </w:tcPr>
                <w:p w14:paraId="69DF94EA">
                  <w:pPr>
                    <w:pStyle w:val="30"/>
                    <w:widowControl/>
                    <w:spacing w:line="240" w:lineRule="auto"/>
                    <w:ind w:firstLine="0" w:firstLineChars="0"/>
                    <w:jc w:val="center"/>
                    <w:rPr>
                      <w:rFonts w:eastAsia="宋体"/>
                      <w:sz w:val="21"/>
                    </w:rPr>
                  </w:pPr>
                  <w:r>
                    <w:rPr>
                      <w:rFonts w:hint="eastAsia" w:eastAsia="宋体"/>
                      <w:sz w:val="21"/>
                    </w:rPr>
                    <w:t>/</w:t>
                  </w:r>
                </w:p>
              </w:tc>
              <w:tc>
                <w:tcPr>
                  <w:tcW w:w="893" w:type="dxa"/>
                  <w:vAlign w:val="center"/>
                </w:tcPr>
                <w:p w14:paraId="4160C626">
                  <w:pPr>
                    <w:pStyle w:val="30"/>
                    <w:widowControl/>
                    <w:spacing w:line="240" w:lineRule="auto"/>
                    <w:ind w:firstLine="0" w:firstLineChars="0"/>
                    <w:jc w:val="center"/>
                    <w:rPr>
                      <w:rFonts w:eastAsia="宋体"/>
                      <w:sz w:val="21"/>
                    </w:rPr>
                  </w:pPr>
                  <w:r>
                    <w:rPr>
                      <w:rFonts w:hint="eastAsia" w:eastAsia="宋体"/>
                      <w:sz w:val="21"/>
                    </w:rPr>
                    <w:t>/</w:t>
                  </w:r>
                </w:p>
              </w:tc>
            </w:tr>
            <w:tr w14:paraId="167E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3445AE40">
                  <w:pPr>
                    <w:pStyle w:val="30"/>
                    <w:widowControl/>
                    <w:spacing w:line="240" w:lineRule="auto"/>
                    <w:ind w:firstLine="0" w:firstLineChars="0"/>
                    <w:jc w:val="center"/>
                    <w:rPr>
                      <w:rFonts w:eastAsia="宋体"/>
                      <w:sz w:val="21"/>
                    </w:rPr>
                  </w:pPr>
                </w:p>
              </w:tc>
              <w:tc>
                <w:tcPr>
                  <w:tcW w:w="933" w:type="dxa"/>
                  <w:vMerge w:val="continue"/>
                  <w:vAlign w:val="center"/>
                </w:tcPr>
                <w:p w14:paraId="703A9CE5">
                  <w:pPr>
                    <w:pStyle w:val="30"/>
                    <w:widowControl/>
                    <w:spacing w:line="240" w:lineRule="auto"/>
                    <w:ind w:firstLine="0" w:firstLineChars="0"/>
                    <w:jc w:val="center"/>
                    <w:rPr>
                      <w:rFonts w:eastAsia="宋体"/>
                      <w:sz w:val="21"/>
                    </w:rPr>
                  </w:pPr>
                </w:p>
              </w:tc>
              <w:tc>
                <w:tcPr>
                  <w:tcW w:w="1400" w:type="dxa"/>
                  <w:shd w:val="clear" w:color="auto" w:fill="auto"/>
                  <w:vAlign w:val="center"/>
                </w:tcPr>
                <w:p w14:paraId="13A2009E">
                  <w:pPr>
                    <w:pStyle w:val="30"/>
                    <w:widowControl/>
                    <w:spacing w:line="240" w:lineRule="auto"/>
                    <w:ind w:firstLine="0" w:firstLineChars="0"/>
                    <w:jc w:val="center"/>
                    <w:rPr>
                      <w:rFonts w:eastAsia="宋体"/>
                      <w:sz w:val="21"/>
                    </w:rPr>
                  </w:pPr>
                  <w:r>
                    <w:rPr>
                      <w:rFonts w:hint="eastAsia" w:eastAsia="宋体"/>
                      <w:sz w:val="21"/>
                    </w:rPr>
                    <w:t>资源开发利用效率要求</w:t>
                  </w:r>
                </w:p>
              </w:tc>
              <w:tc>
                <w:tcPr>
                  <w:tcW w:w="6383" w:type="dxa"/>
                  <w:shd w:val="clear" w:color="auto" w:fill="auto"/>
                  <w:vAlign w:val="center"/>
                </w:tcPr>
                <w:p w14:paraId="48FE77F4">
                  <w:pPr>
                    <w:pStyle w:val="30"/>
                    <w:widowControl/>
                    <w:spacing w:line="240" w:lineRule="auto"/>
                    <w:ind w:firstLine="0" w:firstLineChars="0"/>
                    <w:rPr>
                      <w:rFonts w:eastAsia="宋体"/>
                      <w:sz w:val="21"/>
                    </w:rPr>
                  </w:pPr>
                  <w:r>
                    <w:rPr>
                      <w:rFonts w:hint="eastAsia" w:eastAsia="宋体"/>
                      <w:sz w:val="21"/>
                    </w:rPr>
                    <w:t>【土地资源开发效率要求】：</w:t>
                  </w:r>
                </w:p>
                <w:p w14:paraId="654C9B36">
                  <w:pPr>
                    <w:pStyle w:val="30"/>
                    <w:widowControl/>
                    <w:spacing w:line="240" w:lineRule="auto"/>
                    <w:ind w:firstLine="0" w:firstLineChars="0"/>
                    <w:rPr>
                      <w:rFonts w:eastAsia="宋体"/>
                      <w:sz w:val="21"/>
                    </w:rPr>
                  </w:pPr>
                  <w:r>
                    <w:rPr>
                      <w:rFonts w:hint="eastAsia" w:eastAsia="宋体"/>
                      <w:sz w:val="21"/>
                    </w:rPr>
                    <w:t>土地资源开发利用量不得超过土地资源利用上线控制性指标。</w:t>
                  </w:r>
                </w:p>
              </w:tc>
              <w:tc>
                <w:tcPr>
                  <w:tcW w:w="2150" w:type="dxa"/>
                  <w:shd w:val="clear" w:color="auto" w:fill="auto"/>
                  <w:vAlign w:val="center"/>
                </w:tcPr>
                <w:p w14:paraId="46EB6313">
                  <w:pPr>
                    <w:pStyle w:val="30"/>
                    <w:widowControl/>
                    <w:spacing w:line="240" w:lineRule="auto"/>
                    <w:ind w:firstLine="0" w:firstLineChars="0"/>
                    <w:jc w:val="center"/>
                    <w:rPr>
                      <w:rFonts w:eastAsia="宋体"/>
                      <w:sz w:val="21"/>
                    </w:rPr>
                  </w:pPr>
                  <w:r>
                    <w:rPr>
                      <w:rFonts w:hint="eastAsia" w:eastAsia="宋体"/>
                      <w:sz w:val="21"/>
                    </w:rPr>
                    <w:t>本项目不涉及。</w:t>
                  </w:r>
                </w:p>
              </w:tc>
              <w:tc>
                <w:tcPr>
                  <w:tcW w:w="893" w:type="dxa"/>
                  <w:shd w:val="clear" w:color="auto" w:fill="auto"/>
                  <w:vAlign w:val="center"/>
                </w:tcPr>
                <w:p w14:paraId="4F449E6D">
                  <w:pPr>
                    <w:pStyle w:val="30"/>
                    <w:widowControl/>
                    <w:spacing w:line="240" w:lineRule="auto"/>
                    <w:ind w:firstLine="0" w:firstLineChars="0"/>
                    <w:jc w:val="center"/>
                    <w:rPr>
                      <w:rFonts w:eastAsia="宋体"/>
                      <w:sz w:val="21"/>
                    </w:rPr>
                  </w:pPr>
                  <w:r>
                    <w:rPr>
                      <w:rFonts w:hint="eastAsia" w:eastAsia="宋体"/>
                      <w:sz w:val="21"/>
                    </w:rPr>
                    <w:t>符合</w:t>
                  </w:r>
                </w:p>
              </w:tc>
            </w:tr>
            <w:tr w14:paraId="4BFAB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restart"/>
                  <w:vAlign w:val="center"/>
                </w:tcPr>
                <w:p w14:paraId="1348A391">
                  <w:pPr>
                    <w:pStyle w:val="30"/>
                    <w:widowControl/>
                    <w:spacing w:line="240" w:lineRule="auto"/>
                    <w:ind w:firstLine="0" w:firstLineChars="0"/>
                    <w:jc w:val="center"/>
                    <w:rPr>
                      <w:rFonts w:eastAsia="宋体"/>
                      <w:sz w:val="21"/>
                    </w:rPr>
                  </w:pPr>
                  <w:r>
                    <w:rPr>
                      <w:rFonts w:hint="eastAsia" w:eastAsia="宋体"/>
                      <w:sz w:val="21"/>
                    </w:rPr>
                    <w:t>YS5119023110001巴州区其他区域</w:t>
                  </w:r>
                </w:p>
              </w:tc>
              <w:tc>
                <w:tcPr>
                  <w:tcW w:w="933" w:type="dxa"/>
                  <w:vMerge w:val="restart"/>
                  <w:vAlign w:val="center"/>
                </w:tcPr>
                <w:p w14:paraId="64B7ADB1">
                  <w:pPr>
                    <w:pStyle w:val="30"/>
                    <w:widowControl/>
                    <w:spacing w:line="240" w:lineRule="auto"/>
                    <w:ind w:firstLine="0" w:firstLineChars="0"/>
                    <w:jc w:val="center"/>
                    <w:rPr>
                      <w:rFonts w:eastAsia="宋体"/>
                      <w:sz w:val="21"/>
                    </w:rPr>
                  </w:pPr>
                  <w:r>
                    <w:rPr>
                      <w:rFonts w:hint="eastAsia" w:eastAsia="宋体"/>
                      <w:sz w:val="21"/>
                    </w:rPr>
                    <w:t>一般管控区</w:t>
                  </w:r>
                </w:p>
              </w:tc>
              <w:tc>
                <w:tcPr>
                  <w:tcW w:w="1400" w:type="dxa"/>
                  <w:shd w:val="clear" w:color="auto" w:fill="auto"/>
                  <w:vAlign w:val="center"/>
                </w:tcPr>
                <w:p w14:paraId="758F4C18">
                  <w:pPr>
                    <w:pStyle w:val="30"/>
                    <w:widowControl/>
                    <w:spacing w:line="240" w:lineRule="auto"/>
                    <w:ind w:firstLine="0" w:firstLineChars="0"/>
                    <w:jc w:val="center"/>
                    <w:rPr>
                      <w:rFonts w:eastAsia="宋体"/>
                      <w:sz w:val="21"/>
                    </w:rPr>
                  </w:pPr>
                  <w:r>
                    <w:rPr>
                      <w:rFonts w:hint="eastAsia" w:eastAsia="宋体"/>
                      <w:sz w:val="21"/>
                    </w:rPr>
                    <w:t>空间布局约束</w:t>
                  </w:r>
                </w:p>
              </w:tc>
              <w:tc>
                <w:tcPr>
                  <w:tcW w:w="6383" w:type="dxa"/>
                  <w:shd w:val="clear" w:color="auto" w:fill="auto"/>
                  <w:vAlign w:val="center"/>
                </w:tcPr>
                <w:p w14:paraId="15672B09">
                  <w:pPr>
                    <w:pStyle w:val="30"/>
                    <w:widowControl/>
                    <w:spacing w:line="240" w:lineRule="auto"/>
                    <w:ind w:firstLine="0" w:firstLineChars="0"/>
                    <w:rPr>
                      <w:rFonts w:eastAsia="宋体"/>
                      <w:sz w:val="21"/>
                    </w:rPr>
                  </w:pPr>
                  <w:r>
                    <w:rPr>
                      <w:rFonts w:hint="eastAsia" w:eastAsia="宋体"/>
                      <w:sz w:val="21"/>
                    </w:rPr>
                    <w:t>/</w:t>
                  </w:r>
                </w:p>
              </w:tc>
              <w:tc>
                <w:tcPr>
                  <w:tcW w:w="2150" w:type="dxa"/>
                  <w:shd w:val="clear" w:color="auto" w:fill="auto"/>
                  <w:vAlign w:val="center"/>
                </w:tcPr>
                <w:p w14:paraId="31EAA48E">
                  <w:pPr>
                    <w:pStyle w:val="30"/>
                    <w:widowControl/>
                    <w:spacing w:line="240" w:lineRule="auto"/>
                    <w:ind w:firstLine="0" w:firstLineChars="0"/>
                    <w:jc w:val="center"/>
                    <w:rPr>
                      <w:rFonts w:eastAsia="宋体"/>
                      <w:sz w:val="21"/>
                    </w:rPr>
                  </w:pPr>
                  <w:r>
                    <w:rPr>
                      <w:rFonts w:hint="eastAsia" w:eastAsia="宋体"/>
                      <w:sz w:val="21"/>
                    </w:rPr>
                    <w:t>/</w:t>
                  </w:r>
                </w:p>
              </w:tc>
              <w:tc>
                <w:tcPr>
                  <w:tcW w:w="893" w:type="dxa"/>
                  <w:shd w:val="clear" w:color="auto" w:fill="auto"/>
                  <w:vAlign w:val="center"/>
                </w:tcPr>
                <w:p w14:paraId="11B79C7A">
                  <w:pPr>
                    <w:pStyle w:val="30"/>
                    <w:widowControl/>
                    <w:spacing w:line="240" w:lineRule="auto"/>
                    <w:ind w:firstLine="0" w:firstLineChars="0"/>
                    <w:jc w:val="center"/>
                    <w:rPr>
                      <w:rFonts w:eastAsia="宋体"/>
                      <w:sz w:val="21"/>
                    </w:rPr>
                  </w:pPr>
                  <w:r>
                    <w:rPr>
                      <w:rFonts w:hint="eastAsia" w:eastAsia="宋体"/>
                      <w:sz w:val="21"/>
                    </w:rPr>
                    <w:t>/</w:t>
                  </w:r>
                </w:p>
              </w:tc>
            </w:tr>
            <w:tr w14:paraId="0BE67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6BBEBADD">
                  <w:pPr>
                    <w:pStyle w:val="30"/>
                    <w:widowControl/>
                    <w:spacing w:line="240" w:lineRule="auto"/>
                    <w:ind w:firstLine="0" w:firstLineChars="0"/>
                    <w:jc w:val="center"/>
                    <w:rPr>
                      <w:rFonts w:eastAsia="宋体"/>
                      <w:sz w:val="21"/>
                    </w:rPr>
                  </w:pPr>
                </w:p>
              </w:tc>
              <w:tc>
                <w:tcPr>
                  <w:tcW w:w="933" w:type="dxa"/>
                  <w:vMerge w:val="continue"/>
                  <w:vAlign w:val="center"/>
                </w:tcPr>
                <w:p w14:paraId="0F139B36">
                  <w:pPr>
                    <w:pStyle w:val="30"/>
                    <w:widowControl/>
                    <w:spacing w:line="240" w:lineRule="auto"/>
                    <w:ind w:firstLine="0" w:firstLineChars="0"/>
                    <w:jc w:val="center"/>
                    <w:rPr>
                      <w:rFonts w:eastAsia="宋体"/>
                      <w:sz w:val="21"/>
                    </w:rPr>
                  </w:pPr>
                </w:p>
              </w:tc>
              <w:tc>
                <w:tcPr>
                  <w:tcW w:w="1400" w:type="dxa"/>
                  <w:shd w:val="clear" w:color="auto" w:fill="auto"/>
                  <w:vAlign w:val="center"/>
                </w:tcPr>
                <w:p w14:paraId="7E3621E2">
                  <w:pPr>
                    <w:pStyle w:val="30"/>
                    <w:widowControl/>
                    <w:spacing w:line="240" w:lineRule="auto"/>
                    <w:ind w:firstLine="0" w:firstLineChars="0"/>
                    <w:jc w:val="center"/>
                    <w:rPr>
                      <w:rFonts w:eastAsia="宋体"/>
                      <w:sz w:val="21"/>
                    </w:rPr>
                  </w:pPr>
                  <w:r>
                    <w:rPr>
                      <w:rFonts w:hint="eastAsia" w:eastAsia="宋体"/>
                      <w:sz w:val="21"/>
                    </w:rPr>
                    <w:t>污染物排放管控</w:t>
                  </w:r>
                </w:p>
              </w:tc>
              <w:tc>
                <w:tcPr>
                  <w:tcW w:w="6383" w:type="dxa"/>
                  <w:shd w:val="clear" w:color="auto" w:fill="auto"/>
                  <w:vAlign w:val="center"/>
                </w:tcPr>
                <w:p w14:paraId="7DBECEF0">
                  <w:pPr>
                    <w:pStyle w:val="30"/>
                    <w:widowControl/>
                    <w:spacing w:line="240" w:lineRule="auto"/>
                    <w:ind w:firstLine="0" w:firstLineChars="0"/>
                    <w:rPr>
                      <w:rFonts w:eastAsia="宋体"/>
                      <w:sz w:val="21"/>
                    </w:rPr>
                  </w:pPr>
                  <w:r>
                    <w:rPr>
                      <w:rFonts w:hint="eastAsia" w:eastAsia="宋体"/>
                      <w:sz w:val="21"/>
                    </w:rPr>
                    <w:t>/</w:t>
                  </w:r>
                </w:p>
              </w:tc>
              <w:tc>
                <w:tcPr>
                  <w:tcW w:w="2150" w:type="dxa"/>
                  <w:shd w:val="clear" w:color="auto" w:fill="auto"/>
                  <w:vAlign w:val="center"/>
                </w:tcPr>
                <w:p w14:paraId="1C15C680">
                  <w:pPr>
                    <w:pStyle w:val="30"/>
                    <w:widowControl/>
                    <w:spacing w:line="240" w:lineRule="auto"/>
                    <w:ind w:firstLine="0" w:firstLineChars="0"/>
                    <w:jc w:val="center"/>
                    <w:rPr>
                      <w:rFonts w:eastAsia="宋体"/>
                      <w:sz w:val="21"/>
                    </w:rPr>
                  </w:pPr>
                  <w:r>
                    <w:rPr>
                      <w:rFonts w:hint="eastAsia" w:eastAsia="宋体"/>
                      <w:sz w:val="21"/>
                    </w:rPr>
                    <w:t>/</w:t>
                  </w:r>
                </w:p>
              </w:tc>
              <w:tc>
                <w:tcPr>
                  <w:tcW w:w="893" w:type="dxa"/>
                  <w:shd w:val="clear" w:color="auto" w:fill="auto"/>
                  <w:vAlign w:val="center"/>
                </w:tcPr>
                <w:p w14:paraId="0A6CD2FA">
                  <w:pPr>
                    <w:pStyle w:val="30"/>
                    <w:widowControl/>
                    <w:spacing w:line="240" w:lineRule="auto"/>
                    <w:ind w:firstLine="0" w:firstLineChars="0"/>
                    <w:jc w:val="center"/>
                    <w:rPr>
                      <w:rFonts w:eastAsia="宋体"/>
                      <w:sz w:val="21"/>
                    </w:rPr>
                  </w:pPr>
                  <w:r>
                    <w:rPr>
                      <w:rFonts w:hint="eastAsia" w:eastAsia="宋体"/>
                      <w:sz w:val="21"/>
                    </w:rPr>
                    <w:t>/</w:t>
                  </w:r>
                </w:p>
              </w:tc>
            </w:tr>
            <w:tr w14:paraId="2E62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2355F5CB">
                  <w:pPr>
                    <w:pStyle w:val="30"/>
                    <w:widowControl/>
                    <w:spacing w:line="240" w:lineRule="auto"/>
                    <w:ind w:firstLine="0" w:firstLineChars="0"/>
                    <w:jc w:val="center"/>
                    <w:rPr>
                      <w:rFonts w:eastAsia="宋体"/>
                      <w:sz w:val="21"/>
                    </w:rPr>
                  </w:pPr>
                </w:p>
              </w:tc>
              <w:tc>
                <w:tcPr>
                  <w:tcW w:w="933" w:type="dxa"/>
                  <w:vMerge w:val="continue"/>
                  <w:vAlign w:val="center"/>
                </w:tcPr>
                <w:p w14:paraId="33C32398">
                  <w:pPr>
                    <w:pStyle w:val="30"/>
                    <w:widowControl/>
                    <w:spacing w:line="240" w:lineRule="auto"/>
                    <w:ind w:firstLine="0" w:firstLineChars="0"/>
                    <w:jc w:val="center"/>
                    <w:rPr>
                      <w:rFonts w:eastAsia="宋体"/>
                      <w:sz w:val="21"/>
                    </w:rPr>
                  </w:pPr>
                </w:p>
              </w:tc>
              <w:tc>
                <w:tcPr>
                  <w:tcW w:w="1400" w:type="dxa"/>
                  <w:shd w:val="clear" w:color="auto" w:fill="auto"/>
                  <w:vAlign w:val="center"/>
                </w:tcPr>
                <w:p w14:paraId="6039568F">
                  <w:pPr>
                    <w:pStyle w:val="30"/>
                    <w:widowControl/>
                    <w:spacing w:line="240" w:lineRule="auto"/>
                    <w:ind w:firstLine="0" w:firstLineChars="0"/>
                    <w:jc w:val="center"/>
                    <w:rPr>
                      <w:rFonts w:eastAsia="宋体"/>
                      <w:sz w:val="21"/>
                    </w:rPr>
                  </w:pPr>
                  <w:r>
                    <w:rPr>
                      <w:rFonts w:hint="eastAsia" w:eastAsia="宋体"/>
                      <w:sz w:val="21"/>
                    </w:rPr>
                    <w:t>环境风险防控</w:t>
                  </w:r>
                </w:p>
              </w:tc>
              <w:tc>
                <w:tcPr>
                  <w:tcW w:w="6383" w:type="dxa"/>
                  <w:shd w:val="clear" w:color="auto" w:fill="auto"/>
                  <w:vAlign w:val="center"/>
                </w:tcPr>
                <w:p w14:paraId="12BA8BB6">
                  <w:pPr>
                    <w:pStyle w:val="30"/>
                    <w:widowControl/>
                    <w:spacing w:line="240" w:lineRule="auto"/>
                    <w:ind w:firstLine="0" w:firstLineChars="0"/>
                    <w:rPr>
                      <w:rFonts w:eastAsia="宋体"/>
                      <w:sz w:val="21"/>
                    </w:rPr>
                  </w:pPr>
                  <w:r>
                    <w:rPr>
                      <w:rFonts w:hint="eastAsia" w:eastAsia="宋体"/>
                      <w:sz w:val="21"/>
                    </w:rPr>
                    <w:t>/</w:t>
                  </w:r>
                </w:p>
              </w:tc>
              <w:tc>
                <w:tcPr>
                  <w:tcW w:w="2150" w:type="dxa"/>
                  <w:shd w:val="clear" w:color="auto" w:fill="auto"/>
                  <w:vAlign w:val="center"/>
                </w:tcPr>
                <w:p w14:paraId="198E7DD7">
                  <w:pPr>
                    <w:pStyle w:val="30"/>
                    <w:widowControl/>
                    <w:spacing w:line="240" w:lineRule="auto"/>
                    <w:ind w:firstLine="0" w:firstLineChars="0"/>
                    <w:jc w:val="center"/>
                    <w:rPr>
                      <w:rFonts w:eastAsia="宋体"/>
                      <w:sz w:val="21"/>
                    </w:rPr>
                  </w:pPr>
                  <w:r>
                    <w:rPr>
                      <w:rFonts w:hint="eastAsia" w:eastAsia="宋体"/>
                      <w:sz w:val="21"/>
                    </w:rPr>
                    <w:t>/</w:t>
                  </w:r>
                </w:p>
              </w:tc>
              <w:tc>
                <w:tcPr>
                  <w:tcW w:w="893" w:type="dxa"/>
                  <w:shd w:val="clear" w:color="auto" w:fill="auto"/>
                  <w:vAlign w:val="center"/>
                </w:tcPr>
                <w:p w14:paraId="0A7E67D7">
                  <w:pPr>
                    <w:pStyle w:val="30"/>
                    <w:widowControl/>
                    <w:spacing w:line="240" w:lineRule="auto"/>
                    <w:ind w:firstLine="0" w:firstLineChars="0"/>
                    <w:jc w:val="center"/>
                    <w:rPr>
                      <w:rFonts w:eastAsia="宋体"/>
                      <w:sz w:val="21"/>
                    </w:rPr>
                  </w:pPr>
                  <w:r>
                    <w:rPr>
                      <w:rFonts w:hint="eastAsia" w:eastAsia="宋体"/>
                      <w:sz w:val="21"/>
                    </w:rPr>
                    <w:t>/</w:t>
                  </w:r>
                </w:p>
              </w:tc>
            </w:tr>
            <w:tr w14:paraId="0A5DD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105244C4">
                  <w:pPr>
                    <w:pStyle w:val="30"/>
                    <w:widowControl/>
                    <w:spacing w:line="240" w:lineRule="auto"/>
                    <w:ind w:firstLine="0" w:firstLineChars="0"/>
                    <w:jc w:val="center"/>
                    <w:rPr>
                      <w:rFonts w:eastAsia="宋体"/>
                      <w:sz w:val="21"/>
                    </w:rPr>
                  </w:pPr>
                </w:p>
              </w:tc>
              <w:tc>
                <w:tcPr>
                  <w:tcW w:w="933" w:type="dxa"/>
                  <w:vMerge w:val="continue"/>
                  <w:vAlign w:val="center"/>
                </w:tcPr>
                <w:p w14:paraId="3F24CE9F">
                  <w:pPr>
                    <w:pStyle w:val="30"/>
                    <w:widowControl/>
                    <w:spacing w:line="240" w:lineRule="auto"/>
                    <w:ind w:firstLine="0" w:firstLineChars="0"/>
                    <w:jc w:val="center"/>
                    <w:rPr>
                      <w:rFonts w:eastAsia="宋体"/>
                      <w:sz w:val="21"/>
                    </w:rPr>
                  </w:pPr>
                </w:p>
              </w:tc>
              <w:tc>
                <w:tcPr>
                  <w:tcW w:w="1400" w:type="dxa"/>
                  <w:shd w:val="clear" w:color="auto" w:fill="auto"/>
                  <w:vAlign w:val="center"/>
                </w:tcPr>
                <w:p w14:paraId="0217852E">
                  <w:pPr>
                    <w:pStyle w:val="30"/>
                    <w:widowControl/>
                    <w:spacing w:line="240" w:lineRule="auto"/>
                    <w:ind w:firstLine="0" w:firstLineChars="0"/>
                    <w:jc w:val="center"/>
                    <w:rPr>
                      <w:rFonts w:eastAsia="宋体"/>
                      <w:sz w:val="21"/>
                    </w:rPr>
                  </w:pPr>
                  <w:r>
                    <w:rPr>
                      <w:rFonts w:hint="eastAsia" w:eastAsia="宋体"/>
                      <w:sz w:val="21"/>
                    </w:rPr>
                    <w:t>资源开发利用效率要求</w:t>
                  </w:r>
                </w:p>
              </w:tc>
              <w:tc>
                <w:tcPr>
                  <w:tcW w:w="6383" w:type="dxa"/>
                  <w:shd w:val="clear" w:color="auto" w:fill="auto"/>
                  <w:vAlign w:val="center"/>
                </w:tcPr>
                <w:p w14:paraId="5B5CD9E6">
                  <w:pPr>
                    <w:pStyle w:val="30"/>
                    <w:widowControl/>
                    <w:spacing w:line="240" w:lineRule="auto"/>
                    <w:ind w:firstLine="0" w:firstLineChars="0"/>
                    <w:rPr>
                      <w:rFonts w:eastAsia="宋体"/>
                      <w:sz w:val="21"/>
                    </w:rPr>
                  </w:pPr>
                  <w:r>
                    <w:rPr>
                      <w:rFonts w:hint="eastAsia" w:eastAsia="宋体"/>
                      <w:sz w:val="21"/>
                    </w:rPr>
                    <w:t>/</w:t>
                  </w:r>
                </w:p>
              </w:tc>
              <w:tc>
                <w:tcPr>
                  <w:tcW w:w="2150" w:type="dxa"/>
                  <w:shd w:val="clear" w:color="auto" w:fill="auto"/>
                  <w:vAlign w:val="center"/>
                </w:tcPr>
                <w:p w14:paraId="1420427F">
                  <w:pPr>
                    <w:pStyle w:val="30"/>
                    <w:widowControl/>
                    <w:spacing w:line="240" w:lineRule="auto"/>
                    <w:ind w:firstLine="0" w:firstLineChars="0"/>
                    <w:jc w:val="center"/>
                    <w:rPr>
                      <w:rFonts w:eastAsia="宋体"/>
                      <w:sz w:val="21"/>
                    </w:rPr>
                  </w:pPr>
                  <w:r>
                    <w:rPr>
                      <w:rFonts w:hint="eastAsia" w:eastAsia="宋体"/>
                      <w:sz w:val="21"/>
                    </w:rPr>
                    <w:t>/</w:t>
                  </w:r>
                </w:p>
              </w:tc>
              <w:tc>
                <w:tcPr>
                  <w:tcW w:w="893" w:type="dxa"/>
                  <w:shd w:val="clear" w:color="auto" w:fill="auto"/>
                  <w:vAlign w:val="center"/>
                </w:tcPr>
                <w:p w14:paraId="34A3C8DF">
                  <w:pPr>
                    <w:pStyle w:val="30"/>
                    <w:widowControl/>
                    <w:spacing w:line="240" w:lineRule="auto"/>
                    <w:ind w:firstLine="0" w:firstLineChars="0"/>
                    <w:jc w:val="center"/>
                    <w:rPr>
                      <w:rFonts w:eastAsia="宋体"/>
                      <w:sz w:val="21"/>
                    </w:rPr>
                  </w:pPr>
                  <w:r>
                    <w:rPr>
                      <w:rFonts w:hint="eastAsia" w:eastAsia="宋体"/>
                      <w:sz w:val="21"/>
                    </w:rPr>
                    <w:t>/</w:t>
                  </w:r>
                </w:p>
              </w:tc>
            </w:tr>
            <w:tr w14:paraId="46142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restart"/>
                  <w:vAlign w:val="center"/>
                </w:tcPr>
                <w:p w14:paraId="4D465C0B">
                  <w:pPr>
                    <w:pStyle w:val="30"/>
                    <w:widowControl/>
                    <w:spacing w:line="240" w:lineRule="auto"/>
                    <w:ind w:firstLine="0" w:firstLineChars="0"/>
                    <w:jc w:val="center"/>
                    <w:rPr>
                      <w:rFonts w:eastAsia="宋体"/>
                      <w:sz w:val="21"/>
                    </w:rPr>
                  </w:pPr>
                  <w:r>
                    <w:rPr>
                      <w:rFonts w:hint="eastAsia" w:eastAsia="宋体"/>
                      <w:sz w:val="21"/>
                    </w:rPr>
                    <w:t>YS5119022220001巴河-巴州区-金碑-控制单元</w:t>
                  </w:r>
                </w:p>
              </w:tc>
              <w:tc>
                <w:tcPr>
                  <w:tcW w:w="933" w:type="dxa"/>
                  <w:vMerge w:val="restart"/>
                  <w:vAlign w:val="center"/>
                </w:tcPr>
                <w:p w14:paraId="1F45F3C8">
                  <w:pPr>
                    <w:pStyle w:val="30"/>
                    <w:widowControl/>
                    <w:spacing w:line="240" w:lineRule="auto"/>
                    <w:ind w:firstLine="0" w:firstLineChars="0"/>
                    <w:jc w:val="center"/>
                    <w:rPr>
                      <w:rFonts w:eastAsia="宋体"/>
                      <w:sz w:val="21"/>
                    </w:rPr>
                  </w:pPr>
                  <w:r>
                    <w:rPr>
                      <w:rFonts w:hint="eastAsia" w:eastAsia="宋体"/>
                      <w:sz w:val="21"/>
                    </w:rPr>
                    <w:t>水环境城镇生活污染重点管控区</w:t>
                  </w:r>
                </w:p>
              </w:tc>
              <w:tc>
                <w:tcPr>
                  <w:tcW w:w="1400" w:type="dxa"/>
                  <w:shd w:val="clear" w:color="auto" w:fill="auto"/>
                  <w:vAlign w:val="center"/>
                </w:tcPr>
                <w:p w14:paraId="59A5F4B4">
                  <w:pPr>
                    <w:pStyle w:val="30"/>
                    <w:widowControl/>
                    <w:spacing w:line="240" w:lineRule="auto"/>
                    <w:ind w:firstLine="0" w:firstLineChars="0"/>
                    <w:jc w:val="center"/>
                    <w:rPr>
                      <w:rFonts w:eastAsia="宋体"/>
                      <w:sz w:val="21"/>
                    </w:rPr>
                  </w:pPr>
                  <w:r>
                    <w:rPr>
                      <w:rFonts w:hint="eastAsia" w:eastAsia="宋体"/>
                      <w:sz w:val="21"/>
                    </w:rPr>
                    <w:t>空间布局约束</w:t>
                  </w:r>
                </w:p>
              </w:tc>
              <w:tc>
                <w:tcPr>
                  <w:tcW w:w="6383" w:type="dxa"/>
                  <w:shd w:val="clear" w:color="auto" w:fill="auto"/>
                  <w:vAlign w:val="center"/>
                </w:tcPr>
                <w:p w14:paraId="4EA98E4F">
                  <w:pPr>
                    <w:pStyle w:val="30"/>
                    <w:widowControl/>
                    <w:spacing w:line="240" w:lineRule="auto"/>
                    <w:ind w:firstLine="0" w:firstLineChars="0"/>
                    <w:rPr>
                      <w:rFonts w:eastAsia="宋体"/>
                      <w:sz w:val="21"/>
                    </w:rPr>
                  </w:pPr>
                  <w:r>
                    <w:rPr>
                      <w:rFonts w:hint="eastAsia" w:eastAsia="宋体"/>
                      <w:sz w:val="21"/>
                    </w:rPr>
                    <w:t>/</w:t>
                  </w:r>
                </w:p>
              </w:tc>
              <w:tc>
                <w:tcPr>
                  <w:tcW w:w="2150" w:type="dxa"/>
                  <w:shd w:val="clear" w:color="auto" w:fill="auto"/>
                  <w:vAlign w:val="center"/>
                </w:tcPr>
                <w:p w14:paraId="59C53C46">
                  <w:pPr>
                    <w:pStyle w:val="30"/>
                    <w:widowControl/>
                    <w:spacing w:line="240" w:lineRule="auto"/>
                    <w:ind w:firstLine="0" w:firstLineChars="0"/>
                    <w:jc w:val="center"/>
                    <w:rPr>
                      <w:rFonts w:eastAsia="宋体"/>
                      <w:sz w:val="21"/>
                    </w:rPr>
                  </w:pPr>
                  <w:r>
                    <w:rPr>
                      <w:rFonts w:hint="eastAsia" w:eastAsia="宋体"/>
                      <w:sz w:val="21"/>
                    </w:rPr>
                    <w:t>/</w:t>
                  </w:r>
                </w:p>
              </w:tc>
              <w:tc>
                <w:tcPr>
                  <w:tcW w:w="893" w:type="dxa"/>
                  <w:shd w:val="clear" w:color="auto" w:fill="auto"/>
                  <w:vAlign w:val="center"/>
                </w:tcPr>
                <w:p w14:paraId="7EA61F85">
                  <w:pPr>
                    <w:pStyle w:val="30"/>
                    <w:widowControl/>
                    <w:spacing w:line="240" w:lineRule="auto"/>
                    <w:ind w:firstLine="0" w:firstLineChars="0"/>
                    <w:jc w:val="center"/>
                    <w:rPr>
                      <w:rFonts w:eastAsia="宋体"/>
                      <w:sz w:val="21"/>
                    </w:rPr>
                  </w:pPr>
                  <w:r>
                    <w:rPr>
                      <w:rFonts w:hint="eastAsia" w:eastAsia="宋体"/>
                      <w:sz w:val="21"/>
                    </w:rPr>
                    <w:t>/</w:t>
                  </w:r>
                </w:p>
              </w:tc>
            </w:tr>
            <w:tr w14:paraId="273C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0E0A8085">
                  <w:pPr>
                    <w:pStyle w:val="30"/>
                    <w:widowControl/>
                    <w:spacing w:line="240" w:lineRule="auto"/>
                    <w:ind w:firstLine="0" w:firstLineChars="0"/>
                    <w:jc w:val="center"/>
                    <w:rPr>
                      <w:rFonts w:eastAsia="宋体"/>
                      <w:sz w:val="21"/>
                    </w:rPr>
                  </w:pPr>
                </w:p>
              </w:tc>
              <w:tc>
                <w:tcPr>
                  <w:tcW w:w="933" w:type="dxa"/>
                  <w:vMerge w:val="continue"/>
                  <w:vAlign w:val="center"/>
                </w:tcPr>
                <w:p w14:paraId="43F129CF">
                  <w:pPr>
                    <w:pStyle w:val="30"/>
                    <w:widowControl/>
                    <w:spacing w:line="240" w:lineRule="auto"/>
                    <w:ind w:firstLine="0" w:firstLineChars="0"/>
                    <w:jc w:val="center"/>
                    <w:rPr>
                      <w:rFonts w:eastAsia="宋体"/>
                      <w:sz w:val="21"/>
                    </w:rPr>
                  </w:pPr>
                </w:p>
              </w:tc>
              <w:tc>
                <w:tcPr>
                  <w:tcW w:w="1400" w:type="dxa"/>
                  <w:shd w:val="clear" w:color="auto" w:fill="auto"/>
                  <w:vAlign w:val="center"/>
                </w:tcPr>
                <w:p w14:paraId="15DDCC95">
                  <w:pPr>
                    <w:pStyle w:val="30"/>
                    <w:widowControl/>
                    <w:spacing w:line="240" w:lineRule="auto"/>
                    <w:ind w:firstLine="0" w:firstLineChars="0"/>
                    <w:jc w:val="center"/>
                    <w:rPr>
                      <w:rFonts w:eastAsia="宋体"/>
                      <w:sz w:val="21"/>
                    </w:rPr>
                  </w:pPr>
                  <w:r>
                    <w:rPr>
                      <w:rFonts w:hint="eastAsia" w:eastAsia="宋体"/>
                      <w:sz w:val="21"/>
                    </w:rPr>
                    <w:t>污染物排放管控</w:t>
                  </w:r>
                </w:p>
              </w:tc>
              <w:tc>
                <w:tcPr>
                  <w:tcW w:w="6383" w:type="dxa"/>
                  <w:shd w:val="clear" w:color="auto" w:fill="auto"/>
                  <w:vAlign w:val="center"/>
                </w:tcPr>
                <w:p w14:paraId="78FE368F">
                  <w:pPr>
                    <w:pStyle w:val="30"/>
                    <w:widowControl/>
                    <w:spacing w:line="240" w:lineRule="auto"/>
                    <w:ind w:firstLine="0" w:firstLineChars="0"/>
                    <w:rPr>
                      <w:rFonts w:eastAsia="宋体"/>
                      <w:sz w:val="21"/>
                    </w:rPr>
                  </w:pPr>
                  <w:r>
                    <w:rPr>
                      <w:rFonts w:hint="eastAsia" w:eastAsia="宋体"/>
                      <w:sz w:val="21"/>
                    </w:rPr>
                    <w:t>【城镇污水污染控制措施要求】：</w:t>
                  </w:r>
                </w:p>
                <w:p w14:paraId="4B800243">
                  <w:pPr>
                    <w:pStyle w:val="30"/>
                    <w:widowControl/>
                    <w:spacing w:line="240" w:lineRule="auto"/>
                    <w:ind w:firstLine="0" w:firstLineChars="0"/>
                    <w:rPr>
                      <w:rFonts w:eastAsia="宋体"/>
                      <w:sz w:val="21"/>
                    </w:rPr>
                  </w:pPr>
                  <w:r>
                    <w:rPr>
                      <w:rFonts w:hint="eastAsia" w:eastAsia="宋体"/>
                      <w:sz w:val="21"/>
                    </w:rPr>
                    <w:t>1、提升污水收集率，完善城镇生活污水收集系统，推进城镇污水管网全覆盖；对进水情况出现明显异常的污水处理厂，开展片区管网系统化整治，现有污水处理厂进水生化需氧量(BOD)浓度低于100毫克升的城市，要制定系统化整治方案；开展旱天生活污水直排口溯源治理。2、提升城镇生活污水处理能力，推动县级及以上污水处理设施提标改造，坚持新建污水处理设施与配套管网同步设计、同步建设、同步投运，加快补齐处理能力缺口。3、强化城镇污水处理设施运行管理，按要求达标排放。4、提升污水处理设施除磷水平，鼓励在污水处理厂排污口下游因地制宜建设人工湿地，推进达标尾水深度“去磷”。5、强化汛期生活污水溢流处理，推进城市建成区初期雨水收集处理及资源化利用设施建设。6、加强生活污水再生利用设施建设，鼓励在重点排污口下游、河流入湖口、支流入干流处，因地制宜实施区域再生水循环利用工程。</w:t>
                  </w:r>
                </w:p>
                <w:p w14:paraId="08E396FD">
                  <w:pPr>
                    <w:pStyle w:val="30"/>
                    <w:widowControl/>
                    <w:spacing w:line="240" w:lineRule="auto"/>
                    <w:ind w:firstLine="0" w:firstLineChars="0"/>
                    <w:rPr>
                      <w:rFonts w:eastAsia="宋体"/>
                      <w:sz w:val="21"/>
                    </w:rPr>
                  </w:pPr>
                  <w:r>
                    <w:rPr>
                      <w:rFonts w:hint="eastAsia" w:eastAsia="宋体"/>
                      <w:sz w:val="21"/>
                    </w:rPr>
                    <w:t>【工业废水污染控制措施要求】：</w:t>
                  </w:r>
                </w:p>
                <w:p w14:paraId="1E2428CD">
                  <w:pPr>
                    <w:pStyle w:val="30"/>
                    <w:widowControl/>
                    <w:spacing w:line="240" w:lineRule="auto"/>
                    <w:ind w:firstLine="0" w:firstLineChars="0"/>
                    <w:rPr>
                      <w:rFonts w:eastAsia="宋体"/>
                      <w:sz w:val="21"/>
                    </w:rPr>
                  </w:pPr>
                  <w:r>
                    <w:rPr>
                      <w:rFonts w:hint="eastAsia" w:eastAsia="宋体"/>
                      <w:sz w:val="21"/>
                    </w:rPr>
                    <w:t>1、对不符合国土空间规划的现有工业企业，污染物排放总量及环境风险水平只降不增，引导企业适时搬迁进入对口园区。2、对工业废水进入市政污水收集设施情况进行排查，组织开展评估，经评估认定污染物不能被城镇污水处理厂有效处理或可能影响污水处理厂出水稳定达标的，应限期退出。</w:t>
                  </w:r>
                </w:p>
              </w:tc>
              <w:tc>
                <w:tcPr>
                  <w:tcW w:w="2150" w:type="dxa"/>
                  <w:shd w:val="clear" w:color="auto" w:fill="auto"/>
                  <w:vAlign w:val="center"/>
                </w:tcPr>
                <w:p w14:paraId="6C3DFF7C">
                  <w:pPr>
                    <w:pStyle w:val="30"/>
                    <w:widowControl/>
                    <w:spacing w:line="240" w:lineRule="auto"/>
                    <w:ind w:firstLine="0" w:firstLineChars="0"/>
                    <w:jc w:val="center"/>
                    <w:rPr>
                      <w:rFonts w:hint="default" w:eastAsia="宋体"/>
                      <w:sz w:val="21"/>
                      <w:lang w:val="en-US" w:eastAsia="zh-CN"/>
                    </w:rPr>
                  </w:pPr>
                  <w:r>
                    <w:rPr>
                      <w:rFonts w:hint="eastAsia" w:eastAsia="宋体"/>
                      <w:sz w:val="21"/>
                      <w:lang w:val="en-US" w:eastAsia="zh-CN"/>
                    </w:rPr>
                    <w:t>本项目不涉及。</w:t>
                  </w:r>
                </w:p>
              </w:tc>
              <w:tc>
                <w:tcPr>
                  <w:tcW w:w="893" w:type="dxa"/>
                  <w:shd w:val="clear" w:color="auto" w:fill="auto"/>
                  <w:vAlign w:val="center"/>
                </w:tcPr>
                <w:p w14:paraId="217F2F09">
                  <w:pPr>
                    <w:pStyle w:val="30"/>
                    <w:widowControl/>
                    <w:spacing w:line="240" w:lineRule="auto"/>
                    <w:ind w:firstLine="0" w:firstLineChars="0"/>
                    <w:jc w:val="center"/>
                    <w:rPr>
                      <w:rFonts w:eastAsia="宋体"/>
                      <w:sz w:val="21"/>
                    </w:rPr>
                  </w:pPr>
                  <w:r>
                    <w:rPr>
                      <w:rFonts w:hint="eastAsia" w:eastAsia="宋体"/>
                      <w:sz w:val="21"/>
                    </w:rPr>
                    <w:t>符合</w:t>
                  </w:r>
                </w:p>
              </w:tc>
            </w:tr>
            <w:tr w14:paraId="7026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4B2A1692">
                  <w:pPr>
                    <w:pStyle w:val="30"/>
                    <w:widowControl/>
                    <w:spacing w:line="240" w:lineRule="auto"/>
                    <w:ind w:firstLine="0" w:firstLineChars="0"/>
                    <w:jc w:val="center"/>
                    <w:rPr>
                      <w:rFonts w:eastAsia="宋体"/>
                      <w:sz w:val="21"/>
                    </w:rPr>
                  </w:pPr>
                </w:p>
              </w:tc>
              <w:tc>
                <w:tcPr>
                  <w:tcW w:w="933" w:type="dxa"/>
                  <w:vMerge w:val="continue"/>
                  <w:vAlign w:val="center"/>
                </w:tcPr>
                <w:p w14:paraId="28B0CBE9">
                  <w:pPr>
                    <w:pStyle w:val="30"/>
                    <w:widowControl/>
                    <w:spacing w:line="240" w:lineRule="auto"/>
                    <w:ind w:firstLine="0" w:firstLineChars="0"/>
                    <w:jc w:val="center"/>
                    <w:rPr>
                      <w:rFonts w:eastAsia="宋体"/>
                      <w:sz w:val="21"/>
                    </w:rPr>
                  </w:pPr>
                </w:p>
              </w:tc>
              <w:tc>
                <w:tcPr>
                  <w:tcW w:w="1400" w:type="dxa"/>
                  <w:shd w:val="clear" w:color="auto" w:fill="auto"/>
                  <w:vAlign w:val="center"/>
                </w:tcPr>
                <w:p w14:paraId="218B8090">
                  <w:pPr>
                    <w:pStyle w:val="30"/>
                    <w:widowControl/>
                    <w:spacing w:line="240" w:lineRule="auto"/>
                    <w:ind w:firstLine="0" w:firstLineChars="0"/>
                    <w:jc w:val="center"/>
                    <w:rPr>
                      <w:rFonts w:eastAsia="宋体"/>
                      <w:sz w:val="21"/>
                    </w:rPr>
                  </w:pPr>
                  <w:r>
                    <w:rPr>
                      <w:rFonts w:hint="eastAsia" w:eastAsia="宋体"/>
                      <w:sz w:val="21"/>
                    </w:rPr>
                    <w:t>环境风险防控</w:t>
                  </w:r>
                </w:p>
              </w:tc>
              <w:tc>
                <w:tcPr>
                  <w:tcW w:w="6383" w:type="dxa"/>
                  <w:shd w:val="clear" w:color="auto" w:fill="auto"/>
                  <w:vAlign w:val="center"/>
                </w:tcPr>
                <w:p w14:paraId="7FCFE2C2">
                  <w:pPr>
                    <w:pStyle w:val="30"/>
                    <w:widowControl/>
                    <w:spacing w:line="240" w:lineRule="auto"/>
                    <w:ind w:firstLine="0" w:firstLineChars="0"/>
                    <w:rPr>
                      <w:rFonts w:eastAsia="宋体"/>
                      <w:sz w:val="21"/>
                    </w:rPr>
                  </w:pPr>
                  <w:r>
                    <w:rPr>
                      <w:rFonts w:hint="eastAsia" w:eastAsia="宋体"/>
                      <w:sz w:val="21"/>
                    </w:rPr>
                    <w:t>防范污水处理厂、加油站、其他物料堆存场所泄露风险，建立健全防泄漏设施，完善应急体系，</w:t>
                  </w:r>
                </w:p>
              </w:tc>
              <w:tc>
                <w:tcPr>
                  <w:tcW w:w="2150" w:type="dxa"/>
                  <w:shd w:val="clear" w:color="auto" w:fill="auto"/>
                  <w:vAlign w:val="center"/>
                </w:tcPr>
                <w:p w14:paraId="653B337F">
                  <w:pPr>
                    <w:pStyle w:val="30"/>
                    <w:widowControl/>
                    <w:spacing w:line="240" w:lineRule="auto"/>
                    <w:ind w:firstLine="0" w:firstLineChars="0"/>
                    <w:jc w:val="center"/>
                    <w:rPr>
                      <w:rFonts w:eastAsia="宋体"/>
                      <w:sz w:val="21"/>
                    </w:rPr>
                  </w:pPr>
                  <w:r>
                    <w:rPr>
                      <w:rFonts w:hint="eastAsia" w:eastAsia="宋体"/>
                      <w:sz w:val="21"/>
                    </w:rPr>
                    <w:t>本项目不涉及。</w:t>
                  </w:r>
                </w:p>
              </w:tc>
              <w:tc>
                <w:tcPr>
                  <w:tcW w:w="893" w:type="dxa"/>
                  <w:shd w:val="clear" w:color="auto" w:fill="auto"/>
                  <w:vAlign w:val="center"/>
                </w:tcPr>
                <w:p w14:paraId="2B337544">
                  <w:pPr>
                    <w:pStyle w:val="30"/>
                    <w:widowControl/>
                    <w:spacing w:line="240" w:lineRule="auto"/>
                    <w:ind w:firstLine="0" w:firstLineChars="0"/>
                    <w:jc w:val="center"/>
                    <w:rPr>
                      <w:rFonts w:eastAsia="宋体"/>
                      <w:sz w:val="21"/>
                    </w:rPr>
                  </w:pPr>
                  <w:r>
                    <w:rPr>
                      <w:rFonts w:hint="eastAsia" w:eastAsia="宋体"/>
                      <w:sz w:val="21"/>
                    </w:rPr>
                    <w:t>符合</w:t>
                  </w:r>
                </w:p>
              </w:tc>
            </w:tr>
            <w:tr w14:paraId="22C6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0F54613C">
                  <w:pPr>
                    <w:pStyle w:val="30"/>
                    <w:widowControl/>
                    <w:spacing w:line="240" w:lineRule="auto"/>
                    <w:ind w:firstLine="0" w:firstLineChars="0"/>
                    <w:jc w:val="center"/>
                    <w:rPr>
                      <w:rFonts w:eastAsia="宋体"/>
                      <w:sz w:val="21"/>
                    </w:rPr>
                  </w:pPr>
                </w:p>
              </w:tc>
              <w:tc>
                <w:tcPr>
                  <w:tcW w:w="933" w:type="dxa"/>
                  <w:vMerge w:val="continue"/>
                  <w:vAlign w:val="center"/>
                </w:tcPr>
                <w:p w14:paraId="3322F9D0">
                  <w:pPr>
                    <w:pStyle w:val="30"/>
                    <w:widowControl/>
                    <w:spacing w:line="240" w:lineRule="auto"/>
                    <w:ind w:firstLine="0" w:firstLineChars="0"/>
                    <w:jc w:val="center"/>
                    <w:rPr>
                      <w:rFonts w:eastAsia="宋体"/>
                      <w:sz w:val="21"/>
                    </w:rPr>
                  </w:pPr>
                </w:p>
              </w:tc>
              <w:tc>
                <w:tcPr>
                  <w:tcW w:w="1400" w:type="dxa"/>
                  <w:shd w:val="clear" w:color="auto" w:fill="auto"/>
                  <w:vAlign w:val="center"/>
                </w:tcPr>
                <w:p w14:paraId="5FD6712F">
                  <w:pPr>
                    <w:pStyle w:val="30"/>
                    <w:widowControl/>
                    <w:spacing w:line="240" w:lineRule="auto"/>
                    <w:ind w:firstLine="0" w:firstLineChars="0"/>
                    <w:jc w:val="center"/>
                    <w:rPr>
                      <w:rFonts w:eastAsia="宋体"/>
                      <w:sz w:val="21"/>
                    </w:rPr>
                  </w:pPr>
                  <w:r>
                    <w:rPr>
                      <w:rFonts w:hint="eastAsia" w:eastAsia="宋体"/>
                      <w:sz w:val="21"/>
                    </w:rPr>
                    <w:t>资源开发利用效率要求</w:t>
                  </w:r>
                </w:p>
              </w:tc>
              <w:tc>
                <w:tcPr>
                  <w:tcW w:w="6383" w:type="dxa"/>
                  <w:shd w:val="clear" w:color="auto" w:fill="auto"/>
                  <w:vAlign w:val="center"/>
                </w:tcPr>
                <w:p w14:paraId="40C102FF">
                  <w:pPr>
                    <w:pStyle w:val="30"/>
                    <w:widowControl/>
                    <w:spacing w:line="240" w:lineRule="auto"/>
                    <w:ind w:firstLine="0" w:firstLineChars="0"/>
                    <w:rPr>
                      <w:rFonts w:eastAsia="宋体"/>
                      <w:b/>
                      <w:bCs/>
                      <w:sz w:val="21"/>
                    </w:rPr>
                  </w:pPr>
                  <w:r>
                    <w:rPr>
                      <w:rFonts w:hint="eastAsia" w:eastAsia="宋体"/>
                      <w:b/>
                      <w:bCs/>
                      <w:sz w:val="21"/>
                    </w:rPr>
                    <w:t>/</w:t>
                  </w:r>
                </w:p>
              </w:tc>
              <w:tc>
                <w:tcPr>
                  <w:tcW w:w="2150" w:type="dxa"/>
                  <w:shd w:val="clear" w:color="auto" w:fill="auto"/>
                  <w:vAlign w:val="center"/>
                </w:tcPr>
                <w:p w14:paraId="479CD231">
                  <w:pPr>
                    <w:pStyle w:val="30"/>
                    <w:widowControl/>
                    <w:spacing w:line="240" w:lineRule="auto"/>
                    <w:ind w:firstLine="0" w:firstLineChars="0"/>
                    <w:jc w:val="center"/>
                    <w:rPr>
                      <w:rFonts w:eastAsia="宋体"/>
                      <w:b/>
                      <w:bCs/>
                      <w:sz w:val="21"/>
                    </w:rPr>
                  </w:pPr>
                  <w:r>
                    <w:rPr>
                      <w:rFonts w:hint="eastAsia" w:eastAsia="宋体"/>
                      <w:b/>
                      <w:bCs/>
                      <w:sz w:val="21"/>
                    </w:rPr>
                    <w:t>/</w:t>
                  </w:r>
                </w:p>
              </w:tc>
              <w:tc>
                <w:tcPr>
                  <w:tcW w:w="893" w:type="dxa"/>
                  <w:shd w:val="clear" w:color="auto" w:fill="auto"/>
                  <w:vAlign w:val="center"/>
                </w:tcPr>
                <w:p w14:paraId="66388EAB">
                  <w:pPr>
                    <w:pStyle w:val="30"/>
                    <w:widowControl/>
                    <w:spacing w:line="240" w:lineRule="auto"/>
                    <w:ind w:firstLine="0" w:firstLineChars="0"/>
                    <w:jc w:val="center"/>
                    <w:rPr>
                      <w:rFonts w:eastAsia="宋体"/>
                      <w:b/>
                      <w:bCs/>
                      <w:sz w:val="21"/>
                    </w:rPr>
                  </w:pPr>
                  <w:r>
                    <w:rPr>
                      <w:rFonts w:hint="eastAsia" w:eastAsia="宋体"/>
                      <w:b/>
                      <w:bCs/>
                      <w:sz w:val="21"/>
                    </w:rPr>
                    <w:t>/</w:t>
                  </w:r>
                </w:p>
              </w:tc>
            </w:tr>
            <w:tr w14:paraId="6415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restart"/>
                  <w:vAlign w:val="center"/>
                </w:tcPr>
                <w:p w14:paraId="28AEC4DF">
                  <w:pPr>
                    <w:pStyle w:val="30"/>
                    <w:widowControl/>
                    <w:spacing w:line="240" w:lineRule="auto"/>
                    <w:ind w:firstLine="0" w:firstLineChars="0"/>
                    <w:jc w:val="center"/>
                    <w:rPr>
                      <w:rFonts w:eastAsia="宋体"/>
                      <w:sz w:val="21"/>
                    </w:rPr>
                  </w:pPr>
                  <w:r>
                    <w:rPr>
                      <w:rFonts w:hint="eastAsia" w:eastAsia="宋体"/>
                      <w:sz w:val="21"/>
                    </w:rPr>
                    <w:t>YS5119022220002巴河-巴州区-手傍岩-控制单元</w:t>
                  </w:r>
                </w:p>
              </w:tc>
              <w:tc>
                <w:tcPr>
                  <w:tcW w:w="933" w:type="dxa"/>
                  <w:vMerge w:val="restart"/>
                  <w:vAlign w:val="center"/>
                </w:tcPr>
                <w:p w14:paraId="53C3594E">
                  <w:pPr>
                    <w:pStyle w:val="30"/>
                    <w:widowControl/>
                    <w:spacing w:line="240" w:lineRule="auto"/>
                    <w:ind w:firstLine="0" w:firstLineChars="0"/>
                    <w:jc w:val="center"/>
                    <w:rPr>
                      <w:rFonts w:eastAsia="宋体"/>
                      <w:sz w:val="21"/>
                    </w:rPr>
                  </w:pPr>
                  <w:r>
                    <w:rPr>
                      <w:rFonts w:hint="eastAsia" w:eastAsia="宋体"/>
                      <w:sz w:val="21"/>
                    </w:rPr>
                    <w:t>水环境城镇生活污染重点管控区</w:t>
                  </w:r>
                </w:p>
              </w:tc>
              <w:tc>
                <w:tcPr>
                  <w:tcW w:w="1400" w:type="dxa"/>
                  <w:shd w:val="clear" w:color="auto" w:fill="auto"/>
                  <w:vAlign w:val="center"/>
                </w:tcPr>
                <w:p w14:paraId="0845EB51">
                  <w:pPr>
                    <w:pStyle w:val="30"/>
                    <w:widowControl/>
                    <w:spacing w:line="240" w:lineRule="auto"/>
                    <w:ind w:firstLine="0" w:firstLineChars="0"/>
                    <w:jc w:val="center"/>
                    <w:rPr>
                      <w:rFonts w:eastAsia="宋体"/>
                      <w:sz w:val="21"/>
                    </w:rPr>
                  </w:pPr>
                  <w:r>
                    <w:rPr>
                      <w:rFonts w:hint="eastAsia" w:eastAsia="宋体"/>
                      <w:sz w:val="21"/>
                    </w:rPr>
                    <w:t>空间布局约束</w:t>
                  </w:r>
                </w:p>
              </w:tc>
              <w:tc>
                <w:tcPr>
                  <w:tcW w:w="6383" w:type="dxa"/>
                  <w:shd w:val="clear" w:color="auto" w:fill="auto"/>
                  <w:vAlign w:val="center"/>
                </w:tcPr>
                <w:p w14:paraId="7D613E11">
                  <w:pPr>
                    <w:pStyle w:val="30"/>
                    <w:widowControl/>
                    <w:spacing w:line="240" w:lineRule="auto"/>
                    <w:ind w:firstLine="0" w:firstLineChars="0"/>
                    <w:rPr>
                      <w:rFonts w:eastAsia="宋体"/>
                      <w:sz w:val="21"/>
                    </w:rPr>
                  </w:pPr>
                  <w:r>
                    <w:rPr>
                      <w:rFonts w:hint="eastAsia" w:eastAsia="宋体"/>
                      <w:sz w:val="21"/>
                    </w:rPr>
                    <w:t>/</w:t>
                  </w:r>
                </w:p>
              </w:tc>
              <w:tc>
                <w:tcPr>
                  <w:tcW w:w="2150" w:type="dxa"/>
                  <w:shd w:val="clear" w:color="auto" w:fill="auto"/>
                  <w:vAlign w:val="center"/>
                </w:tcPr>
                <w:p w14:paraId="1697027F">
                  <w:pPr>
                    <w:pStyle w:val="30"/>
                    <w:widowControl/>
                    <w:spacing w:line="240" w:lineRule="auto"/>
                    <w:ind w:firstLine="0" w:firstLineChars="0"/>
                    <w:jc w:val="center"/>
                    <w:rPr>
                      <w:rFonts w:eastAsia="宋体"/>
                      <w:sz w:val="21"/>
                    </w:rPr>
                  </w:pPr>
                  <w:r>
                    <w:rPr>
                      <w:rFonts w:hint="eastAsia" w:eastAsia="宋体"/>
                      <w:sz w:val="21"/>
                    </w:rPr>
                    <w:t>/</w:t>
                  </w:r>
                </w:p>
              </w:tc>
              <w:tc>
                <w:tcPr>
                  <w:tcW w:w="893" w:type="dxa"/>
                  <w:shd w:val="clear" w:color="auto" w:fill="auto"/>
                  <w:vAlign w:val="center"/>
                </w:tcPr>
                <w:p w14:paraId="3A478067">
                  <w:pPr>
                    <w:pStyle w:val="30"/>
                    <w:widowControl/>
                    <w:spacing w:line="240" w:lineRule="auto"/>
                    <w:ind w:firstLine="0" w:firstLineChars="0"/>
                    <w:jc w:val="center"/>
                    <w:rPr>
                      <w:rFonts w:eastAsia="宋体"/>
                      <w:sz w:val="21"/>
                    </w:rPr>
                  </w:pPr>
                  <w:r>
                    <w:rPr>
                      <w:rFonts w:hint="eastAsia" w:eastAsia="宋体"/>
                      <w:sz w:val="21"/>
                    </w:rPr>
                    <w:t>/</w:t>
                  </w:r>
                </w:p>
              </w:tc>
            </w:tr>
            <w:tr w14:paraId="4F130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32835E66">
                  <w:pPr>
                    <w:pStyle w:val="30"/>
                    <w:widowControl/>
                    <w:spacing w:line="240" w:lineRule="auto"/>
                    <w:ind w:firstLine="0" w:firstLineChars="0"/>
                    <w:jc w:val="center"/>
                    <w:rPr>
                      <w:rFonts w:eastAsia="宋体"/>
                      <w:sz w:val="21"/>
                    </w:rPr>
                  </w:pPr>
                </w:p>
              </w:tc>
              <w:tc>
                <w:tcPr>
                  <w:tcW w:w="933" w:type="dxa"/>
                  <w:vMerge w:val="continue"/>
                  <w:vAlign w:val="center"/>
                </w:tcPr>
                <w:p w14:paraId="74C94CDD">
                  <w:pPr>
                    <w:pStyle w:val="30"/>
                    <w:widowControl/>
                    <w:spacing w:line="240" w:lineRule="auto"/>
                    <w:ind w:firstLine="0" w:firstLineChars="0"/>
                    <w:jc w:val="center"/>
                    <w:rPr>
                      <w:rFonts w:eastAsia="宋体"/>
                      <w:sz w:val="21"/>
                    </w:rPr>
                  </w:pPr>
                </w:p>
              </w:tc>
              <w:tc>
                <w:tcPr>
                  <w:tcW w:w="1400" w:type="dxa"/>
                  <w:shd w:val="clear" w:color="auto" w:fill="auto"/>
                  <w:vAlign w:val="center"/>
                </w:tcPr>
                <w:p w14:paraId="6996A402">
                  <w:pPr>
                    <w:pStyle w:val="30"/>
                    <w:widowControl/>
                    <w:spacing w:line="240" w:lineRule="auto"/>
                    <w:ind w:firstLine="0" w:firstLineChars="0"/>
                    <w:jc w:val="center"/>
                    <w:rPr>
                      <w:rFonts w:eastAsia="宋体"/>
                      <w:sz w:val="21"/>
                    </w:rPr>
                  </w:pPr>
                  <w:r>
                    <w:rPr>
                      <w:rFonts w:hint="eastAsia" w:eastAsia="宋体"/>
                      <w:sz w:val="21"/>
                    </w:rPr>
                    <w:t>污染物排放管控</w:t>
                  </w:r>
                </w:p>
              </w:tc>
              <w:tc>
                <w:tcPr>
                  <w:tcW w:w="6383" w:type="dxa"/>
                  <w:shd w:val="clear" w:color="auto" w:fill="auto"/>
                  <w:vAlign w:val="center"/>
                </w:tcPr>
                <w:p w14:paraId="531EC5F4">
                  <w:pPr>
                    <w:pStyle w:val="30"/>
                    <w:widowControl/>
                    <w:spacing w:line="240" w:lineRule="auto"/>
                    <w:ind w:firstLine="0" w:firstLineChars="0"/>
                    <w:rPr>
                      <w:rFonts w:eastAsia="宋体"/>
                      <w:sz w:val="21"/>
                    </w:rPr>
                  </w:pPr>
                  <w:r>
                    <w:rPr>
                      <w:rFonts w:hint="eastAsia" w:eastAsia="宋体"/>
                      <w:sz w:val="21"/>
                    </w:rPr>
                    <w:t>【城镇污水污染控制措施要求】：</w:t>
                  </w:r>
                </w:p>
                <w:p w14:paraId="5E9D0AB0">
                  <w:pPr>
                    <w:pStyle w:val="30"/>
                    <w:widowControl/>
                    <w:spacing w:line="240" w:lineRule="auto"/>
                    <w:ind w:firstLine="0" w:firstLineChars="0"/>
                    <w:rPr>
                      <w:rFonts w:eastAsia="宋体"/>
                      <w:sz w:val="21"/>
                    </w:rPr>
                  </w:pPr>
                  <w:r>
                    <w:rPr>
                      <w:rFonts w:hint="eastAsia" w:eastAsia="宋体"/>
                      <w:sz w:val="21"/>
                    </w:rPr>
                    <w:t>1、提升污水收集率，完善城镇生活污水收集系统，推进城镇污水管网全覆盖；对进水情况出现明显异常的污水处理厂，开展片区管网系统化整治，现有污水处理厂进水生化需氧量(BOD)浓度低于100毫克升的城市，要制定系统化整治方案；开展旱天生活污水直排口溯源治理。2、提升城镇生活污水处理能力，推动县级及以上污水处理设施提标改造，坚持新建污水处理设施与配套管网同步设计、同步建设、同步投运，加快补齐处理能力缺口。3、强化城镇污水处理设施运行管理，按要求达标排放。4、提升污水处理设施除磷水平，鼓励在污水处理厂排污口下游因地制宜建设人工湿地，推进达标尾水深度“去磷”。5、强化汛期生活污水溢流处理，推进城市建成区初期雨水收集处理及资源化利用设施建设。6、加强生活污水再生利用设施建设，鼓励在重点排污口下游、河流入湖口、支流入干流处，因地制宜实施区域再生水循环利用工程。</w:t>
                  </w:r>
                </w:p>
                <w:p w14:paraId="49AFF51A">
                  <w:pPr>
                    <w:pStyle w:val="30"/>
                    <w:widowControl/>
                    <w:spacing w:line="240" w:lineRule="auto"/>
                    <w:ind w:firstLine="0" w:firstLineChars="0"/>
                    <w:rPr>
                      <w:rFonts w:eastAsia="宋体"/>
                      <w:sz w:val="21"/>
                    </w:rPr>
                  </w:pPr>
                  <w:r>
                    <w:rPr>
                      <w:rFonts w:hint="eastAsia" w:eastAsia="宋体"/>
                      <w:sz w:val="21"/>
                    </w:rPr>
                    <w:t>【工业废水污染控制措施要求】：</w:t>
                  </w:r>
                </w:p>
                <w:p w14:paraId="7E5AC740">
                  <w:pPr>
                    <w:pStyle w:val="30"/>
                    <w:widowControl/>
                    <w:spacing w:line="240" w:lineRule="auto"/>
                    <w:ind w:firstLine="0" w:firstLineChars="0"/>
                    <w:rPr>
                      <w:rFonts w:eastAsia="宋体"/>
                      <w:sz w:val="21"/>
                    </w:rPr>
                  </w:pPr>
                  <w:r>
                    <w:rPr>
                      <w:rFonts w:hint="eastAsia" w:eastAsia="宋体"/>
                      <w:sz w:val="21"/>
                    </w:rPr>
                    <w:t>1、对不符合国土空间规划的现有工业企业，污染物排放总量及环境风险水平只降不增，引导企业适时搬迁进入对口园区。2、对工业废水进入市政污水收集设施情况进行排查，组织开展评估，经评估认定污染物不能被城镇污水处理厂有效处理或可能影响污水处理厂出水稳定达标的，应限期退出。</w:t>
                  </w:r>
                </w:p>
              </w:tc>
              <w:tc>
                <w:tcPr>
                  <w:tcW w:w="2150" w:type="dxa"/>
                  <w:shd w:val="clear" w:color="auto" w:fill="auto"/>
                  <w:vAlign w:val="center"/>
                </w:tcPr>
                <w:p w14:paraId="7B9AD629">
                  <w:pPr>
                    <w:pStyle w:val="30"/>
                    <w:widowControl/>
                    <w:spacing w:line="240" w:lineRule="auto"/>
                    <w:ind w:firstLine="0" w:firstLineChars="0"/>
                    <w:jc w:val="center"/>
                    <w:rPr>
                      <w:rFonts w:hint="default" w:eastAsia="宋体"/>
                      <w:sz w:val="21"/>
                      <w:lang w:val="en-US" w:eastAsia="zh-CN"/>
                    </w:rPr>
                  </w:pPr>
                  <w:r>
                    <w:rPr>
                      <w:rFonts w:hint="eastAsia" w:eastAsia="宋体"/>
                      <w:sz w:val="21"/>
                      <w:lang w:val="en-US" w:eastAsia="zh-CN"/>
                    </w:rPr>
                    <w:t>本项目不涉及。</w:t>
                  </w:r>
                </w:p>
              </w:tc>
              <w:tc>
                <w:tcPr>
                  <w:tcW w:w="893" w:type="dxa"/>
                  <w:shd w:val="clear" w:color="auto" w:fill="auto"/>
                  <w:vAlign w:val="center"/>
                </w:tcPr>
                <w:p w14:paraId="7E16E318">
                  <w:pPr>
                    <w:pStyle w:val="30"/>
                    <w:widowControl/>
                    <w:spacing w:line="240" w:lineRule="auto"/>
                    <w:ind w:firstLine="0" w:firstLineChars="0"/>
                    <w:jc w:val="center"/>
                    <w:rPr>
                      <w:rFonts w:eastAsia="宋体"/>
                      <w:sz w:val="21"/>
                    </w:rPr>
                  </w:pPr>
                  <w:r>
                    <w:rPr>
                      <w:rFonts w:hint="eastAsia" w:eastAsia="宋体"/>
                      <w:sz w:val="21"/>
                    </w:rPr>
                    <w:t>符合</w:t>
                  </w:r>
                </w:p>
              </w:tc>
            </w:tr>
            <w:tr w14:paraId="3C74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28203073">
                  <w:pPr>
                    <w:pStyle w:val="30"/>
                    <w:widowControl/>
                    <w:spacing w:line="240" w:lineRule="auto"/>
                    <w:ind w:firstLine="0" w:firstLineChars="0"/>
                    <w:jc w:val="center"/>
                    <w:rPr>
                      <w:rFonts w:eastAsia="宋体"/>
                      <w:sz w:val="21"/>
                    </w:rPr>
                  </w:pPr>
                </w:p>
              </w:tc>
              <w:tc>
                <w:tcPr>
                  <w:tcW w:w="933" w:type="dxa"/>
                  <w:vMerge w:val="continue"/>
                  <w:vAlign w:val="center"/>
                </w:tcPr>
                <w:p w14:paraId="75EF7CD9">
                  <w:pPr>
                    <w:pStyle w:val="30"/>
                    <w:widowControl/>
                    <w:spacing w:line="240" w:lineRule="auto"/>
                    <w:ind w:firstLine="0" w:firstLineChars="0"/>
                    <w:jc w:val="center"/>
                    <w:rPr>
                      <w:rFonts w:eastAsia="宋体"/>
                      <w:sz w:val="21"/>
                    </w:rPr>
                  </w:pPr>
                </w:p>
              </w:tc>
              <w:tc>
                <w:tcPr>
                  <w:tcW w:w="1400" w:type="dxa"/>
                  <w:shd w:val="clear" w:color="auto" w:fill="auto"/>
                  <w:vAlign w:val="center"/>
                </w:tcPr>
                <w:p w14:paraId="7F957F33">
                  <w:pPr>
                    <w:pStyle w:val="30"/>
                    <w:widowControl/>
                    <w:spacing w:line="240" w:lineRule="auto"/>
                    <w:ind w:firstLine="0" w:firstLineChars="0"/>
                    <w:jc w:val="center"/>
                    <w:rPr>
                      <w:rFonts w:eastAsia="宋体"/>
                      <w:sz w:val="21"/>
                    </w:rPr>
                  </w:pPr>
                  <w:r>
                    <w:rPr>
                      <w:rFonts w:hint="eastAsia" w:eastAsia="宋体"/>
                      <w:sz w:val="21"/>
                    </w:rPr>
                    <w:t>环境风险防控</w:t>
                  </w:r>
                </w:p>
              </w:tc>
              <w:tc>
                <w:tcPr>
                  <w:tcW w:w="6383" w:type="dxa"/>
                  <w:shd w:val="clear" w:color="auto" w:fill="auto"/>
                  <w:vAlign w:val="center"/>
                </w:tcPr>
                <w:p w14:paraId="253DB6CC">
                  <w:pPr>
                    <w:pStyle w:val="30"/>
                    <w:widowControl/>
                    <w:spacing w:line="240" w:lineRule="auto"/>
                    <w:ind w:firstLine="0" w:firstLineChars="0"/>
                    <w:rPr>
                      <w:rFonts w:eastAsia="宋体"/>
                      <w:sz w:val="21"/>
                    </w:rPr>
                  </w:pPr>
                  <w:r>
                    <w:rPr>
                      <w:rFonts w:hint="eastAsia" w:eastAsia="宋体"/>
                      <w:sz w:val="21"/>
                    </w:rPr>
                    <w:t>防范污水处理厂、加油站、其他物料堆存场所泄露风险，建立健全防泄漏设施，完善应急体系</w:t>
                  </w:r>
                </w:p>
              </w:tc>
              <w:tc>
                <w:tcPr>
                  <w:tcW w:w="2150" w:type="dxa"/>
                  <w:shd w:val="clear" w:color="auto" w:fill="auto"/>
                  <w:vAlign w:val="center"/>
                </w:tcPr>
                <w:p w14:paraId="4B9A7FE8">
                  <w:pPr>
                    <w:pStyle w:val="30"/>
                    <w:widowControl/>
                    <w:spacing w:line="240" w:lineRule="auto"/>
                    <w:ind w:firstLine="0" w:firstLineChars="0"/>
                    <w:jc w:val="center"/>
                    <w:rPr>
                      <w:rFonts w:eastAsia="宋体"/>
                      <w:sz w:val="21"/>
                    </w:rPr>
                  </w:pPr>
                  <w:r>
                    <w:rPr>
                      <w:rFonts w:hint="eastAsia" w:eastAsia="宋体"/>
                      <w:sz w:val="21"/>
                    </w:rPr>
                    <w:t>本项目不涉及。</w:t>
                  </w:r>
                </w:p>
              </w:tc>
              <w:tc>
                <w:tcPr>
                  <w:tcW w:w="893" w:type="dxa"/>
                  <w:shd w:val="clear" w:color="auto" w:fill="auto"/>
                  <w:vAlign w:val="center"/>
                </w:tcPr>
                <w:p w14:paraId="0129D248">
                  <w:pPr>
                    <w:pStyle w:val="30"/>
                    <w:widowControl/>
                    <w:spacing w:line="240" w:lineRule="auto"/>
                    <w:ind w:firstLine="0" w:firstLineChars="0"/>
                    <w:jc w:val="center"/>
                    <w:rPr>
                      <w:rFonts w:eastAsia="宋体"/>
                      <w:sz w:val="21"/>
                    </w:rPr>
                  </w:pPr>
                  <w:r>
                    <w:rPr>
                      <w:rFonts w:hint="eastAsia" w:eastAsia="宋体"/>
                      <w:sz w:val="21"/>
                    </w:rPr>
                    <w:t>符合</w:t>
                  </w:r>
                </w:p>
              </w:tc>
            </w:tr>
            <w:tr w14:paraId="593D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Merge w:val="continue"/>
                  <w:vAlign w:val="center"/>
                </w:tcPr>
                <w:p w14:paraId="694ECA2D">
                  <w:pPr>
                    <w:pStyle w:val="30"/>
                    <w:widowControl/>
                    <w:spacing w:line="240" w:lineRule="auto"/>
                    <w:ind w:firstLine="0" w:firstLineChars="0"/>
                    <w:jc w:val="center"/>
                    <w:rPr>
                      <w:rFonts w:eastAsia="宋体"/>
                      <w:sz w:val="21"/>
                    </w:rPr>
                  </w:pPr>
                </w:p>
              </w:tc>
              <w:tc>
                <w:tcPr>
                  <w:tcW w:w="933" w:type="dxa"/>
                  <w:vMerge w:val="continue"/>
                  <w:vAlign w:val="center"/>
                </w:tcPr>
                <w:p w14:paraId="0EAF031B">
                  <w:pPr>
                    <w:pStyle w:val="30"/>
                    <w:widowControl/>
                    <w:spacing w:line="240" w:lineRule="auto"/>
                    <w:ind w:firstLine="0" w:firstLineChars="0"/>
                    <w:jc w:val="center"/>
                    <w:rPr>
                      <w:rFonts w:eastAsia="宋体"/>
                      <w:sz w:val="21"/>
                    </w:rPr>
                  </w:pPr>
                </w:p>
              </w:tc>
              <w:tc>
                <w:tcPr>
                  <w:tcW w:w="1400" w:type="dxa"/>
                  <w:shd w:val="clear" w:color="auto" w:fill="auto"/>
                  <w:vAlign w:val="center"/>
                </w:tcPr>
                <w:p w14:paraId="6B16E5B8">
                  <w:pPr>
                    <w:pStyle w:val="30"/>
                    <w:widowControl/>
                    <w:spacing w:line="240" w:lineRule="auto"/>
                    <w:ind w:firstLine="0" w:firstLineChars="0"/>
                    <w:jc w:val="center"/>
                    <w:rPr>
                      <w:rFonts w:eastAsia="宋体"/>
                      <w:sz w:val="21"/>
                    </w:rPr>
                  </w:pPr>
                  <w:r>
                    <w:rPr>
                      <w:rFonts w:hint="eastAsia" w:eastAsia="宋体"/>
                      <w:sz w:val="21"/>
                    </w:rPr>
                    <w:t>资源开发利用效率要求</w:t>
                  </w:r>
                </w:p>
              </w:tc>
              <w:tc>
                <w:tcPr>
                  <w:tcW w:w="6383" w:type="dxa"/>
                  <w:shd w:val="clear" w:color="auto" w:fill="auto"/>
                  <w:vAlign w:val="center"/>
                </w:tcPr>
                <w:p w14:paraId="6877A58C">
                  <w:pPr>
                    <w:pStyle w:val="30"/>
                    <w:widowControl/>
                    <w:spacing w:line="240" w:lineRule="auto"/>
                    <w:ind w:firstLine="0" w:firstLineChars="0"/>
                    <w:rPr>
                      <w:rFonts w:eastAsia="宋体"/>
                      <w:b/>
                      <w:bCs/>
                      <w:sz w:val="21"/>
                    </w:rPr>
                  </w:pPr>
                  <w:r>
                    <w:rPr>
                      <w:rFonts w:hint="eastAsia" w:eastAsia="宋体"/>
                      <w:b/>
                      <w:bCs/>
                      <w:sz w:val="21"/>
                    </w:rPr>
                    <w:t>/</w:t>
                  </w:r>
                </w:p>
              </w:tc>
              <w:tc>
                <w:tcPr>
                  <w:tcW w:w="2150" w:type="dxa"/>
                  <w:shd w:val="clear" w:color="auto" w:fill="auto"/>
                  <w:vAlign w:val="center"/>
                </w:tcPr>
                <w:p w14:paraId="5116E6AB">
                  <w:pPr>
                    <w:pStyle w:val="30"/>
                    <w:widowControl/>
                    <w:spacing w:line="240" w:lineRule="auto"/>
                    <w:ind w:firstLine="0" w:firstLineChars="0"/>
                    <w:jc w:val="center"/>
                    <w:rPr>
                      <w:rFonts w:eastAsia="宋体"/>
                      <w:b/>
                      <w:bCs/>
                      <w:sz w:val="21"/>
                    </w:rPr>
                  </w:pPr>
                  <w:r>
                    <w:rPr>
                      <w:rFonts w:hint="eastAsia" w:eastAsia="宋体"/>
                      <w:b/>
                      <w:bCs/>
                      <w:sz w:val="21"/>
                    </w:rPr>
                    <w:t>/</w:t>
                  </w:r>
                </w:p>
              </w:tc>
              <w:tc>
                <w:tcPr>
                  <w:tcW w:w="893" w:type="dxa"/>
                  <w:shd w:val="clear" w:color="auto" w:fill="auto"/>
                  <w:vAlign w:val="center"/>
                </w:tcPr>
                <w:p w14:paraId="769BFCCB">
                  <w:pPr>
                    <w:pStyle w:val="30"/>
                    <w:widowControl/>
                    <w:spacing w:line="240" w:lineRule="auto"/>
                    <w:ind w:firstLine="0" w:firstLineChars="0"/>
                    <w:jc w:val="center"/>
                    <w:rPr>
                      <w:rFonts w:eastAsia="宋体"/>
                      <w:b/>
                      <w:bCs/>
                      <w:sz w:val="21"/>
                    </w:rPr>
                  </w:pPr>
                  <w:r>
                    <w:rPr>
                      <w:rFonts w:hint="eastAsia" w:eastAsia="宋体"/>
                      <w:b/>
                      <w:bCs/>
                      <w:sz w:val="21"/>
                    </w:rPr>
                    <w:t>/</w:t>
                  </w:r>
                </w:p>
              </w:tc>
            </w:tr>
          </w:tbl>
          <w:p w14:paraId="37C5C964">
            <w:pPr>
              <w:ind w:firstLine="0" w:firstLineChars="0"/>
            </w:pPr>
            <w:r>
              <w:rPr>
                <w:rFonts w:hint="eastAsia"/>
              </w:rPr>
              <w:t>综上，本项目与管控单元的普适性清单和单元级清单要求相符。</w:t>
            </w:r>
          </w:p>
        </w:tc>
      </w:tr>
    </w:tbl>
    <w:p w14:paraId="5953D871">
      <w:pPr>
        <w:ind w:firstLine="480"/>
        <w:sectPr>
          <w:pgSz w:w="16838" w:h="11906" w:orient="landscape"/>
          <w:pgMar w:top="1440" w:right="1800" w:bottom="1440" w:left="1800" w:header="851" w:footer="992" w:gutter="0"/>
          <w:cols w:space="0" w:num="1"/>
          <w:docGrid w:type="lines" w:linePitch="312" w:charSpace="0"/>
        </w:sectPr>
      </w:pPr>
    </w:p>
    <w:p w14:paraId="00A35AE5">
      <w:pPr>
        <w:pStyle w:val="16"/>
        <w:spacing w:before="0" w:beforeAutospacing="0" w:after="0" w:afterAutospacing="0"/>
        <w:ind w:firstLine="600"/>
        <w:jc w:val="center"/>
        <w:outlineLvl w:val="0"/>
        <w:rPr>
          <w:rFonts w:ascii="黑体" w:hAnsi="黑体" w:eastAsia="黑体"/>
          <w:snapToGrid w:val="0"/>
          <w:sz w:val="30"/>
          <w:szCs w:val="30"/>
        </w:rPr>
      </w:pPr>
      <w:bookmarkStart w:id="4" w:name="_Toc14436"/>
      <w:r>
        <w:rPr>
          <w:rFonts w:hint="eastAsia" w:ascii="黑体" w:hAnsi="黑体" w:eastAsia="黑体"/>
          <w:snapToGrid w:val="0"/>
          <w:sz w:val="30"/>
          <w:szCs w:val="30"/>
        </w:rPr>
        <w:t>二、建设内容</w:t>
      </w:r>
      <w:bookmarkEnd w:id="4"/>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8620"/>
      </w:tblGrid>
      <w:tr w14:paraId="01675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14:paraId="15E2AFA0">
            <w:pPr>
              <w:ind w:firstLine="0" w:firstLineChars="0"/>
              <w:jc w:val="center"/>
            </w:pPr>
            <w:r>
              <w:rPr>
                <w:rFonts w:hint="eastAsia"/>
              </w:rPr>
              <w:t>地理位置</w:t>
            </w:r>
          </w:p>
        </w:tc>
        <w:tc>
          <w:tcPr>
            <w:tcW w:w="8620" w:type="dxa"/>
          </w:tcPr>
          <w:p w14:paraId="6D99CA4F">
            <w:pPr>
              <w:ind w:firstLine="480"/>
              <w:rPr>
                <w:rFonts w:hint="eastAsia"/>
              </w:rPr>
            </w:pPr>
            <w:r>
              <w:rPr>
                <w:rFonts w:hint="eastAsia"/>
              </w:rPr>
              <w:t>巴中市檬子河流域水环境综合治理项目（一期）位于巴中市巴州区檬子河流域，项目新建生态隔离带30000m</w:t>
            </w:r>
            <w:r>
              <w:rPr>
                <w:rFonts w:hint="eastAsia"/>
                <w:vertAlign w:val="superscript"/>
              </w:rPr>
              <w:t>2</w:t>
            </w:r>
            <w:r>
              <w:rPr>
                <w:rFonts w:hint="eastAsia"/>
              </w:rPr>
              <w:t>，生态护岸50122.41m</w:t>
            </w:r>
            <w:r>
              <w:rPr>
                <w:rFonts w:hint="eastAsia"/>
                <w:vertAlign w:val="superscript"/>
              </w:rPr>
              <w:t>2</w:t>
            </w:r>
            <w:r>
              <w:rPr>
                <w:rFonts w:hint="eastAsia"/>
              </w:rPr>
              <w:t>（6公里），生态步道及护栏3公里等配套基础设施，含新建一座控制导流设施（生态景观控流闸，小（1）型），位于巴河与檬子河交汇处以东300米处。</w:t>
            </w:r>
          </w:p>
          <w:p w14:paraId="0B6BDFB5">
            <w:pPr>
              <w:ind w:firstLine="482"/>
              <w:rPr>
                <w:rFonts w:hint="eastAsia"/>
                <w:b/>
                <w:bCs/>
              </w:rPr>
            </w:pPr>
            <w:r>
              <w:rPr>
                <w:rFonts w:hint="eastAsia"/>
                <w:b/>
                <w:bCs/>
              </w:rPr>
              <w:t>本项目建设范围跨巴州区、巴中经开区两大行政辖区，以檬子河河道为界划分属地：</w:t>
            </w:r>
          </w:p>
          <w:p w14:paraId="49815DF5">
            <w:pPr>
              <w:ind w:firstLine="482"/>
              <w:rPr>
                <w:rFonts w:hint="eastAsia"/>
                <w:b/>
                <w:bCs/>
              </w:rPr>
            </w:pPr>
            <w:r>
              <w:rPr>
                <w:rFonts w:hint="eastAsia"/>
                <w:b/>
                <w:bCs/>
              </w:rPr>
              <w:t>巴州区范围：仅包含檬子河右岸生态护岸工程，护岸长度2710m；</w:t>
            </w:r>
          </w:p>
          <w:p w14:paraId="1C09DC91">
            <w:pPr>
              <w:ind w:firstLine="482"/>
              <w:rPr>
                <w:rFonts w:hint="eastAsia"/>
                <w:b/>
                <w:bCs/>
              </w:rPr>
            </w:pPr>
            <w:r>
              <w:rPr>
                <w:rFonts w:hint="eastAsia"/>
                <w:b/>
                <w:bCs/>
              </w:rPr>
              <w:t>巴中经开区范围：项目绝大部分工程内容坐落于经开区，涵盖檬子河左岸全部3004m生态护岸、生态步道及护栏3公里等配套基础设施、30000㎡生态隔离带</w:t>
            </w:r>
            <w:r>
              <w:rPr>
                <w:rFonts w:hint="eastAsia"/>
                <w:b/>
                <w:bCs/>
                <w:lang w:eastAsia="zh-CN"/>
              </w:rPr>
              <w:t>、</w:t>
            </w:r>
            <w:r>
              <w:rPr>
                <w:rFonts w:hint="eastAsia"/>
                <w:b/>
                <w:bCs/>
              </w:rPr>
              <w:t>巴河与檬子河交汇处东侧导流闸控制设施，以及生态步道及护栏3公里等配套基础设施巴河与檬子河交汇处东侧导流闸控制设施。</w:t>
            </w:r>
          </w:p>
          <w:p w14:paraId="0CBA708F">
            <w:pPr>
              <w:ind w:firstLine="482"/>
              <w:rPr>
                <w:rFonts w:hint="default" w:eastAsia="宋体"/>
                <w:b/>
                <w:bCs/>
                <w:lang w:val="en-US" w:eastAsia="zh-CN"/>
              </w:rPr>
            </w:pPr>
            <w:r>
              <w:rPr>
                <w:rFonts w:hint="eastAsia"/>
                <w:b/>
                <w:bCs/>
                <w:lang w:val="en-US" w:eastAsia="zh-CN"/>
              </w:rPr>
              <w:t>建设项目地理坐标位置如下：</w:t>
            </w:r>
          </w:p>
          <w:p w14:paraId="40F52E07">
            <w:pPr>
              <w:ind w:firstLine="482"/>
            </w:pPr>
            <w:r>
              <w:rPr>
                <w:rFonts w:hint="eastAsia"/>
                <w:b/>
                <w:bCs/>
              </w:rPr>
              <w:t>生态护岸：</w:t>
            </w:r>
            <w:r>
              <w:rPr>
                <w:rFonts w:hint="eastAsia"/>
              </w:rPr>
              <w:t>生态护岸面积50122.41㎡（6公里），新建驳岸44339㎡，新建驳岸总长5714m，其中左岸驳岸长3004m，右岸驳岸长2710m。</w:t>
            </w:r>
          </w:p>
          <w:p w14:paraId="18F3A6D6">
            <w:pPr>
              <w:ind w:firstLine="480"/>
            </w:pPr>
            <w:r>
              <w:rPr>
                <w:rFonts w:hint="eastAsia"/>
              </w:rPr>
              <w:t>①檬子河左岸驳岸起点坐标：E106°46'48.4811"，N31°51'29.9944"；终点坐标：E106°46'24.4577"，N31°50'12.5611"。</w:t>
            </w:r>
          </w:p>
          <w:p w14:paraId="56542B45">
            <w:pPr>
              <w:ind w:firstLine="480"/>
            </w:pPr>
            <w:r>
              <w:rPr>
                <w:rFonts w:hint="eastAsia"/>
              </w:rPr>
              <w:t>②檬子河右岸驳岸起点坐标：E106°46'47.5544"，N31°51'29.3967"；终点坐标：E106°46'25.3171"，N31°50'14.2254"。</w:t>
            </w:r>
          </w:p>
          <w:p w14:paraId="760CD380">
            <w:pPr>
              <w:ind w:firstLine="482"/>
              <w:rPr>
                <w:b/>
                <w:bCs/>
              </w:rPr>
            </w:pPr>
            <w:r>
              <w:rPr>
                <w:rFonts w:hint="eastAsia"/>
                <w:b/>
                <w:bCs/>
              </w:rPr>
              <w:t>控制导流设施：</w:t>
            </w:r>
            <w:r>
              <w:rPr>
                <w:rFonts w:hint="eastAsia"/>
              </w:rPr>
              <w:t>位于巴河与檬子河交汇处以东300米处，中心地理坐标为：E106°46'32.9632"，N31°50'14.4404"。</w:t>
            </w:r>
          </w:p>
          <w:p w14:paraId="651AC2BE">
            <w:pPr>
              <w:ind w:firstLine="482"/>
            </w:pPr>
            <w:r>
              <w:rPr>
                <w:rFonts w:hint="eastAsia"/>
                <w:b/>
                <w:bCs/>
              </w:rPr>
              <w:t>生态步道及护栏3公里等配套基础设施：</w:t>
            </w:r>
            <w:r>
              <w:rPr>
                <w:rFonts w:hint="eastAsia"/>
              </w:rPr>
              <w:t>位于檬子河左岸，上游起点坐标：：E106°46'43.3245"，N31°50'58.9874"；终点坐标：E106°46'44.0371"，N31°50'34.3277"。下游起点坐标：：E106°46'47.5502"，N31°50'27.7474"；终点坐标：E106°46'44.0371"，N31°50'34.3277"。</w:t>
            </w:r>
          </w:p>
          <w:p w14:paraId="4EADECEE">
            <w:pPr>
              <w:ind w:firstLine="482"/>
            </w:pPr>
            <w:r>
              <w:rPr>
                <w:rFonts w:hint="eastAsia"/>
                <w:b/>
                <w:bCs/>
              </w:rPr>
              <w:t>生态隔离带：</w:t>
            </w:r>
            <w:r>
              <w:rPr>
                <w:rFonts w:hint="eastAsia"/>
              </w:rPr>
              <w:t>位于生态步道旁。</w:t>
            </w:r>
          </w:p>
        </w:tc>
      </w:tr>
      <w:tr w14:paraId="60AB7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tcPr>
          <w:p w14:paraId="74259898">
            <w:pPr>
              <w:ind w:firstLine="0" w:firstLineChars="0"/>
              <w:jc w:val="center"/>
            </w:pPr>
            <w:r>
              <w:rPr>
                <w:rFonts w:hint="eastAsia"/>
              </w:rPr>
              <w:t>项目组成及规模</w:t>
            </w:r>
          </w:p>
        </w:tc>
        <w:tc>
          <w:tcPr>
            <w:tcW w:w="8620" w:type="dxa"/>
          </w:tcPr>
          <w:p w14:paraId="615BFAB3">
            <w:pPr>
              <w:ind w:firstLine="0" w:firstLineChars="0"/>
              <w:rPr>
                <w:b/>
                <w:bCs/>
              </w:rPr>
            </w:pPr>
            <w:r>
              <w:rPr>
                <w:rFonts w:hint="eastAsia"/>
                <w:b/>
                <w:bCs/>
              </w:rPr>
              <w:t>一、项目基本情况</w:t>
            </w:r>
          </w:p>
          <w:p w14:paraId="20AD9798">
            <w:pPr>
              <w:ind w:firstLine="482"/>
              <w:rPr>
                <w:b/>
                <w:bCs/>
              </w:rPr>
            </w:pPr>
            <w:r>
              <w:rPr>
                <w:rFonts w:hint="eastAsia"/>
                <w:b/>
                <w:bCs/>
              </w:rPr>
              <w:t>1、项目由来</w:t>
            </w:r>
          </w:p>
          <w:p w14:paraId="6901B5C3">
            <w:pPr>
              <w:widowControl/>
              <w:ind w:firstLine="480"/>
              <w:jc w:val="left"/>
              <w:rPr>
                <w:rFonts w:hint="eastAsia"/>
              </w:rPr>
            </w:pPr>
            <w:r>
              <w:rPr>
                <w:rFonts w:hint="eastAsia"/>
              </w:rPr>
              <w:t>本项目治理河段为巴中市檬子河后河大桥至天下城段，沿线以居住区为主，配套商业、教育、绿地广场，是片区居民休闲游憩的核心滨水廊道，承担城市生态与人居服务功能。</w:t>
            </w:r>
          </w:p>
          <w:p w14:paraId="76EB5D1A">
            <w:pPr>
              <w:widowControl/>
              <w:ind w:firstLine="480"/>
              <w:jc w:val="left"/>
              <w:rPr>
                <w:rFonts w:hint="eastAsia"/>
              </w:rPr>
            </w:pPr>
            <w:r>
              <w:rPr>
                <w:rFonts w:hint="eastAsia"/>
              </w:rPr>
              <w:t>片区城镇化快速推进后，河道配套、管护体系建设滞后，存在六大突出问题：一是滨河便民休闲设施匮乏，缺少亲水空间，滨水空间体验与可达性差；二是滨河慢行步道断点多、连通性不足，难以满足低碳出行需求；三是上游河道行洪标准不足，存在淹没隐患，中下游河堤硬质化、绿地零散，景观层次单一、生态功能薄弱；四是沿河建筑立面杂乱、河堤风貌同质化，缺乏统一管控，滨河界面整体品质偏低；五是沿岸闲置土地违规开垦、利用粗放，公共配套与业态不完善，片区发展活力不足。</w:t>
            </w:r>
          </w:p>
          <w:p w14:paraId="3E0788D9">
            <w:pPr>
              <w:widowControl/>
              <w:ind w:firstLine="480"/>
              <w:jc w:val="left"/>
            </w:pPr>
            <w:r>
              <w:rPr>
                <w:rFonts w:hint="eastAsia"/>
              </w:rPr>
              <w:t>为系统性解决河道生态薄弱、防洪安全不足、滨水设施缺失、沿岸风貌杂乱等问题，巴中市环境投资集团股份有限公司投资9573.82万元实施檬子河流域水环境综合治理项目（一期）。主要建设内容包含30000㎡生态隔离带、总长6km共50122.41㎡生态护岸、3km生态步道及护栏，另于巴河与檬子河交汇处以东300米新建一座控制导流设施。项目完工后可修复河道生态、强化行洪安全、优化人居环境、统一提升滨河城市风貌，推动片区生态、社会、经济协同高质量发展。</w:t>
            </w:r>
          </w:p>
          <w:p w14:paraId="4219D3B5">
            <w:pPr>
              <w:ind w:firstLine="480"/>
            </w:pPr>
            <w:r>
              <w:rPr>
                <w:rFonts w:hint="eastAsia"/>
              </w:rPr>
              <w:t>本项目2025年11月8日取得建设项目用地预审与选址意见书（用字第5119022025XS0017569号）；2025年11月18日取得巴中市发展和改革委员会《关于巴中市檬子河流域水环境综合治理项目（一期）可行性研究报告（代项目建议书）的批复》（巴发改审〔2025〕49号），项目代码：2511-511900-04-01-534832；2026年3月13日取得巴中市发展和改革委员会《关于巴中市檬子河流域水环境综合治理项目（一期）初步设计及概算的批复》（巴发改审〔2026〕16号）。</w:t>
            </w:r>
          </w:p>
          <w:p w14:paraId="73DBAFA7">
            <w:pPr>
              <w:ind w:firstLine="480"/>
            </w:pPr>
            <w:r>
              <w:rPr>
                <w:rFonts w:hint="eastAsia"/>
              </w:rPr>
              <w:t>根据中国十九冶集团有限公司编制的《巴中市檬子河流域水环境综合治理项目（一期）初步设计文件》（2026年2月），项目建设内容主要包括新建檬子河大桥至巨林天下城段污水管网2800米，配套河道垃圾处理及河道清淤总量约4.5万m</w:t>
            </w:r>
            <w:r>
              <w:rPr>
                <w:rFonts w:hint="eastAsia"/>
                <w:vertAlign w:val="superscript"/>
              </w:rPr>
              <w:t>3</w:t>
            </w:r>
            <w:r>
              <w:rPr>
                <w:rFonts w:hint="eastAsia"/>
              </w:rPr>
              <w:t>，生态隔离带30000m</w:t>
            </w:r>
            <w:r>
              <w:rPr>
                <w:rFonts w:hint="eastAsia"/>
                <w:vertAlign w:val="superscript"/>
              </w:rPr>
              <w:t>2</w:t>
            </w:r>
            <w:r>
              <w:rPr>
                <w:rFonts w:hint="eastAsia"/>
              </w:rPr>
              <w:t>，生态护岸50122.41m</w:t>
            </w:r>
            <w:r>
              <w:rPr>
                <w:rFonts w:hint="eastAsia"/>
                <w:vertAlign w:val="superscript"/>
              </w:rPr>
              <w:t>2</w:t>
            </w:r>
            <w:r>
              <w:rPr>
                <w:rFonts w:hint="eastAsia"/>
              </w:rPr>
              <w:t>（6公里），生态步道及护栏3公里等配套基础设施，含新建一座控制导流设施，位于巴河与檬子河交汇处以东300米处。</w:t>
            </w:r>
            <w:r>
              <w:rPr>
                <w:rFonts w:hint="eastAsia"/>
                <w:lang w:val="en-US" w:eastAsia="zh-CN"/>
              </w:rPr>
              <w:t>根据业主单位出具的“关于巴中市檬子河流域水环境综合治理项目（一期）河道清淤及垃圾处理工程、新建</w:t>
            </w:r>
            <w:r>
              <w:rPr>
                <w:rFonts w:hint="eastAsia"/>
              </w:rPr>
              <w:t>檬子河大桥至巨林天下城段污水管网2800米</w:t>
            </w:r>
            <w:r>
              <w:rPr>
                <w:rFonts w:hint="eastAsia"/>
                <w:lang w:val="en-US" w:eastAsia="zh-CN"/>
              </w:rPr>
              <w:t>不纳入本次环评评价范围的情况说明”，</w:t>
            </w:r>
            <w:r>
              <w:rPr>
                <w:rFonts w:hint="eastAsia"/>
              </w:rPr>
              <w:t>本次环境影响评价工作范围不含配套河道垃圾处理及河道清淤工程（清淤总量约4.5万m</w:t>
            </w:r>
            <w:r>
              <w:rPr>
                <w:rFonts w:hint="eastAsia"/>
                <w:vertAlign w:val="superscript"/>
              </w:rPr>
              <w:t>3</w:t>
            </w:r>
            <w:r>
              <w:rPr>
                <w:rFonts w:hint="eastAsia"/>
              </w:rPr>
              <w:t>）</w:t>
            </w:r>
            <w:r>
              <w:rPr>
                <w:rFonts w:hint="eastAsia"/>
                <w:lang w:eastAsia="zh-CN"/>
              </w:rPr>
              <w:t>、</w:t>
            </w:r>
            <w:r>
              <w:rPr>
                <w:rFonts w:hint="eastAsia"/>
                <w:lang w:val="en-US" w:eastAsia="zh-CN"/>
              </w:rPr>
              <w:t>新建</w:t>
            </w:r>
            <w:r>
              <w:rPr>
                <w:rFonts w:hint="eastAsia"/>
              </w:rPr>
              <w:t>檬子河大桥至巨林天下城段污水管网2800米，该部分工程不纳入本次环评评价内容，相关环境影响评价工作由建设单位另行组织实施。</w:t>
            </w:r>
          </w:p>
          <w:p w14:paraId="4DEE7EE5">
            <w:pPr>
              <w:ind w:firstLine="480"/>
              <w:rPr>
                <w:b/>
                <w:bCs/>
              </w:rPr>
            </w:pPr>
            <w:r>
              <w:rPr>
                <w:rFonts w:hint="eastAsia"/>
              </w:rPr>
              <w:t>根据《中华人民共和国环境保护法》、《中华人民共和国环境影响评价法》和国务院令第682号要求，一切新建、扩建、技改项目必须进行环境影响评价。根据《建设项目环境影响评价分类管理名录（2021年版）》，</w:t>
            </w:r>
            <w:r>
              <w:rPr>
                <w:rFonts w:hint="eastAsia"/>
                <w:lang w:val="en-US" w:eastAsia="zh-CN"/>
              </w:rPr>
              <w:t>本项目</w:t>
            </w:r>
            <w:r>
              <w:rPr>
                <w:rFonts w:hint="eastAsia"/>
              </w:rPr>
              <w:t>新建生态护岸面积50122.41㎡（6公里），新建驳岸44339㎡，新建驳岸总长5714m，其中左岸驳岸长3004m，右岸驳岸长2710m</w:t>
            </w:r>
            <w:r>
              <w:rPr>
                <w:rFonts w:hint="eastAsia"/>
                <w:lang w:eastAsia="zh-CN"/>
              </w:rPr>
              <w:t>；</w:t>
            </w:r>
            <w:r>
              <w:rPr>
                <w:rFonts w:hint="eastAsia"/>
                <w:lang w:val="en-US" w:eastAsia="zh-CN"/>
              </w:rPr>
              <w:t>新建</w:t>
            </w:r>
            <w:r>
              <w:rPr>
                <w:rFonts w:hint="eastAsia"/>
              </w:rPr>
              <w:t>一座控制导流设施，属于“127、防洪除涝工程-其他”，应编制环境影响报告表。</w:t>
            </w:r>
          </w:p>
          <w:p w14:paraId="51870051">
            <w:pPr>
              <w:ind w:firstLine="482"/>
              <w:rPr>
                <w:b/>
                <w:bCs/>
              </w:rPr>
            </w:pPr>
            <w:r>
              <w:rPr>
                <w:rFonts w:hint="eastAsia"/>
                <w:b/>
                <w:bCs/>
              </w:rPr>
              <w:t>2、项目建设内容</w:t>
            </w:r>
          </w:p>
          <w:p w14:paraId="4323F732">
            <w:pPr>
              <w:ind w:firstLine="482"/>
            </w:pPr>
            <w:r>
              <w:rPr>
                <w:rFonts w:hint="eastAsia"/>
                <w:b/>
                <w:bCs/>
              </w:rPr>
              <w:t>项目名称：</w:t>
            </w:r>
            <w:r>
              <w:rPr>
                <w:rFonts w:hint="eastAsia"/>
              </w:rPr>
              <w:t>巴中市檬子河流域水环境综合治理项目（一期）</w:t>
            </w:r>
          </w:p>
          <w:p w14:paraId="55CF15D9">
            <w:pPr>
              <w:ind w:firstLine="482"/>
            </w:pPr>
            <w:r>
              <w:rPr>
                <w:rFonts w:hint="eastAsia"/>
                <w:b/>
                <w:bCs/>
              </w:rPr>
              <w:t>建设单位：</w:t>
            </w:r>
            <w:r>
              <w:rPr>
                <w:rFonts w:hint="eastAsia"/>
              </w:rPr>
              <w:t>巴中市环境投资集团股份有限公司</w:t>
            </w:r>
          </w:p>
          <w:p w14:paraId="04861A20">
            <w:pPr>
              <w:ind w:firstLine="482"/>
            </w:pPr>
            <w:r>
              <w:rPr>
                <w:rFonts w:hint="eastAsia"/>
                <w:b/>
                <w:bCs/>
              </w:rPr>
              <w:t>建设范围：</w:t>
            </w:r>
            <w:r>
              <w:rPr>
                <w:rFonts w:hint="eastAsia"/>
              </w:rPr>
              <w:t>四川省巴中市巴州区檬子河流域</w:t>
            </w:r>
          </w:p>
          <w:p w14:paraId="27A4ED82">
            <w:pPr>
              <w:ind w:firstLine="482"/>
              <w:rPr>
                <w:b/>
                <w:bCs/>
              </w:rPr>
            </w:pPr>
            <w:r>
              <w:rPr>
                <w:rFonts w:hint="eastAsia"/>
                <w:b/>
                <w:bCs/>
              </w:rPr>
              <w:t>建设内容：</w:t>
            </w:r>
          </w:p>
          <w:p w14:paraId="7D384A52">
            <w:pPr>
              <w:ind w:firstLine="482"/>
            </w:pPr>
            <w:r>
              <w:rPr>
                <w:rFonts w:hint="eastAsia"/>
                <w:b/>
                <w:bCs/>
              </w:rPr>
              <w:t>（1）控流导流设施（</w:t>
            </w:r>
            <w:r>
              <w:rPr>
                <w:rFonts w:hint="eastAsia"/>
                <w:b/>
                <w:bCs/>
                <w:lang w:val="en-US" w:eastAsia="zh-CN"/>
              </w:rPr>
              <w:t>生态景观控流闸</w:t>
            </w:r>
            <w:r>
              <w:rPr>
                <w:rFonts w:hint="eastAsia"/>
                <w:b/>
                <w:bCs/>
              </w:rPr>
              <w:t>）：</w:t>
            </w:r>
            <w:r>
              <w:rPr>
                <w:rFonts w:hint="eastAsia"/>
                <w:lang w:eastAsia="zh-CN"/>
              </w:rPr>
              <w:t>生态景观控流闸</w:t>
            </w:r>
            <w:r>
              <w:rPr>
                <w:rFonts w:hint="eastAsia"/>
              </w:rPr>
              <w:t>布置在巴河与檬子河交汇处以东300米处，水闸正常蓄水位（环境生态蓄水位）346.00m，闸底板高程341.50m，闸门挡水高度4.5m。水闸顺水流方向依次布置铺盖段、闸室段、护坦。闸室段顺水流方向长16.2m，轴线长52.0m，沿轴线从左至右依次布置左岸启闭机室、40×4.5m（宽×高）底轴旋转钢闸坝，右岸启闭机室。底轴旋转钢闸门立门挡水时允许堰顶溢流水头0.30m，即立门挡水最高运行水位346.30m</w:t>
            </w:r>
            <w:r>
              <w:t>。本工程等别为Ⅳ等、规模为小（1）型，主要建筑物级别为4级，次要建筑物及临时建筑物级别均为5级</w:t>
            </w:r>
            <w:r>
              <w:rPr>
                <w:rFonts w:hint="eastAsia"/>
                <w:lang w:eastAsia="zh-CN"/>
              </w:rPr>
              <w:t>，</w:t>
            </w:r>
            <w:r>
              <w:rPr>
                <w:rFonts w:hint="default"/>
                <w:color w:val="auto"/>
                <w:lang w:val="en-US" w:eastAsia="zh-CN"/>
              </w:rPr>
              <w:t>工程防洪标准按</w:t>
            </w:r>
            <w:r>
              <w:rPr>
                <w:rFonts w:hint="eastAsia"/>
                <w:color w:val="auto"/>
                <w:lang w:val="en-US" w:eastAsia="zh-CN"/>
              </w:rPr>
              <w:t>20</w:t>
            </w:r>
            <w:r>
              <w:rPr>
                <w:rFonts w:hint="default"/>
                <w:color w:val="auto"/>
                <w:lang w:val="en-US" w:eastAsia="zh-CN"/>
              </w:rPr>
              <w:t>年一遇设计，</w:t>
            </w:r>
            <w:r>
              <w:rPr>
                <w:rFonts w:hint="eastAsia"/>
                <w:color w:val="auto"/>
                <w:lang w:val="en-US" w:eastAsia="zh-CN"/>
              </w:rPr>
              <w:t>50</w:t>
            </w:r>
            <w:r>
              <w:rPr>
                <w:rFonts w:hint="default"/>
                <w:color w:val="auto"/>
                <w:lang w:val="en-US" w:eastAsia="zh-CN"/>
              </w:rPr>
              <w:t>年一遇校核</w:t>
            </w:r>
            <w:r>
              <w:t>。</w:t>
            </w:r>
          </w:p>
          <w:p w14:paraId="4AE13773">
            <w:pPr>
              <w:ind w:firstLine="482"/>
            </w:pPr>
            <w:r>
              <w:rPr>
                <w:rFonts w:hint="eastAsia"/>
                <w:b/>
                <w:bCs/>
              </w:rPr>
              <w:t>（</w:t>
            </w:r>
            <w:r>
              <w:rPr>
                <w:rFonts w:hint="eastAsia"/>
                <w:b/>
                <w:bCs/>
                <w:lang w:val="en-US" w:eastAsia="zh-CN"/>
              </w:rPr>
              <w:t>2</w:t>
            </w:r>
            <w:r>
              <w:rPr>
                <w:rFonts w:hint="eastAsia"/>
                <w:b/>
                <w:bCs/>
              </w:rPr>
              <w:t>）生态护岸：</w:t>
            </w:r>
            <w:r>
              <w:t>生态护岸面积50122.41㎡（6公里），新建驳岸44339㎡，新建驳岸总长5714m（左岸驳岸长3004m，右岸驳岸长2710m），驳岸顶高程351.50m，对应河道常水位346.00m，河底340.50m、基础底338.50m。本工程</w:t>
            </w:r>
            <w:r>
              <w:rPr>
                <w:rFonts w:hint="eastAsia"/>
              </w:rPr>
              <w:t>建筑物</w:t>
            </w:r>
            <w:r>
              <w:t>为</w:t>
            </w:r>
            <w:r>
              <w:rPr>
                <w:rFonts w:hint="eastAsia"/>
              </w:rPr>
              <w:t>4级</w:t>
            </w:r>
            <w:r>
              <w:t>，其防洪标准为50年一遇。</w:t>
            </w:r>
          </w:p>
          <w:p w14:paraId="3D191929">
            <w:pPr>
              <w:ind w:firstLine="482"/>
            </w:pPr>
            <w:r>
              <w:rPr>
                <w:rFonts w:hint="eastAsia"/>
                <w:b/>
                <w:bCs/>
              </w:rPr>
              <w:t>（</w:t>
            </w:r>
            <w:r>
              <w:rPr>
                <w:rFonts w:hint="eastAsia"/>
                <w:b/>
                <w:bCs/>
                <w:lang w:val="en-US" w:eastAsia="zh-CN"/>
              </w:rPr>
              <w:t>3</w:t>
            </w:r>
            <w:r>
              <w:rPr>
                <w:rFonts w:hint="eastAsia"/>
                <w:b/>
                <w:bCs/>
              </w:rPr>
              <w:t>）生态步道及护栏3公里等配套设施：</w:t>
            </w:r>
            <w:r>
              <w:rPr>
                <w:rFonts w:hint="eastAsia"/>
              </w:rPr>
              <w:t>河道东岸绿地由南至北设计滨河步道，分为透水混凝土面层和木栈道两种形式。市政路一侧设置多个出入口场地，通过步道连接至滨河区域，方便居民及游客日常休闲需求。道路外侧设置隔离护栏，采用不锈钢立柱结合钢索形式，总高度1.2米，符合《公园设计规范》（GB51192-2016）防护要求。栏杆扶手结合科普标识牌，进行生态科普宣传。</w:t>
            </w:r>
          </w:p>
          <w:p w14:paraId="06E70055">
            <w:pPr>
              <w:ind w:firstLine="480"/>
            </w:pPr>
            <w:r>
              <w:rPr>
                <w:rFonts w:hint="eastAsia"/>
              </w:rPr>
              <w:t>①台地草坪场地：利用现状自然高差，设计台地式大台阶，通往亲水平台，大台阶兼坐凳，为游人提供休憩设施，可进行观演、集会等市民活动。</w:t>
            </w:r>
          </w:p>
          <w:p w14:paraId="67046676">
            <w:pPr>
              <w:ind w:firstLine="480"/>
            </w:pPr>
            <w:r>
              <w:rPr>
                <w:rFonts w:hint="eastAsia"/>
              </w:rPr>
              <w:t>②运动健身场地：</w:t>
            </w:r>
            <w:r>
              <w:t>充分利用后河桥桥下空间</w:t>
            </w:r>
            <w:r>
              <w:rPr>
                <w:rFonts w:hint="eastAsia"/>
              </w:rPr>
              <w:t>（运动广场）</w:t>
            </w:r>
            <w:r>
              <w:t>和南侧空闲场地</w:t>
            </w:r>
            <w:r>
              <w:rPr>
                <w:rFonts w:hint="eastAsia"/>
              </w:rPr>
              <w:t>（河湾剧场）</w:t>
            </w:r>
            <w:r>
              <w:t>，营造运动休闲为主要功能的活动场地。设置篮球场、羽毛球场、健身器械等，同时布置休憩坐凳等设施，完善基础配套，方便周边居民日常锻炼、休闲活动。</w:t>
            </w:r>
          </w:p>
          <w:p w14:paraId="2EDBB5CE">
            <w:pPr>
              <w:ind w:firstLine="480"/>
            </w:pPr>
            <w:r>
              <w:rPr>
                <w:rFonts w:hint="eastAsia"/>
              </w:rPr>
              <w:t>③标识牌：采用三级导览系统，分为一级导览牌，二级指向导览牌，三级方向指引牌，分别布置于主要出入口，场地处，及道路交叉口。</w:t>
            </w:r>
          </w:p>
          <w:p w14:paraId="3DDA59C2">
            <w:pPr>
              <w:ind w:firstLine="480"/>
            </w:pPr>
            <w:r>
              <w:rPr>
                <w:rFonts w:hint="eastAsia"/>
              </w:rPr>
              <w:t>④停车场：设置生态停车场3片，停车位共400个，其中包含充电桩100个；停车场为透水混凝土面层。</w:t>
            </w:r>
          </w:p>
          <w:p w14:paraId="7CB22A9C">
            <w:pPr>
              <w:ind w:firstLine="482"/>
              <w:rPr>
                <w:b/>
                <w:bCs/>
              </w:rPr>
            </w:pPr>
            <w:r>
              <w:rPr>
                <w:rFonts w:hint="eastAsia"/>
                <w:b/>
                <w:bCs/>
              </w:rPr>
              <w:t>（</w:t>
            </w:r>
            <w:r>
              <w:rPr>
                <w:rFonts w:hint="eastAsia"/>
                <w:b/>
                <w:bCs/>
                <w:lang w:val="en-US" w:eastAsia="zh-CN"/>
              </w:rPr>
              <w:t>4</w:t>
            </w:r>
            <w:r>
              <w:rPr>
                <w:rFonts w:hint="eastAsia"/>
                <w:b/>
                <w:bCs/>
              </w:rPr>
              <w:t>）生态隔离带：</w:t>
            </w:r>
          </w:p>
          <w:p w14:paraId="5A199948">
            <w:pPr>
              <w:ind w:firstLine="480"/>
            </w:pPr>
            <w:r>
              <w:rPr>
                <w:rFonts w:hint="eastAsia"/>
              </w:rPr>
              <w:t>①台地草坪场地：根据现状地形高差，布置台地空间，铺装材料以彩色透水混凝土和花岗岩台阶为主。</w:t>
            </w:r>
          </w:p>
          <w:p w14:paraId="231A4DAD">
            <w:pPr>
              <w:widowControl/>
              <w:ind w:firstLine="480"/>
              <w:jc w:val="left"/>
            </w:pPr>
            <w:r>
              <w:rPr>
                <w:rFonts w:hint="eastAsia"/>
              </w:rPr>
              <w:t>②</w:t>
            </w:r>
            <w:r>
              <w:rPr>
                <w:rFonts w:ascii="瀹嬩綋" w:hAnsi="瀹嬩綋" w:eastAsia="瀹嬩綋" w:cs="瀹嬩綋"/>
                <w:color w:val="000000"/>
                <w:kern w:val="0"/>
                <w:lang w:bidi="ar"/>
              </w:rPr>
              <w:t>生态草沟</w:t>
            </w:r>
            <w:r>
              <w:rPr>
                <w:rFonts w:hint="eastAsia"/>
              </w:rPr>
              <w:t>：于滨水游步道一侧设置生态植草沟3000m</w:t>
            </w:r>
            <w:r>
              <w:rPr>
                <w:rFonts w:hint="eastAsia"/>
                <w:vertAlign w:val="superscript"/>
              </w:rPr>
              <w:t>2</w:t>
            </w:r>
            <w:r>
              <w:rPr>
                <w:rFonts w:hint="eastAsia"/>
              </w:rPr>
              <w:t>。</w:t>
            </w:r>
          </w:p>
          <w:p w14:paraId="4322BC9D">
            <w:pPr>
              <w:ind w:firstLine="0" w:firstLineChars="0"/>
              <w:rPr>
                <w:b/>
                <w:bCs/>
              </w:rPr>
            </w:pPr>
            <w:r>
              <w:rPr>
                <w:rFonts w:hint="eastAsia"/>
                <w:b/>
                <w:bCs/>
              </w:rPr>
              <w:t>二、项目组成及主要环境问题</w:t>
            </w:r>
          </w:p>
          <w:p w14:paraId="26AAB9EA">
            <w:pPr>
              <w:ind w:firstLine="480"/>
            </w:pPr>
            <w:r>
              <w:t>本项目主要建设内容为堤防建设、</w:t>
            </w:r>
            <w:r>
              <w:rPr>
                <w:rFonts w:hint="eastAsia"/>
              </w:rPr>
              <w:t>控制导流设施建设、污水管网建设、生态隔离带、步道及护栏等配套设施的建设</w:t>
            </w:r>
            <w:r>
              <w:t>，涉水工程安排在非汛期施工。项目占地不涉及永久基本农田。项目组成及主要环境问题见下</w:t>
            </w:r>
            <w:r>
              <w:rPr>
                <w:rFonts w:hint="eastAsia"/>
              </w:rPr>
              <w:t>表。</w:t>
            </w:r>
          </w:p>
          <w:p w14:paraId="7EAB088A">
            <w:pPr>
              <w:ind w:firstLine="0" w:firstLineChars="0"/>
              <w:jc w:val="center"/>
              <w:rPr>
                <w:b/>
                <w:bCs/>
                <w:sz w:val="21"/>
                <w:szCs w:val="21"/>
              </w:rPr>
            </w:pPr>
            <w:r>
              <w:rPr>
                <w:rFonts w:hint="eastAsia"/>
                <w:b/>
                <w:bCs/>
                <w:sz w:val="21"/>
                <w:szCs w:val="21"/>
              </w:rPr>
              <w:t>表2-1  项目组成及主要环境问题</w:t>
            </w:r>
          </w:p>
          <w:tbl>
            <w:tblPr>
              <w:tblStyle w:val="19"/>
              <w:tblW w:w="0" w:type="auto"/>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855"/>
              <w:gridCol w:w="5160"/>
              <w:gridCol w:w="945"/>
              <w:gridCol w:w="950"/>
            </w:tblGrid>
            <w:tr w14:paraId="045A7A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restart"/>
                  <w:tcBorders>
                    <w:tl2br w:val="nil"/>
                    <w:tr2bl w:val="nil"/>
                  </w:tcBorders>
                  <w:vAlign w:val="center"/>
                </w:tcPr>
                <w:p w14:paraId="0273A1BA">
                  <w:pPr>
                    <w:pStyle w:val="30"/>
                    <w:widowControl/>
                    <w:spacing w:line="240" w:lineRule="auto"/>
                    <w:ind w:firstLine="0" w:firstLineChars="0"/>
                    <w:jc w:val="center"/>
                    <w:rPr>
                      <w:rFonts w:eastAsia="宋体"/>
                      <w:b/>
                      <w:bCs/>
                      <w:sz w:val="21"/>
                    </w:rPr>
                  </w:pPr>
                  <w:r>
                    <w:rPr>
                      <w:rFonts w:hint="eastAsia" w:eastAsia="宋体"/>
                      <w:b/>
                      <w:bCs/>
                      <w:sz w:val="21"/>
                    </w:rPr>
                    <w:t>组成</w:t>
                  </w:r>
                </w:p>
              </w:tc>
              <w:tc>
                <w:tcPr>
                  <w:tcW w:w="6015" w:type="dxa"/>
                  <w:gridSpan w:val="2"/>
                  <w:vMerge w:val="restart"/>
                  <w:tcBorders>
                    <w:tl2br w:val="nil"/>
                    <w:tr2bl w:val="nil"/>
                  </w:tcBorders>
                </w:tcPr>
                <w:p w14:paraId="29101F55">
                  <w:pPr>
                    <w:pStyle w:val="30"/>
                    <w:widowControl/>
                    <w:spacing w:line="240" w:lineRule="auto"/>
                    <w:ind w:firstLine="0" w:firstLineChars="0"/>
                    <w:jc w:val="center"/>
                    <w:rPr>
                      <w:rFonts w:eastAsia="宋体"/>
                      <w:b/>
                      <w:bCs/>
                      <w:sz w:val="21"/>
                    </w:rPr>
                  </w:pPr>
                  <w:r>
                    <w:rPr>
                      <w:rFonts w:hint="eastAsia" w:eastAsia="宋体"/>
                      <w:b/>
                      <w:bCs/>
                      <w:sz w:val="21"/>
                    </w:rPr>
                    <w:t>建设内容及规模</w:t>
                  </w:r>
                </w:p>
              </w:tc>
              <w:tc>
                <w:tcPr>
                  <w:tcW w:w="1895" w:type="dxa"/>
                  <w:gridSpan w:val="2"/>
                  <w:tcBorders>
                    <w:tl2br w:val="nil"/>
                    <w:tr2bl w:val="nil"/>
                  </w:tcBorders>
                </w:tcPr>
                <w:p w14:paraId="6A8ED3A6">
                  <w:pPr>
                    <w:pStyle w:val="30"/>
                    <w:widowControl/>
                    <w:spacing w:line="240" w:lineRule="auto"/>
                    <w:ind w:firstLine="0" w:firstLineChars="0"/>
                    <w:jc w:val="center"/>
                    <w:rPr>
                      <w:rFonts w:eastAsia="宋体"/>
                      <w:b/>
                      <w:bCs/>
                      <w:sz w:val="21"/>
                    </w:rPr>
                  </w:pPr>
                  <w:r>
                    <w:rPr>
                      <w:rFonts w:hint="eastAsia" w:eastAsia="宋体"/>
                      <w:b/>
                      <w:bCs/>
                      <w:sz w:val="21"/>
                    </w:rPr>
                    <w:t>环境影响</w:t>
                  </w:r>
                </w:p>
              </w:tc>
            </w:tr>
            <w:tr w14:paraId="42553A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489" w:type="dxa"/>
                  <w:vMerge w:val="continue"/>
                  <w:tcBorders>
                    <w:tl2br w:val="nil"/>
                    <w:tr2bl w:val="nil"/>
                  </w:tcBorders>
                  <w:vAlign w:val="center"/>
                </w:tcPr>
                <w:p w14:paraId="1E2D4D80">
                  <w:pPr>
                    <w:pStyle w:val="30"/>
                    <w:widowControl/>
                    <w:spacing w:line="240" w:lineRule="auto"/>
                    <w:ind w:firstLine="0" w:firstLineChars="0"/>
                    <w:jc w:val="center"/>
                    <w:rPr>
                      <w:rFonts w:eastAsia="宋体"/>
                      <w:b/>
                      <w:bCs/>
                      <w:sz w:val="21"/>
                    </w:rPr>
                  </w:pPr>
                </w:p>
              </w:tc>
              <w:tc>
                <w:tcPr>
                  <w:tcW w:w="6015" w:type="dxa"/>
                  <w:gridSpan w:val="2"/>
                  <w:vMerge w:val="continue"/>
                  <w:tcBorders>
                    <w:tl2br w:val="nil"/>
                    <w:tr2bl w:val="nil"/>
                  </w:tcBorders>
                </w:tcPr>
                <w:p w14:paraId="4B02D834">
                  <w:pPr>
                    <w:pStyle w:val="30"/>
                    <w:widowControl/>
                    <w:spacing w:line="240" w:lineRule="auto"/>
                    <w:ind w:firstLine="0" w:firstLineChars="0"/>
                    <w:jc w:val="center"/>
                    <w:rPr>
                      <w:rFonts w:eastAsia="宋体"/>
                      <w:b/>
                      <w:bCs/>
                      <w:sz w:val="21"/>
                    </w:rPr>
                  </w:pPr>
                </w:p>
              </w:tc>
              <w:tc>
                <w:tcPr>
                  <w:tcW w:w="945" w:type="dxa"/>
                  <w:tcBorders>
                    <w:tl2br w:val="nil"/>
                    <w:tr2bl w:val="nil"/>
                  </w:tcBorders>
                </w:tcPr>
                <w:p w14:paraId="472D1F47">
                  <w:pPr>
                    <w:pStyle w:val="30"/>
                    <w:widowControl/>
                    <w:spacing w:line="240" w:lineRule="auto"/>
                    <w:ind w:firstLine="0" w:firstLineChars="0"/>
                    <w:jc w:val="center"/>
                    <w:rPr>
                      <w:rFonts w:eastAsia="宋体"/>
                      <w:b/>
                      <w:bCs/>
                      <w:sz w:val="21"/>
                    </w:rPr>
                  </w:pPr>
                  <w:r>
                    <w:rPr>
                      <w:rFonts w:hint="eastAsia" w:eastAsia="宋体"/>
                      <w:b/>
                      <w:bCs/>
                      <w:sz w:val="21"/>
                    </w:rPr>
                    <w:t>施工期</w:t>
                  </w:r>
                </w:p>
              </w:tc>
              <w:tc>
                <w:tcPr>
                  <w:tcW w:w="950" w:type="dxa"/>
                  <w:tcBorders>
                    <w:tl2br w:val="nil"/>
                    <w:tr2bl w:val="nil"/>
                  </w:tcBorders>
                </w:tcPr>
                <w:p w14:paraId="2915BF36">
                  <w:pPr>
                    <w:pStyle w:val="30"/>
                    <w:widowControl/>
                    <w:spacing w:line="240" w:lineRule="auto"/>
                    <w:ind w:firstLine="0" w:firstLineChars="0"/>
                    <w:jc w:val="center"/>
                    <w:rPr>
                      <w:rFonts w:eastAsia="宋体"/>
                      <w:b/>
                      <w:bCs/>
                      <w:sz w:val="21"/>
                    </w:rPr>
                  </w:pPr>
                  <w:r>
                    <w:rPr>
                      <w:rFonts w:hint="eastAsia" w:eastAsia="宋体"/>
                      <w:b/>
                      <w:bCs/>
                      <w:sz w:val="21"/>
                    </w:rPr>
                    <w:t>运营期</w:t>
                  </w:r>
                </w:p>
              </w:tc>
            </w:tr>
            <w:tr w14:paraId="2087A6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restart"/>
                  <w:tcBorders>
                    <w:tl2br w:val="nil"/>
                    <w:tr2bl w:val="nil"/>
                  </w:tcBorders>
                  <w:vAlign w:val="center"/>
                </w:tcPr>
                <w:p w14:paraId="6A210471">
                  <w:pPr>
                    <w:pStyle w:val="30"/>
                    <w:widowControl/>
                    <w:spacing w:line="240" w:lineRule="auto"/>
                    <w:ind w:firstLine="0" w:firstLineChars="0"/>
                    <w:jc w:val="center"/>
                    <w:rPr>
                      <w:rFonts w:eastAsia="宋体"/>
                      <w:sz w:val="21"/>
                    </w:rPr>
                  </w:pPr>
                  <w:r>
                    <w:rPr>
                      <w:rFonts w:hint="eastAsia" w:eastAsia="宋体"/>
                      <w:sz w:val="21"/>
                    </w:rPr>
                    <w:t>主体工程</w:t>
                  </w:r>
                </w:p>
              </w:tc>
              <w:tc>
                <w:tcPr>
                  <w:tcW w:w="855" w:type="dxa"/>
                  <w:tcBorders>
                    <w:tl2br w:val="nil"/>
                    <w:tr2bl w:val="nil"/>
                  </w:tcBorders>
                  <w:vAlign w:val="center"/>
                </w:tcPr>
                <w:p w14:paraId="0FB4632E">
                  <w:pPr>
                    <w:pStyle w:val="30"/>
                    <w:widowControl/>
                    <w:spacing w:line="240" w:lineRule="auto"/>
                    <w:ind w:firstLine="0" w:firstLineChars="0"/>
                    <w:jc w:val="center"/>
                    <w:rPr>
                      <w:rFonts w:eastAsia="宋体"/>
                      <w:sz w:val="21"/>
                    </w:rPr>
                  </w:pPr>
                  <w:r>
                    <w:rPr>
                      <w:rFonts w:eastAsia="宋体"/>
                      <w:sz w:val="21"/>
                    </w:rPr>
                    <w:t>控流导流设施</w:t>
                  </w:r>
                </w:p>
              </w:tc>
              <w:tc>
                <w:tcPr>
                  <w:tcW w:w="5160" w:type="dxa"/>
                  <w:tcBorders>
                    <w:tl2br w:val="nil"/>
                    <w:tr2bl w:val="nil"/>
                  </w:tcBorders>
                  <w:vAlign w:val="center"/>
                </w:tcPr>
                <w:p w14:paraId="164DA66B">
                  <w:pPr>
                    <w:pStyle w:val="30"/>
                    <w:widowControl/>
                    <w:spacing w:line="240" w:lineRule="auto"/>
                    <w:ind w:firstLine="0" w:firstLineChars="0"/>
                    <w:rPr>
                      <w:rFonts w:eastAsia="宋体"/>
                      <w:sz w:val="21"/>
                    </w:rPr>
                  </w:pPr>
                  <w:r>
                    <w:rPr>
                      <w:rFonts w:hint="eastAsia" w:eastAsia="宋体"/>
                      <w:sz w:val="21"/>
                    </w:rPr>
                    <w:t>新建一座生态景观控流闸，位于</w:t>
                  </w:r>
                  <w:r>
                    <w:rPr>
                      <w:rFonts w:hint="eastAsia" w:eastAsia="宋体"/>
                      <w:sz w:val="21"/>
                      <w:lang w:val="en-US" w:eastAsia="zh-CN"/>
                    </w:rPr>
                    <w:t>巴河</w:t>
                  </w:r>
                  <w:r>
                    <w:rPr>
                      <w:rFonts w:hint="eastAsia" w:eastAsia="宋体"/>
                      <w:sz w:val="21"/>
                    </w:rPr>
                    <w:t>与檬子河汇口上游约300m处</w:t>
                  </w:r>
                  <w:r>
                    <w:rPr>
                      <w:rFonts w:hint="eastAsia" w:eastAsia="宋体"/>
                      <w:sz w:val="21"/>
                      <w:lang w:eastAsia="zh-CN"/>
                    </w:rPr>
                    <w:t>，</w:t>
                  </w:r>
                  <w:r>
                    <w:rPr>
                      <w:rFonts w:hint="eastAsia" w:eastAsia="宋体"/>
                      <w:sz w:val="21"/>
                    </w:rPr>
                    <w:t>闸体布置于河床中央，溢流段总长40.0m，闸底板高程341.50m，闸体高度4.5m，闸顶高程353.10m。闸前回水区形成连片生态水域，正常蓄水位346.00m。</w:t>
                  </w:r>
                </w:p>
              </w:tc>
              <w:tc>
                <w:tcPr>
                  <w:tcW w:w="945" w:type="dxa"/>
                  <w:vMerge w:val="restart"/>
                  <w:tcBorders>
                    <w:tl2br w:val="nil"/>
                    <w:tr2bl w:val="nil"/>
                  </w:tcBorders>
                  <w:vAlign w:val="center"/>
                </w:tcPr>
                <w:p w14:paraId="3BF60E05">
                  <w:pPr>
                    <w:pStyle w:val="30"/>
                    <w:widowControl/>
                    <w:spacing w:line="240" w:lineRule="auto"/>
                    <w:ind w:firstLine="0" w:firstLineChars="0"/>
                    <w:jc w:val="center"/>
                    <w:rPr>
                      <w:rFonts w:eastAsia="宋体"/>
                      <w:sz w:val="21"/>
                    </w:rPr>
                  </w:pPr>
                  <w:r>
                    <w:rPr>
                      <w:rFonts w:eastAsia="宋体"/>
                      <w:sz w:val="21"/>
                    </w:rPr>
                    <w:t>占用土地、水土流失、生活废水、生活垃圾、施工扬尘、施工噪声、施工废水、施工固废</w:t>
                  </w:r>
                </w:p>
              </w:tc>
              <w:tc>
                <w:tcPr>
                  <w:tcW w:w="950" w:type="dxa"/>
                  <w:tcBorders>
                    <w:tl2br w:val="nil"/>
                    <w:tr2bl w:val="nil"/>
                  </w:tcBorders>
                  <w:vAlign w:val="center"/>
                </w:tcPr>
                <w:p w14:paraId="6984A3AA">
                  <w:pPr>
                    <w:pStyle w:val="30"/>
                    <w:widowControl/>
                    <w:spacing w:line="240" w:lineRule="auto"/>
                    <w:ind w:firstLine="0" w:firstLineChars="0"/>
                    <w:jc w:val="center"/>
                    <w:rPr>
                      <w:rFonts w:eastAsia="宋体"/>
                      <w:sz w:val="21"/>
                    </w:rPr>
                  </w:pPr>
                  <w:r>
                    <w:rPr>
                      <w:rFonts w:hint="eastAsia" w:eastAsia="宋体"/>
                      <w:sz w:val="21"/>
                    </w:rPr>
                    <w:t>/</w:t>
                  </w:r>
                </w:p>
              </w:tc>
            </w:tr>
            <w:tr w14:paraId="6E0B5D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0F075147">
                  <w:pPr>
                    <w:pStyle w:val="30"/>
                    <w:widowControl/>
                    <w:spacing w:line="240" w:lineRule="auto"/>
                    <w:ind w:firstLine="0" w:firstLineChars="0"/>
                    <w:jc w:val="center"/>
                    <w:rPr>
                      <w:rFonts w:eastAsia="宋体"/>
                      <w:sz w:val="21"/>
                    </w:rPr>
                  </w:pPr>
                </w:p>
              </w:tc>
              <w:tc>
                <w:tcPr>
                  <w:tcW w:w="855" w:type="dxa"/>
                  <w:tcBorders>
                    <w:tl2br w:val="nil"/>
                    <w:tr2bl w:val="nil"/>
                  </w:tcBorders>
                  <w:vAlign w:val="center"/>
                </w:tcPr>
                <w:p w14:paraId="26C5C971">
                  <w:pPr>
                    <w:pStyle w:val="30"/>
                    <w:widowControl/>
                    <w:spacing w:line="240" w:lineRule="auto"/>
                    <w:ind w:firstLine="0" w:firstLineChars="0"/>
                    <w:jc w:val="center"/>
                    <w:rPr>
                      <w:rFonts w:eastAsia="宋体"/>
                      <w:sz w:val="21"/>
                    </w:rPr>
                  </w:pPr>
                  <w:r>
                    <w:rPr>
                      <w:rFonts w:eastAsia="宋体"/>
                      <w:sz w:val="21"/>
                    </w:rPr>
                    <w:t>生态护岸</w:t>
                  </w:r>
                </w:p>
              </w:tc>
              <w:tc>
                <w:tcPr>
                  <w:tcW w:w="5160" w:type="dxa"/>
                  <w:tcBorders>
                    <w:tl2br w:val="nil"/>
                    <w:tr2bl w:val="nil"/>
                  </w:tcBorders>
                  <w:vAlign w:val="center"/>
                </w:tcPr>
                <w:p w14:paraId="4A782281">
                  <w:pPr>
                    <w:pStyle w:val="30"/>
                    <w:widowControl/>
                    <w:spacing w:line="240" w:lineRule="auto"/>
                    <w:ind w:firstLine="0" w:firstLineChars="0"/>
                    <w:rPr>
                      <w:rFonts w:eastAsia="宋体"/>
                      <w:sz w:val="21"/>
                    </w:rPr>
                  </w:pPr>
                  <w:r>
                    <w:rPr>
                      <w:rFonts w:eastAsia="宋体"/>
                      <w:sz w:val="21"/>
                    </w:rPr>
                    <w:t>生态护岸面积50122.41㎡（6公里），新建驳岸44339㎡，新建驳岸总长5714m</w:t>
                  </w:r>
                  <w:r>
                    <w:rPr>
                      <w:rFonts w:hint="eastAsia" w:eastAsia="宋体"/>
                      <w:sz w:val="21"/>
                    </w:rPr>
                    <w:t>，其中</w:t>
                  </w:r>
                  <w:r>
                    <w:rPr>
                      <w:rFonts w:eastAsia="宋体"/>
                      <w:sz w:val="21"/>
                    </w:rPr>
                    <w:t>左岸驳岸长3004m，右岸驳岸长2710m。采用</w:t>
                  </w:r>
                  <w:r>
                    <w:rPr>
                      <w:rFonts w:hint="eastAsia" w:eastAsia="宋体"/>
                      <w:sz w:val="21"/>
                    </w:rPr>
                    <w:t>“</w:t>
                  </w:r>
                  <w:r>
                    <w:rPr>
                      <w:rFonts w:eastAsia="宋体"/>
                      <w:sz w:val="21"/>
                    </w:rPr>
                    <w:t>石笼护脚+植被护坡</w:t>
                  </w:r>
                  <w:r>
                    <w:rPr>
                      <w:rFonts w:hint="eastAsia" w:eastAsia="宋体"/>
                      <w:sz w:val="21"/>
                    </w:rPr>
                    <w:t>”</w:t>
                  </w:r>
                  <w:r>
                    <w:rPr>
                      <w:rFonts w:eastAsia="宋体"/>
                      <w:sz w:val="21"/>
                    </w:rPr>
                    <w:t>工艺</w:t>
                  </w:r>
                  <w:r>
                    <w:rPr>
                      <w:rFonts w:hint="eastAsia" w:eastAsia="宋体"/>
                      <w:sz w:val="21"/>
                    </w:rPr>
                    <w:t>。</w:t>
                  </w:r>
                </w:p>
              </w:tc>
              <w:tc>
                <w:tcPr>
                  <w:tcW w:w="945" w:type="dxa"/>
                  <w:vMerge w:val="continue"/>
                  <w:tcBorders>
                    <w:tl2br w:val="nil"/>
                    <w:tr2bl w:val="nil"/>
                  </w:tcBorders>
                  <w:vAlign w:val="center"/>
                </w:tcPr>
                <w:p w14:paraId="7DD096EF">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463B5A7E">
                  <w:pPr>
                    <w:pStyle w:val="30"/>
                    <w:widowControl/>
                    <w:spacing w:line="240" w:lineRule="auto"/>
                    <w:ind w:firstLine="0" w:firstLineChars="0"/>
                    <w:jc w:val="center"/>
                    <w:rPr>
                      <w:rFonts w:eastAsia="宋体"/>
                      <w:sz w:val="21"/>
                    </w:rPr>
                  </w:pPr>
                  <w:r>
                    <w:rPr>
                      <w:rFonts w:hint="eastAsia" w:eastAsia="宋体"/>
                      <w:sz w:val="21"/>
                    </w:rPr>
                    <w:t>/</w:t>
                  </w:r>
                </w:p>
              </w:tc>
            </w:tr>
            <w:tr w14:paraId="6704D5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450C0DA4">
                  <w:pPr>
                    <w:pStyle w:val="30"/>
                    <w:widowControl/>
                    <w:spacing w:line="240" w:lineRule="auto"/>
                    <w:ind w:firstLine="0" w:firstLineChars="0"/>
                    <w:jc w:val="center"/>
                    <w:rPr>
                      <w:rFonts w:eastAsia="宋体"/>
                      <w:sz w:val="21"/>
                    </w:rPr>
                  </w:pPr>
                </w:p>
              </w:tc>
              <w:tc>
                <w:tcPr>
                  <w:tcW w:w="855" w:type="dxa"/>
                  <w:tcBorders>
                    <w:tl2br w:val="nil"/>
                    <w:tr2bl w:val="nil"/>
                  </w:tcBorders>
                  <w:vAlign w:val="center"/>
                </w:tcPr>
                <w:p w14:paraId="7A742DE8">
                  <w:pPr>
                    <w:pStyle w:val="30"/>
                    <w:widowControl/>
                    <w:spacing w:line="240" w:lineRule="auto"/>
                    <w:ind w:firstLine="0" w:firstLineChars="0"/>
                    <w:jc w:val="center"/>
                    <w:rPr>
                      <w:rFonts w:eastAsia="宋体"/>
                      <w:sz w:val="21"/>
                    </w:rPr>
                  </w:pPr>
                  <w:r>
                    <w:rPr>
                      <w:rFonts w:eastAsia="宋体"/>
                      <w:sz w:val="21"/>
                    </w:rPr>
                    <w:t>生态隔离带</w:t>
                  </w:r>
                </w:p>
              </w:tc>
              <w:tc>
                <w:tcPr>
                  <w:tcW w:w="5160" w:type="dxa"/>
                  <w:tcBorders>
                    <w:tl2br w:val="nil"/>
                    <w:tr2bl w:val="nil"/>
                  </w:tcBorders>
                  <w:vAlign w:val="center"/>
                </w:tcPr>
                <w:p w14:paraId="56121B9C">
                  <w:pPr>
                    <w:pStyle w:val="30"/>
                    <w:widowControl/>
                    <w:spacing w:line="240" w:lineRule="auto"/>
                    <w:ind w:firstLine="0" w:firstLineChars="0"/>
                    <w:rPr>
                      <w:rFonts w:eastAsia="宋体"/>
                      <w:sz w:val="21"/>
                    </w:rPr>
                  </w:pPr>
                  <w:r>
                    <w:rPr>
                      <w:rFonts w:eastAsia="宋体"/>
                      <w:sz w:val="21"/>
                    </w:rPr>
                    <w:t>设置生态隔离带30000㎡。</w:t>
                  </w:r>
                </w:p>
                <w:p w14:paraId="0FBA131B">
                  <w:pPr>
                    <w:pStyle w:val="30"/>
                    <w:widowControl/>
                    <w:spacing w:line="240" w:lineRule="auto"/>
                    <w:ind w:firstLine="0" w:firstLineChars="0"/>
                    <w:rPr>
                      <w:rFonts w:eastAsia="宋体"/>
                      <w:sz w:val="21"/>
                    </w:rPr>
                  </w:pPr>
                  <w:r>
                    <w:rPr>
                      <w:rFonts w:hint="eastAsia" w:eastAsia="宋体"/>
                      <w:sz w:val="21"/>
                    </w:rPr>
                    <w:t>①台地草坪场地：根据现状地形高差，布置台地空间，铺装材料以彩色透水混凝土和花岗岩台阶为主。</w:t>
                  </w:r>
                </w:p>
                <w:p w14:paraId="707BA7B5">
                  <w:pPr>
                    <w:pStyle w:val="30"/>
                    <w:widowControl/>
                    <w:spacing w:line="240" w:lineRule="auto"/>
                    <w:ind w:firstLine="0" w:firstLineChars="0"/>
                    <w:rPr>
                      <w:rFonts w:eastAsia="宋体"/>
                      <w:sz w:val="21"/>
                    </w:rPr>
                  </w:pPr>
                  <w:r>
                    <w:rPr>
                      <w:rFonts w:hint="eastAsia" w:eastAsia="宋体"/>
                      <w:sz w:val="21"/>
                    </w:rPr>
                    <w:t>②生态草沟：于滨水游步道一侧设置生态植草沟，宽1米，深20-30公分，底部散铺卵石，种植耐水湿地被</w:t>
                  </w:r>
                </w:p>
                <w:p w14:paraId="52DDADBC">
                  <w:pPr>
                    <w:pStyle w:val="30"/>
                    <w:widowControl/>
                    <w:spacing w:line="240" w:lineRule="auto"/>
                    <w:ind w:firstLine="0" w:firstLineChars="0"/>
                    <w:rPr>
                      <w:rFonts w:eastAsia="宋体"/>
                      <w:sz w:val="21"/>
                    </w:rPr>
                  </w:pPr>
                  <w:r>
                    <w:rPr>
                      <w:rFonts w:hint="eastAsia" w:eastAsia="宋体"/>
                      <w:sz w:val="21"/>
                    </w:rPr>
                    <w:t>植物。</w:t>
                  </w:r>
                </w:p>
              </w:tc>
              <w:tc>
                <w:tcPr>
                  <w:tcW w:w="945" w:type="dxa"/>
                  <w:vMerge w:val="continue"/>
                  <w:tcBorders>
                    <w:tl2br w:val="nil"/>
                    <w:tr2bl w:val="nil"/>
                  </w:tcBorders>
                  <w:vAlign w:val="center"/>
                </w:tcPr>
                <w:p w14:paraId="1D5EDD31">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5B5856BF">
                  <w:pPr>
                    <w:pStyle w:val="30"/>
                    <w:widowControl/>
                    <w:spacing w:line="240" w:lineRule="auto"/>
                    <w:ind w:firstLine="0" w:firstLineChars="0"/>
                    <w:jc w:val="center"/>
                    <w:rPr>
                      <w:rFonts w:eastAsia="宋体"/>
                      <w:sz w:val="21"/>
                    </w:rPr>
                  </w:pPr>
                  <w:r>
                    <w:rPr>
                      <w:rFonts w:hint="eastAsia" w:eastAsia="宋体"/>
                      <w:sz w:val="21"/>
                    </w:rPr>
                    <w:t>/</w:t>
                  </w:r>
                </w:p>
              </w:tc>
            </w:tr>
            <w:tr w14:paraId="51510E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3F73CA03">
                  <w:pPr>
                    <w:pStyle w:val="30"/>
                    <w:widowControl/>
                    <w:spacing w:line="240" w:lineRule="auto"/>
                    <w:ind w:firstLine="0" w:firstLineChars="0"/>
                    <w:jc w:val="center"/>
                    <w:rPr>
                      <w:rFonts w:eastAsia="宋体"/>
                      <w:sz w:val="21"/>
                    </w:rPr>
                  </w:pPr>
                </w:p>
              </w:tc>
              <w:tc>
                <w:tcPr>
                  <w:tcW w:w="855" w:type="dxa"/>
                  <w:tcBorders>
                    <w:tl2br w:val="nil"/>
                    <w:tr2bl w:val="nil"/>
                  </w:tcBorders>
                  <w:vAlign w:val="center"/>
                </w:tcPr>
                <w:p w14:paraId="5819AFAD">
                  <w:pPr>
                    <w:pStyle w:val="30"/>
                    <w:widowControl/>
                    <w:spacing w:line="240" w:lineRule="auto"/>
                    <w:ind w:firstLine="0" w:firstLineChars="0"/>
                    <w:jc w:val="center"/>
                    <w:rPr>
                      <w:rFonts w:eastAsia="宋体"/>
                      <w:sz w:val="21"/>
                    </w:rPr>
                  </w:pPr>
                  <w:r>
                    <w:rPr>
                      <w:rFonts w:eastAsia="宋体"/>
                      <w:sz w:val="21"/>
                    </w:rPr>
                    <w:t>生态步道及护栏3公里等配套设施</w:t>
                  </w:r>
                </w:p>
              </w:tc>
              <w:tc>
                <w:tcPr>
                  <w:tcW w:w="5160" w:type="dxa"/>
                  <w:tcBorders>
                    <w:tl2br w:val="nil"/>
                    <w:tr2bl w:val="nil"/>
                  </w:tcBorders>
                  <w:vAlign w:val="center"/>
                </w:tcPr>
                <w:p w14:paraId="6C7570D6">
                  <w:pPr>
                    <w:pStyle w:val="34"/>
                    <w:autoSpaceDE w:val="0"/>
                    <w:autoSpaceDN w:val="0"/>
                    <w:ind w:firstLineChars="0"/>
                    <w:jc w:val="both"/>
                    <w:rPr>
                      <w:color w:val="auto"/>
                      <w:szCs w:val="21"/>
                    </w:rPr>
                  </w:pPr>
                  <w:r>
                    <w:rPr>
                      <w:rFonts w:hint="eastAsia"/>
                      <w:color w:val="auto"/>
                    </w:rPr>
                    <w:t>河道东岸绿地由南至北设计滨河步道，分为透水混凝土面层和木栈道两种形式。市政路一侧</w:t>
                  </w:r>
                  <w:r>
                    <w:rPr>
                      <w:rFonts w:hint="eastAsia"/>
                      <w:color w:val="auto"/>
                      <w:szCs w:val="21"/>
                    </w:rPr>
                    <w:t>设置多个出入口场地，通过步道连接至滨河区域，方便居民及游客日常休闲需求。道路外侧设置隔离护栏，采用不锈钢立柱结合钢索形式，总高度1.2米，符合《公园设计规范》（GB51192-2016）防护要求。栏杆扶手结合科普标识牌，进行生态科普宣传。</w:t>
                  </w:r>
                </w:p>
                <w:p w14:paraId="7076BEA5">
                  <w:pPr>
                    <w:pStyle w:val="34"/>
                    <w:autoSpaceDE w:val="0"/>
                    <w:autoSpaceDN w:val="0"/>
                    <w:ind w:firstLineChars="0"/>
                    <w:jc w:val="both"/>
                    <w:rPr>
                      <w:color w:val="auto"/>
                      <w:szCs w:val="21"/>
                    </w:rPr>
                  </w:pPr>
                  <w:r>
                    <w:rPr>
                      <w:rFonts w:hint="eastAsia"/>
                      <w:color w:val="auto"/>
                      <w:szCs w:val="21"/>
                    </w:rPr>
                    <w:t>①滨水游步道：滨水步道2.5-3.0米宽，采用80厚6mm粒径C25彩色透水混凝土面层，5厚不锈钢板收边。园路采用60厚灰色透水砖面层，100宽预制混凝土平道牙收边。</w:t>
                  </w:r>
                </w:p>
                <w:p w14:paraId="167CB85B">
                  <w:pPr>
                    <w:pStyle w:val="34"/>
                    <w:autoSpaceDE w:val="0"/>
                    <w:autoSpaceDN w:val="0"/>
                    <w:ind w:firstLineChars="0"/>
                    <w:jc w:val="both"/>
                    <w:rPr>
                      <w:color w:val="auto"/>
                      <w:szCs w:val="21"/>
                    </w:rPr>
                  </w:pPr>
                  <w:r>
                    <w:rPr>
                      <w:rFonts w:hint="eastAsia"/>
                      <w:color w:val="auto"/>
                      <w:szCs w:val="21"/>
                    </w:rPr>
                    <w:t>②铺装场地：铺装材料以彩色透水混凝土、透水砖为主，满足周边居民日常活动需求。</w:t>
                  </w:r>
                </w:p>
                <w:p w14:paraId="49B92AA3">
                  <w:pPr>
                    <w:pStyle w:val="30"/>
                    <w:widowControl/>
                    <w:spacing w:line="240" w:lineRule="auto"/>
                    <w:ind w:firstLine="0" w:firstLineChars="0"/>
                    <w:rPr>
                      <w:rFonts w:eastAsia="宋体"/>
                      <w:sz w:val="21"/>
                    </w:rPr>
                  </w:pPr>
                  <w:r>
                    <w:rPr>
                      <w:rFonts w:hint="eastAsia" w:eastAsia="宋体"/>
                      <w:sz w:val="21"/>
                    </w:rPr>
                    <w:t>③运动健身场地：充分利用后河桥桥下空间（运动广场）和南侧空闲场地（河湾剧场），营造运动休闲为主要功能的活动场地。设置篮球场、羽毛球场、健身器械等，同时布置休憩坐凳等设施，完善基础配套，方便周边居民日常锻炼、休闲活动。</w:t>
                  </w:r>
                </w:p>
                <w:p w14:paraId="5FA5962A">
                  <w:pPr>
                    <w:pStyle w:val="30"/>
                    <w:widowControl/>
                    <w:spacing w:line="240" w:lineRule="auto"/>
                    <w:ind w:firstLine="0" w:firstLineChars="0"/>
                    <w:rPr>
                      <w:rFonts w:eastAsia="宋体"/>
                      <w:sz w:val="21"/>
                    </w:rPr>
                  </w:pPr>
                  <w:r>
                    <w:rPr>
                      <w:rFonts w:hint="eastAsia" w:eastAsia="宋体"/>
                      <w:sz w:val="21"/>
                    </w:rPr>
                    <w:t>③标识牌：采用三级导览系统，分为一级导览牌，二级指向导览牌，三级方向指引牌，分别布置于主要出入口，场地处，及道路交叉口。</w:t>
                  </w:r>
                </w:p>
                <w:p w14:paraId="6E7EB920">
                  <w:pPr>
                    <w:pStyle w:val="30"/>
                    <w:widowControl/>
                    <w:spacing w:line="240" w:lineRule="auto"/>
                    <w:ind w:firstLine="0" w:firstLineChars="0"/>
                    <w:rPr>
                      <w:rFonts w:eastAsia="宋体"/>
                      <w:sz w:val="21"/>
                    </w:rPr>
                  </w:pPr>
                  <w:r>
                    <w:rPr>
                      <w:rFonts w:hint="eastAsia" w:eastAsia="宋体"/>
                      <w:sz w:val="21"/>
                    </w:rPr>
                    <w:t>④停车场：设置生态停车场3片，停车位共400个，其中包含充电桩100个；停车场为透水混凝土面层。</w:t>
                  </w:r>
                </w:p>
              </w:tc>
              <w:tc>
                <w:tcPr>
                  <w:tcW w:w="945" w:type="dxa"/>
                  <w:vMerge w:val="continue"/>
                  <w:tcBorders>
                    <w:tl2br w:val="nil"/>
                    <w:tr2bl w:val="nil"/>
                  </w:tcBorders>
                  <w:vAlign w:val="center"/>
                </w:tcPr>
                <w:p w14:paraId="0E90E1BC">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6730AC5B">
                  <w:pPr>
                    <w:pStyle w:val="30"/>
                    <w:widowControl/>
                    <w:spacing w:line="240" w:lineRule="auto"/>
                    <w:ind w:firstLine="0" w:firstLineChars="0"/>
                    <w:jc w:val="center"/>
                    <w:rPr>
                      <w:rFonts w:eastAsia="宋体"/>
                      <w:sz w:val="21"/>
                    </w:rPr>
                  </w:pPr>
                  <w:r>
                    <w:rPr>
                      <w:rFonts w:hint="eastAsia" w:eastAsia="宋体"/>
                      <w:sz w:val="21"/>
                    </w:rPr>
                    <w:t>生活垃圾、社会噪声</w:t>
                  </w:r>
                </w:p>
              </w:tc>
            </w:tr>
            <w:tr w14:paraId="5CA61F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restart"/>
                  <w:tcBorders>
                    <w:tl2br w:val="nil"/>
                    <w:tr2bl w:val="nil"/>
                  </w:tcBorders>
                  <w:vAlign w:val="center"/>
                </w:tcPr>
                <w:p w14:paraId="2DADDB98">
                  <w:pPr>
                    <w:pStyle w:val="30"/>
                    <w:widowControl/>
                    <w:spacing w:line="240" w:lineRule="auto"/>
                    <w:ind w:firstLine="0" w:firstLineChars="0"/>
                    <w:jc w:val="center"/>
                    <w:rPr>
                      <w:rFonts w:eastAsia="宋体"/>
                      <w:sz w:val="21"/>
                    </w:rPr>
                  </w:pPr>
                  <w:r>
                    <w:rPr>
                      <w:rFonts w:hint="eastAsia" w:eastAsia="宋体"/>
                      <w:sz w:val="21"/>
                    </w:rPr>
                    <w:t>临时工程</w:t>
                  </w:r>
                </w:p>
              </w:tc>
              <w:tc>
                <w:tcPr>
                  <w:tcW w:w="855" w:type="dxa"/>
                  <w:tcBorders>
                    <w:tl2br w:val="nil"/>
                    <w:tr2bl w:val="nil"/>
                  </w:tcBorders>
                  <w:vAlign w:val="center"/>
                </w:tcPr>
                <w:p w14:paraId="01CE25A6">
                  <w:pPr>
                    <w:pStyle w:val="30"/>
                    <w:widowControl/>
                    <w:spacing w:line="240" w:lineRule="auto"/>
                    <w:ind w:firstLine="0" w:firstLineChars="0"/>
                    <w:jc w:val="center"/>
                    <w:rPr>
                      <w:rFonts w:eastAsia="宋体"/>
                      <w:sz w:val="21"/>
                    </w:rPr>
                  </w:pPr>
                  <w:r>
                    <w:rPr>
                      <w:rFonts w:eastAsia="宋体"/>
                      <w:sz w:val="21"/>
                    </w:rPr>
                    <w:t>施工导流</w:t>
                  </w:r>
                </w:p>
              </w:tc>
              <w:tc>
                <w:tcPr>
                  <w:tcW w:w="5160" w:type="dxa"/>
                  <w:tcBorders>
                    <w:tl2br w:val="nil"/>
                    <w:tr2bl w:val="nil"/>
                  </w:tcBorders>
                  <w:vAlign w:val="center"/>
                </w:tcPr>
                <w:p w14:paraId="5C86F319">
                  <w:pPr>
                    <w:pStyle w:val="30"/>
                    <w:widowControl/>
                    <w:spacing w:line="240" w:lineRule="auto"/>
                    <w:ind w:firstLine="0" w:firstLineChars="0"/>
                    <w:rPr>
                      <w:rFonts w:eastAsia="宋体"/>
                      <w:sz w:val="21"/>
                    </w:rPr>
                  </w:pPr>
                  <w:r>
                    <w:rPr>
                      <w:rFonts w:hint="eastAsia" w:eastAsia="宋体"/>
                      <w:sz w:val="21"/>
                    </w:rPr>
                    <w:t>控流导流设施：围堰导流标准为5年一遇。导流工程安排在两个枯期（第一年11月〜第二年3月）施工。本工程采用束窄河床导流方式，一期右岸围堰挡水，左岸束窄河床导流，汛期由全河道断流过流；二期左岸围堰挡水，右岸已建坝段过流</w:t>
                  </w:r>
                  <w:r>
                    <w:rPr>
                      <w:rFonts w:hint="eastAsia" w:eastAsia="宋体"/>
                      <w:sz w:val="21"/>
                      <w:lang w:eastAsia="zh-CN"/>
                    </w:rPr>
                    <w:t>。</w:t>
                  </w:r>
                  <w:r>
                    <w:rPr>
                      <w:rFonts w:hint="eastAsia" w:eastAsia="宋体"/>
                      <w:sz w:val="21"/>
                    </w:rPr>
                    <w:t>围堰型式采用土石围堰，围堰采用土工膜防渗，迎水面采用编织袋装。</w:t>
                  </w:r>
                </w:p>
                <w:p w14:paraId="4028DCDA">
                  <w:pPr>
                    <w:pStyle w:val="30"/>
                    <w:widowControl/>
                    <w:spacing w:line="240" w:lineRule="auto"/>
                    <w:ind w:firstLine="0" w:firstLineChars="0"/>
                    <w:rPr>
                      <w:rFonts w:eastAsia="宋体"/>
                      <w:sz w:val="21"/>
                    </w:rPr>
                  </w:pPr>
                  <w:r>
                    <w:rPr>
                      <w:rFonts w:hint="eastAsia" w:eastAsia="宋体"/>
                      <w:sz w:val="21"/>
                    </w:rPr>
                    <w:t>生态护岸：围堰导流标准为10年一遇。采用束窄河床，分段围堰导流，沿河道修建纵向围堰，围堰迎水面采用土工膜防渗。</w:t>
                  </w:r>
                </w:p>
              </w:tc>
              <w:tc>
                <w:tcPr>
                  <w:tcW w:w="945" w:type="dxa"/>
                  <w:vMerge w:val="continue"/>
                  <w:tcBorders>
                    <w:tl2br w:val="nil"/>
                    <w:tr2bl w:val="nil"/>
                  </w:tcBorders>
                  <w:vAlign w:val="center"/>
                </w:tcPr>
                <w:p w14:paraId="7AAD6EB5">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6A7D1BF3">
                  <w:pPr>
                    <w:pStyle w:val="30"/>
                    <w:widowControl/>
                    <w:spacing w:line="240" w:lineRule="auto"/>
                    <w:ind w:firstLine="0" w:firstLineChars="0"/>
                    <w:jc w:val="center"/>
                    <w:rPr>
                      <w:rFonts w:eastAsia="宋体"/>
                      <w:sz w:val="21"/>
                    </w:rPr>
                  </w:pPr>
                  <w:r>
                    <w:rPr>
                      <w:rFonts w:hint="eastAsia" w:eastAsia="宋体"/>
                      <w:sz w:val="21"/>
                    </w:rPr>
                    <w:t>/</w:t>
                  </w:r>
                </w:p>
              </w:tc>
            </w:tr>
            <w:tr w14:paraId="2D219F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489" w:type="dxa"/>
                  <w:vMerge w:val="continue"/>
                  <w:tcBorders>
                    <w:tl2br w:val="nil"/>
                    <w:tr2bl w:val="nil"/>
                  </w:tcBorders>
                  <w:vAlign w:val="center"/>
                </w:tcPr>
                <w:p w14:paraId="6C0FA25C">
                  <w:pPr>
                    <w:pStyle w:val="30"/>
                    <w:widowControl/>
                    <w:spacing w:line="240" w:lineRule="auto"/>
                    <w:ind w:firstLine="0" w:firstLineChars="0"/>
                    <w:jc w:val="center"/>
                    <w:rPr>
                      <w:rFonts w:eastAsia="宋体"/>
                      <w:sz w:val="21"/>
                    </w:rPr>
                  </w:pPr>
                </w:p>
              </w:tc>
              <w:tc>
                <w:tcPr>
                  <w:tcW w:w="855" w:type="dxa"/>
                  <w:tcBorders>
                    <w:tl2br w:val="nil"/>
                    <w:tr2bl w:val="nil"/>
                  </w:tcBorders>
                  <w:vAlign w:val="center"/>
                </w:tcPr>
                <w:p w14:paraId="2ED48B80">
                  <w:pPr>
                    <w:pStyle w:val="30"/>
                    <w:widowControl/>
                    <w:spacing w:line="240" w:lineRule="auto"/>
                    <w:ind w:firstLine="0" w:firstLineChars="0"/>
                    <w:jc w:val="center"/>
                    <w:rPr>
                      <w:rFonts w:eastAsia="宋体"/>
                      <w:color w:val="FF0000"/>
                      <w:sz w:val="21"/>
                    </w:rPr>
                  </w:pPr>
                  <w:r>
                    <w:rPr>
                      <w:rFonts w:eastAsia="宋体"/>
                      <w:sz w:val="21"/>
                    </w:rPr>
                    <w:t>施工便道</w:t>
                  </w:r>
                </w:p>
              </w:tc>
              <w:tc>
                <w:tcPr>
                  <w:tcW w:w="5160" w:type="dxa"/>
                  <w:tcBorders>
                    <w:tl2br w:val="nil"/>
                    <w:tr2bl w:val="nil"/>
                  </w:tcBorders>
                  <w:vAlign w:val="center"/>
                </w:tcPr>
                <w:p w14:paraId="2AF86C84">
                  <w:pPr>
                    <w:pStyle w:val="30"/>
                    <w:widowControl/>
                    <w:spacing w:line="240" w:lineRule="auto"/>
                    <w:ind w:firstLine="0" w:firstLineChars="0"/>
                    <w:rPr>
                      <w:rFonts w:eastAsia="宋体"/>
                      <w:sz w:val="21"/>
                    </w:rPr>
                  </w:pPr>
                  <w:r>
                    <w:rPr>
                      <w:rFonts w:hint="eastAsia" w:eastAsia="宋体"/>
                      <w:sz w:val="21"/>
                    </w:rPr>
                    <w:t>场外交通主要利用现有公路即可进入施工区域。</w:t>
                  </w:r>
                </w:p>
                <w:p w14:paraId="1767D494">
                  <w:pPr>
                    <w:pStyle w:val="30"/>
                    <w:widowControl/>
                    <w:spacing w:line="240" w:lineRule="auto"/>
                    <w:ind w:firstLine="0" w:firstLineChars="0"/>
                    <w:rPr>
                      <w:rFonts w:eastAsia="宋体"/>
                      <w:sz w:val="21"/>
                    </w:rPr>
                  </w:pPr>
                  <w:r>
                    <w:rPr>
                      <w:rFonts w:hint="eastAsia" w:eastAsia="宋体"/>
                      <w:sz w:val="21"/>
                    </w:rPr>
                    <w:t>场内主要利用现有城市道路作为施工期公路，接施工场地，项目位于</w:t>
                  </w:r>
                  <w:r>
                    <w:rPr>
                      <w:rFonts w:hint="eastAsia" w:eastAsia="宋体"/>
                      <w:sz w:val="21"/>
                      <w:lang w:eastAsia="zh-CN"/>
                    </w:rPr>
                    <w:t>生态景观控流闸</w:t>
                  </w:r>
                  <w:r>
                    <w:rPr>
                      <w:rFonts w:hint="eastAsia" w:eastAsia="宋体"/>
                      <w:sz w:val="21"/>
                    </w:rPr>
                    <w:t>旁设置了两条施工便道，一处位于河道右侧（1#便道），长50m，一处位于河道左侧（2#便道），长21m，便道为3.5m宽，为厚泥结石路面。</w:t>
                  </w:r>
                </w:p>
              </w:tc>
              <w:tc>
                <w:tcPr>
                  <w:tcW w:w="945" w:type="dxa"/>
                  <w:vMerge w:val="continue"/>
                  <w:tcBorders>
                    <w:tl2br w:val="nil"/>
                    <w:tr2bl w:val="nil"/>
                  </w:tcBorders>
                  <w:vAlign w:val="center"/>
                </w:tcPr>
                <w:p w14:paraId="0552F654">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5AC0AFB5">
                  <w:pPr>
                    <w:pStyle w:val="30"/>
                    <w:widowControl/>
                    <w:spacing w:line="240" w:lineRule="auto"/>
                    <w:ind w:firstLine="0" w:firstLineChars="0"/>
                    <w:jc w:val="center"/>
                    <w:rPr>
                      <w:rFonts w:eastAsia="宋体"/>
                      <w:sz w:val="21"/>
                    </w:rPr>
                  </w:pPr>
                  <w:r>
                    <w:rPr>
                      <w:rFonts w:hint="eastAsia" w:eastAsia="宋体"/>
                      <w:sz w:val="21"/>
                    </w:rPr>
                    <w:t>/</w:t>
                  </w:r>
                </w:p>
              </w:tc>
            </w:tr>
            <w:tr w14:paraId="23303A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7DF5940A">
                  <w:pPr>
                    <w:pStyle w:val="30"/>
                    <w:widowControl/>
                    <w:spacing w:line="240" w:lineRule="auto"/>
                    <w:ind w:firstLine="0" w:firstLineChars="0"/>
                    <w:jc w:val="center"/>
                    <w:rPr>
                      <w:rFonts w:eastAsia="宋体"/>
                      <w:sz w:val="21"/>
                    </w:rPr>
                  </w:pPr>
                </w:p>
              </w:tc>
              <w:tc>
                <w:tcPr>
                  <w:tcW w:w="855" w:type="dxa"/>
                  <w:tcBorders>
                    <w:tl2br w:val="nil"/>
                    <w:tr2bl w:val="nil"/>
                  </w:tcBorders>
                  <w:vAlign w:val="center"/>
                </w:tcPr>
                <w:p w14:paraId="513D3872">
                  <w:pPr>
                    <w:pStyle w:val="30"/>
                    <w:widowControl/>
                    <w:spacing w:line="240" w:lineRule="auto"/>
                    <w:ind w:firstLine="0" w:firstLineChars="0"/>
                    <w:jc w:val="center"/>
                    <w:rPr>
                      <w:rFonts w:eastAsia="宋体"/>
                      <w:sz w:val="21"/>
                    </w:rPr>
                  </w:pPr>
                  <w:r>
                    <w:rPr>
                      <w:rFonts w:hint="eastAsia" w:eastAsia="宋体"/>
                      <w:sz w:val="21"/>
                    </w:rPr>
                    <w:t>取土场</w:t>
                  </w:r>
                </w:p>
              </w:tc>
              <w:tc>
                <w:tcPr>
                  <w:tcW w:w="5160" w:type="dxa"/>
                  <w:tcBorders>
                    <w:tl2br w:val="nil"/>
                    <w:tr2bl w:val="nil"/>
                  </w:tcBorders>
                  <w:vAlign w:val="center"/>
                </w:tcPr>
                <w:p w14:paraId="34AB4E26">
                  <w:pPr>
                    <w:pStyle w:val="30"/>
                    <w:widowControl/>
                    <w:spacing w:line="240" w:lineRule="auto"/>
                    <w:ind w:firstLine="0" w:firstLineChars="0"/>
                    <w:rPr>
                      <w:rFonts w:eastAsia="宋体"/>
                      <w:sz w:val="21"/>
                    </w:rPr>
                  </w:pPr>
                  <w:r>
                    <w:rPr>
                      <w:rFonts w:hint="eastAsia" w:eastAsia="宋体"/>
                      <w:sz w:val="21"/>
                    </w:rPr>
                    <w:t>本项目不设置取土（石、砂）场。</w:t>
                  </w:r>
                </w:p>
              </w:tc>
              <w:tc>
                <w:tcPr>
                  <w:tcW w:w="945" w:type="dxa"/>
                  <w:vMerge w:val="continue"/>
                  <w:tcBorders>
                    <w:tl2br w:val="nil"/>
                    <w:tr2bl w:val="nil"/>
                  </w:tcBorders>
                  <w:vAlign w:val="center"/>
                </w:tcPr>
                <w:p w14:paraId="2AE1CE64">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33B789DA">
                  <w:pPr>
                    <w:pStyle w:val="30"/>
                    <w:widowControl/>
                    <w:spacing w:line="240" w:lineRule="auto"/>
                    <w:ind w:firstLine="0" w:firstLineChars="0"/>
                    <w:jc w:val="center"/>
                    <w:rPr>
                      <w:rFonts w:eastAsia="宋体"/>
                      <w:sz w:val="21"/>
                    </w:rPr>
                  </w:pPr>
                  <w:r>
                    <w:rPr>
                      <w:rFonts w:hint="eastAsia" w:eastAsia="宋体"/>
                      <w:sz w:val="21"/>
                    </w:rPr>
                    <w:t>/</w:t>
                  </w:r>
                </w:p>
              </w:tc>
            </w:tr>
            <w:tr w14:paraId="749733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0C4207B7">
                  <w:pPr>
                    <w:pStyle w:val="30"/>
                    <w:widowControl/>
                    <w:spacing w:line="240" w:lineRule="auto"/>
                    <w:ind w:firstLine="0" w:firstLineChars="0"/>
                    <w:jc w:val="center"/>
                    <w:rPr>
                      <w:rFonts w:eastAsia="宋体"/>
                      <w:sz w:val="21"/>
                    </w:rPr>
                  </w:pPr>
                </w:p>
              </w:tc>
              <w:tc>
                <w:tcPr>
                  <w:tcW w:w="855" w:type="dxa"/>
                  <w:tcBorders>
                    <w:tl2br w:val="nil"/>
                    <w:tr2bl w:val="nil"/>
                  </w:tcBorders>
                  <w:vAlign w:val="center"/>
                </w:tcPr>
                <w:p w14:paraId="5C2EB392">
                  <w:pPr>
                    <w:pStyle w:val="30"/>
                    <w:widowControl/>
                    <w:spacing w:line="240" w:lineRule="auto"/>
                    <w:ind w:firstLine="0" w:firstLineChars="0"/>
                    <w:jc w:val="center"/>
                    <w:rPr>
                      <w:rFonts w:eastAsia="宋体"/>
                      <w:sz w:val="21"/>
                    </w:rPr>
                  </w:pPr>
                  <w:r>
                    <w:rPr>
                      <w:rFonts w:hint="eastAsia" w:eastAsia="宋体"/>
                      <w:sz w:val="21"/>
                    </w:rPr>
                    <w:t>弃渣场</w:t>
                  </w:r>
                </w:p>
              </w:tc>
              <w:tc>
                <w:tcPr>
                  <w:tcW w:w="5160" w:type="dxa"/>
                  <w:tcBorders>
                    <w:tl2br w:val="nil"/>
                    <w:tr2bl w:val="nil"/>
                  </w:tcBorders>
                  <w:vAlign w:val="center"/>
                </w:tcPr>
                <w:p w14:paraId="06ABDBCF">
                  <w:pPr>
                    <w:pStyle w:val="30"/>
                    <w:widowControl/>
                    <w:spacing w:line="240" w:lineRule="auto"/>
                    <w:ind w:firstLine="0" w:firstLineChars="0"/>
                    <w:rPr>
                      <w:rFonts w:eastAsia="宋体"/>
                      <w:sz w:val="21"/>
                    </w:rPr>
                  </w:pPr>
                  <w:r>
                    <w:rPr>
                      <w:rFonts w:hint="eastAsia" w:eastAsia="宋体"/>
                      <w:sz w:val="21"/>
                    </w:rPr>
                    <w:t>本项目不设置弃渣场。</w:t>
                  </w:r>
                </w:p>
              </w:tc>
              <w:tc>
                <w:tcPr>
                  <w:tcW w:w="945" w:type="dxa"/>
                  <w:vMerge w:val="continue"/>
                  <w:tcBorders>
                    <w:tl2br w:val="nil"/>
                    <w:tr2bl w:val="nil"/>
                  </w:tcBorders>
                  <w:vAlign w:val="center"/>
                </w:tcPr>
                <w:p w14:paraId="0A1C39AB">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77DD01B3">
                  <w:pPr>
                    <w:pStyle w:val="30"/>
                    <w:widowControl/>
                    <w:spacing w:line="240" w:lineRule="auto"/>
                    <w:ind w:firstLine="0" w:firstLineChars="0"/>
                    <w:jc w:val="center"/>
                    <w:rPr>
                      <w:rFonts w:eastAsia="宋体"/>
                      <w:sz w:val="21"/>
                    </w:rPr>
                  </w:pPr>
                  <w:r>
                    <w:rPr>
                      <w:rFonts w:hint="eastAsia" w:eastAsia="宋体"/>
                      <w:sz w:val="21"/>
                    </w:rPr>
                    <w:t>/</w:t>
                  </w:r>
                </w:p>
              </w:tc>
            </w:tr>
            <w:tr w14:paraId="2C9124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67923436">
                  <w:pPr>
                    <w:pStyle w:val="30"/>
                    <w:widowControl/>
                    <w:spacing w:line="240" w:lineRule="auto"/>
                    <w:ind w:firstLine="0" w:firstLineChars="0"/>
                    <w:jc w:val="center"/>
                    <w:rPr>
                      <w:rFonts w:eastAsia="宋体"/>
                      <w:sz w:val="21"/>
                    </w:rPr>
                  </w:pPr>
                </w:p>
              </w:tc>
              <w:tc>
                <w:tcPr>
                  <w:tcW w:w="855" w:type="dxa"/>
                  <w:tcBorders>
                    <w:tl2br w:val="nil"/>
                    <w:tr2bl w:val="nil"/>
                  </w:tcBorders>
                  <w:vAlign w:val="center"/>
                </w:tcPr>
                <w:p w14:paraId="6EE9DBBF">
                  <w:pPr>
                    <w:pStyle w:val="30"/>
                    <w:widowControl/>
                    <w:spacing w:line="240" w:lineRule="auto"/>
                    <w:ind w:firstLine="0" w:firstLineChars="0"/>
                    <w:jc w:val="center"/>
                    <w:rPr>
                      <w:rFonts w:eastAsia="宋体"/>
                      <w:sz w:val="21"/>
                    </w:rPr>
                  </w:pPr>
                  <w:r>
                    <w:rPr>
                      <w:rFonts w:hint="eastAsia" w:eastAsia="宋体"/>
                      <w:sz w:val="21"/>
                    </w:rPr>
                    <w:t>施工营地</w:t>
                  </w:r>
                </w:p>
              </w:tc>
              <w:tc>
                <w:tcPr>
                  <w:tcW w:w="5160" w:type="dxa"/>
                  <w:tcBorders>
                    <w:tl2br w:val="nil"/>
                    <w:tr2bl w:val="nil"/>
                  </w:tcBorders>
                  <w:vAlign w:val="center"/>
                </w:tcPr>
                <w:p w14:paraId="1CA03051">
                  <w:pPr>
                    <w:pStyle w:val="30"/>
                    <w:widowControl/>
                    <w:spacing w:line="240" w:lineRule="auto"/>
                    <w:ind w:firstLine="0" w:firstLineChars="0"/>
                    <w:rPr>
                      <w:rFonts w:eastAsia="宋体"/>
                      <w:sz w:val="21"/>
                    </w:rPr>
                  </w:pPr>
                  <w:r>
                    <w:rPr>
                      <w:rFonts w:hint="eastAsia" w:eastAsia="宋体"/>
                      <w:sz w:val="21"/>
                    </w:rPr>
                    <w:t>本工程不布设生活区，生活用房租用附近民房。</w:t>
                  </w:r>
                </w:p>
              </w:tc>
              <w:tc>
                <w:tcPr>
                  <w:tcW w:w="945" w:type="dxa"/>
                  <w:vMerge w:val="continue"/>
                  <w:tcBorders>
                    <w:tl2br w:val="nil"/>
                    <w:tr2bl w:val="nil"/>
                  </w:tcBorders>
                  <w:vAlign w:val="center"/>
                </w:tcPr>
                <w:p w14:paraId="486A45B4">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3000DFA9">
                  <w:pPr>
                    <w:pStyle w:val="30"/>
                    <w:widowControl/>
                    <w:spacing w:line="240" w:lineRule="auto"/>
                    <w:ind w:firstLine="0" w:firstLineChars="0"/>
                    <w:jc w:val="center"/>
                    <w:rPr>
                      <w:rFonts w:eastAsia="宋体"/>
                      <w:sz w:val="21"/>
                    </w:rPr>
                  </w:pPr>
                  <w:r>
                    <w:rPr>
                      <w:rFonts w:hint="eastAsia" w:eastAsia="宋体"/>
                      <w:sz w:val="21"/>
                    </w:rPr>
                    <w:t>/</w:t>
                  </w:r>
                </w:p>
              </w:tc>
            </w:tr>
            <w:tr w14:paraId="3E34E6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574512DE">
                  <w:pPr>
                    <w:pStyle w:val="30"/>
                    <w:widowControl/>
                    <w:spacing w:line="240" w:lineRule="auto"/>
                    <w:ind w:firstLine="0" w:firstLineChars="0"/>
                    <w:jc w:val="center"/>
                    <w:rPr>
                      <w:rFonts w:eastAsia="宋体"/>
                      <w:sz w:val="21"/>
                    </w:rPr>
                  </w:pPr>
                </w:p>
              </w:tc>
              <w:tc>
                <w:tcPr>
                  <w:tcW w:w="855" w:type="dxa"/>
                  <w:tcBorders>
                    <w:tl2br w:val="nil"/>
                    <w:tr2bl w:val="nil"/>
                  </w:tcBorders>
                  <w:vAlign w:val="center"/>
                </w:tcPr>
                <w:p w14:paraId="0FF1AC63">
                  <w:pPr>
                    <w:pStyle w:val="30"/>
                    <w:widowControl/>
                    <w:spacing w:line="240" w:lineRule="auto"/>
                    <w:ind w:firstLine="0" w:firstLineChars="0"/>
                    <w:jc w:val="center"/>
                    <w:rPr>
                      <w:rFonts w:eastAsia="宋体"/>
                      <w:sz w:val="21"/>
                    </w:rPr>
                  </w:pPr>
                  <w:r>
                    <w:rPr>
                      <w:rFonts w:hint="eastAsia" w:eastAsia="宋体"/>
                      <w:sz w:val="21"/>
                    </w:rPr>
                    <w:t>施工场地</w:t>
                  </w:r>
                </w:p>
              </w:tc>
              <w:tc>
                <w:tcPr>
                  <w:tcW w:w="5160" w:type="dxa"/>
                  <w:tcBorders>
                    <w:tl2br w:val="nil"/>
                    <w:tr2bl w:val="nil"/>
                  </w:tcBorders>
                  <w:vAlign w:val="center"/>
                </w:tcPr>
                <w:p w14:paraId="456F0E5B">
                  <w:pPr>
                    <w:pStyle w:val="30"/>
                    <w:widowControl/>
                    <w:spacing w:line="240" w:lineRule="auto"/>
                    <w:ind w:firstLine="0" w:firstLineChars="0"/>
                    <w:rPr>
                      <w:rFonts w:hint="default" w:eastAsia="宋体"/>
                      <w:sz w:val="21"/>
                      <w:lang w:val="en-US"/>
                    </w:rPr>
                  </w:pPr>
                  <w:r>
                    <w:rPr>
                      <w:rFonts w:hint="eastAsia" w:eastAsia="宋体"/>
                      <w:sz w:val="21"/>
                    </w:rPr>
                    <w:t>项目位于</w:t>
                  </w:r>
                  <w:r>
                    <w:rPr>
                      <w:rFonts w:hint="eastAsia" w:eastAsia="宋体"/>
                      <w:sz w:val="21"/>
                      <w:lang w:eastAsia="zh-CN"/>
                    </w:rPr>
                    <w:t>生态景观控流闸</w:t>
                  </w:r>
                  <w:r>
                    <w:rPr>
                      <w:rFonts w:hint="eastAsia" w:eastAsia="宋体"/>
                      <w:sz w:val="21"/>
                    </w:rPr>
                    <w:t>坝址处设置了一处施工</w:t>
                  </w:r>
                  <w:r>
                    <w:rPr>
                      <w:rFonts w:hint="eastAsia" w:eastAsia="宋体"/>
                      <w:sz w:val="21"/>
                      <w:lang w:val="en-US" w:eastAsia="zh-CN"/>
                    </w:rPr>
                    <w:t>工区</w:t>
                  </w:r>
                  <w:r>
                    <w:rPr>
                      <w:rFonts w:hint="eastAsia" w:eastAsia="宋体"/>
                      <w:sz w:val="21"/>
                    </w:rPr>
                    <w:t>，主要用于材料堆放、机械停放、材料加工等，共占地0.07hm</w:t>
                  </w:r>
                  <w:r>
                    <w:rPr>
                      <w:rFonts w:hint="eastAsia" w:eastAsia="宋体"/>
                      <w:sz w:val="21"/>
                      <w:vertAlign w:val="superscript"/>
                    </w:rPr>
                    <w:t>2</w:t>
                  </w:r>
                  <w:r>
                    <w:rPr>
                      <w:rFonts w:hint="eastAsia" w:eastAsia="宋体"/>
                      <w:sz w:val="21"/>
                    </w:rPr>
                    <w:t>。</w:t>
                  </w:r>
                  <w:r>
                    <w:rPr>
                      <w:rFonts w:hint="eastAsia" w:eastAsia="宋体"/>
                      <w:sz w:val="21"/>
                      <w:lang w:val="en-US" w:eastAsia="zh-CN"/>
                    </w:rPr>
                    <w:t>布设于附属设施区，不新增占地。本项目施工场地仅不至于控流导流设施左侧。</w:t>
                  </w:r>
                </w:p>
              </w:tc>
              <w:tc>
                <w:tcPr>
                  <w:tcW w:w="945" w:type="dxa"/>
                  <w:vMerge w:val="continue"/>
                  <w:tcBorders>
                    <w:tl2br w:val="nil"/>
                    <w:tr2bl w:val="nil"/>
                  </w:tcBorders>
                  <w:vAlign w:val="center"/>
                </w:tcPr>
                <w:p w14:paraId="5086A255">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580E7896">
                  <w:pPr>
                    <w:pStyle w:val="30"/>
                    <w:widowControl/>
                    <w:spacing w:line="240" w:lineRule="auto"/>
                    <w:ind w:firstLine="0" w:firstLineChars="0"/>
                    <w:jc w:val="center"/>
                    <w:rPr>
                      <w:rFonts w:eastAsia="宋体"/>
                      <w:sz w:val="21"/>
                    </w:rPr>
                  </w:pPr>
                  <w:r>
                    <w:rPr>
                      <w:rFonts w:hint="eastAsia" w:eastAsia="宋体"/>
                      <w:sz w:val="21"/>
                    </w:rPr>
                    <w:t>/</w:t>
                  </w:r>
                </w:p>
              </w:tc>
            </w:tr>
            <w:tr w14:paraId="255621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0E8C53DE">
                  <w:pPr>
                    <w:pStyle w:val="30"/>
                    <w:widowControl/>
                    <w:spacing w:line="240" w:lineRule="auto"/>
                    <w:ind w:firstLine="0" w:firstLineChars="0"/>
                    <w:jc w:val="center"/>
                    <w:rPr>
                      <w:rFonts w:eastAsia="宋体"/>
                      <w:sz w:val="21"/>
                    </w:rPr>
                  </w:pPr>
                </w:p>
              </w:tc>
              <w:tc>
                <w:tcPr>
                  <w:tcW w:w="855" w:type="dxa"/>
                  <w:tcBorders>
                    <w:tl2br w:val="nil"/>
                    <w:tr2bl w:val="nil"/>
                  </w:tcBorders>
                  <w:vAlign w:val="center"/>
                </w:tcPr>
                <w:p w14:paraId="387A147C">
                  <w:pPr>
                    <w:pStyle w:val="30"/>
                    <w:widowControl/>
                    <w:spacing w:line="240" w:lineRule="auto"/>
                    <w:ind w:firstLine="0" w:firstLineChars="0"/>
                    <w:jc w:val="center"/>
                    <w:rPr>
                      <w:rFonts w:eastAsia="宋体"/>
                      <w:sz w:val="21"/>
                    </w:rPr>
                  </w:pPr>
                  <w:r>
                    <w:rPr>
                      <w:rFonts w:hint="eastAsia" w:eastAsia="宋体"/>
                      <w:sz w:val="21"/>
                    </w:rPr>
                    <w:t>机修间</w:t>
                  </w:r>
                </w:p>
              </w:tc>
              <w:tc>
                <w:tcPr>
                  <w:tcW w:w="5160" w:type="dxa"/>
                  <w:tcBorders>
                    <w:tl2br w:val="nil"/>
                    <w:tr2bl w:val="nil"/>
                  </w:tcBorders>
                  <w:vAlign w:val="center"/>
                </w:tcPr>
                <w:p w14:paraId="3E70B2A9">
                  <w:pPr>
                    <w:pStyle w:val="30"/>
                    <w:widowControl/>
                    <w:spacing w:line="240" w:lineRule="auto"/>
                    <w:ind w:firstLine="0" w:firstLineChars="0"/>
                    <w:rPr>
                      <w:rFonts w:eastAsia="宋体"/>
                      <w:sz w:val="21"/>
                    </w:rPr>
                  </w:pPr>
                  <w:r>
                    <w:rPr>
                      <w:rFonts w:hint="eastAsia" w:eastAsia="宋体"/>
                      <w:sz w:val="21"/>
                    </w:rPr>
                    <w:t>本项目施工机械维修均外委，不设机修间。</w:t>
                  </w:r>
                </w:p>
              </w:tc>
              <w:tc>
                <w:tcPr>
                  <w:tcW w:w="945" w:type="dxa"/>
                  <w:vMerge w:val="continue"/>
                  <w:tcBorders>
                    <w:tl2br w:val="nil"/>
                    <w:tr2bl w:val="nil"/>
                  </w:tcBorders>
                  <w:vAlign w:val="center"/>
                </w:tcPr>
                <w:p w14:paraId="0482E087">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2BEC5A6F">
                  <w:pPr>
                    <w:pStyle w:val="30"/>
                    <w:widowControl/>
                    <w:spacing w:line="240" w:lineRule="auto"/>
                    <w:ind w:firstLine="0" w:firstLineChars="0"/>
                    <w:jc w:val="center"/>
                    <w:rPr>
                      <w:rFonts w:eastAsia="宋体"/>
                      <w:sz w:val="21"/>
                    </w:rPr>
                  </w:pPr>
                  <w:r>
                    <w:rPr>
                      <w:rFonts w:hint="eastAsia" w:eastAsia="宋体"/>
                      <w:sz w:val="21"/>
                    </w:rPr>
                    <w:t>/</w:t>
                  </w:r>
                </w:p>
              </w:tc>
            </w:tr>
            <w:tr w14:paraId="121660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744D28EA">
                  <w:pPr>
                    <w:pStyle w:val="30"/>
                    <w:widowControl/>
                    <w:spacing w:line="240" w:lineRule="auto"/>
                    <w:ind w:firstLine="0" w:firstLineChars="0"/>
                    <w:jc w:val="center"/>
                    <w:rPr>
                      <w:rFonts w:eastAsia="宋体"/>
                      <w:sz w:val="21"/>
                    </w:rPr>
                  </w:pPr>
                </w:p>
              </w:tc>
              <w:tc>
                <w:tcPr>
                  <w:tcW w:w="855" w:type="dxa"/>
                  <w:tcBorders>
                    <w:tl2br w:val="nil"/>
                    <w:tr2bl w:val="nil"/>
                  </w:tcBorders>
                  <w:vAlign w:val="center"/>
                </w:tcPr>
                <w:p w14:paraId="4F277C70">
                  <w:pPr>
                    <w:pStyle w:val="30"/>
                    <w:widowControl/>
                    <w:spacing w:line="240" w:lineRule="auto"/>
                    <w:ind w:firstLine="0" w:firstLineChars="0"/>
                    <w:jc w:val="center"/>
                    <w:rPr>
                      <w:rFonts w:eastAsia="宋体"/>
                      <w:sz w:val="21"/>
                    </w:rPr>
                  </w:pPr>
                  <w:r>
                    <w:rPr>
                      <w:rFonts w:hint="eastAsia" w:eastAsia="宋体"/>
                      <w:sz w:val="21"/>
                    </w:rPr>
                    <w:t>表土堆场</w:t>
                  </w:r>
                </w:p>
              </w:tc>
              <w:tc>
                <w:tcPr>
                  <w:tcW w:w="5160" w:type="dxa"/>
                  <w:tcBorders>
                    <w:tl2br w:val="nil"/>
                    <w:tr2bl w:val="nil"/>
                  </w:tcBorders>
                  <w:vAlign w:val="center"/>
                </w:tcPr>
                <w:p w14:paraId="38DDB007">
                  <w:pPr>
                    <w:pStyle w:val="30"/>
                    <w:widowControl/>
                    <w:spacing w:line="240" w:lineRule="auto"/>
                    <w:ind w:firstLine="0" w:firstLineChars="0"/>
                    <w:rPr>
                      <w:rFonts w:hint="default" w:eastAsia="宋体"/>
                      <w:sz w:val="21"/>
                      <w:lang w:val="en-US" w:eastAsia="zh-CN"/>
                    </w:rPr>
                  </w:pPr>
                  <w:r>
                    <w:rPr>
                      <w:rFonts w:hint="eastAsia" w:eastAsia="宋体"/>
                      <w:sz w:val="21"/>
                    </w:rPr>
                    <w:t>项目设置</w:t>
                  </w:r>
                  <w:r>
                    <w:rPr>
                      <w:rFonts w:hint="eastAsia" w:eastAsia="宋体"/>
                      <w:sz w:val="21"/>
                      <w:lang w:val="en-US" w:eastAsia="zh-CN"/>
                    </w:rPr>
                    <w:t>2</w:t>
                  </w:r>
                  <w:r>
                    <w:rPr>
                      <w:rFonts w:hint="eastAsia" w:eastAsia="宋体"/>
                      <w:sz w:val="21"/>
                    </w:rPr>
                    <w:t>处临时堆土场，占地面积0.12hm²，一处位于休闲广场处，占地0.04hm²，一处位于河湾剧场处，占地0.08hm²。</w:t>
                  </w:r>
                  <w:r>
                    <w:rPr>
                      <w:rFonts w:hint="eastAsia" w:eastAsia="宋体"/>
                      <w:sz w:val="21"/>
                      <w:lang w:val="en-US" w:eastAsia="zh-CN"/>
                    </w:rPr>
                    <w:t>布设于附属设施区，不新增占地。</w:t>
                  </w:r>
                </w:p>
              </w:tc>
              <w:tc>
                <w:tcPr>
                  <w:tcW w:w="945" w:type="dxa"/>
                  <w:vMerge w:val="continue"/>
                  <w:tcBorders>
                    <w:tl2br w:val="nil"/>
                    <w:tr2bl w:val="nil"/>
                  </w:tcBorders>
                  <w:vAlign w:val="center"/>
                </w:tcPr>
                <w:p w14:paraId="2BB6C021">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1CF585B0">
                  <w:pPr>
                    <w:pStyle w:val="30"/>
                    <w:widowControl/>
                    <w:spacing w:line="240" w:lineRule="auto"/>
                    <w:ind w:firstLine="0" w:firstLineChars="0"/>
                    <w:jc w:val="center"/>
                    <w:rPr>
                      <w:rFonts w:eastAsia="宋体"/>
                      <w:sz w:val="21"/>
                    </w:rPr>
                  </w:pPr>
                  <w:r>
                    <w:rPr>
                      <w:rFonts w:hint="eastAsia" w:eastAsia="宋体"/>
                      <w:sz w:val="21"/>
                    </w:rPr>
                    <w:t>/</w:t>
                  </w:r>
                </w:p>
              </w:tc>
            </w:tr>
            <w:tr w14:paraId="59CE4E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7F78EF4A">
                  <w:pPr>
                    <w:pStyle w:val="30"/>
                    <w:widowControl/>
                    <w:spacing w:line="240" w:lineRule="auto"/>
                    <w:ind w:firstLine="0" w:firstLineChars="0"/>
                    <w:jc w:val="center"/>
                    <w:rPr>
                      <w:rFonts w:eastAsia="宋体"/>
                      <w:sz w:val="21"/>
                    </w:rPr>
                  </w:pPr>
                </w:p>
              </w:tc>
              <w:tc>
                <w:tcPr>
                  <w:tcW w:w="855" w:type="dxa"/>
                  <w:tcBorders>
                    <w:tl2br w:val="nil"/>
                    <w:tr2bl w:val="nil"/>
                  </w:tcBorders>
                  <w:vAlign w:val="center"/>
                </w:tcPr>
                <w:p w14:paraId="5D80E61D">
                  <w:pPr>
                    <w:pStyle w:val="30"/>
                    <w:widowControl/>
                    <w:spacing w:line="240" w:lineRule="auto"/>
                    <w:ind w:firstLine="0" w:firstLineChars="0"/>
                    <w:jc w:val="center"/>
                    <w:rPr>
                      <w:rFonts w:eastAsia="宋体"/>
                      <w:sz w:val="21"/>
                    </w:rPr>
                  </w:pPr>
                  <w:r>
                    <w:rPr>
                      <w:rFonts w:hint="eastAsia" w:eastAsia="宋体"/>
                      <w:sz w:val="21"/>
                    </w:rPr>
                    <w:t>土石方</w:t>
                  </w:r>
                </w:p>
              </w:tc>
              <w:tc>
                <w:tcPr>
                  <w:tcW w:w="5160" w:type="dxa"/>
                  <w:tcBorders>
                    <w:tl2br w:val="nil"/>
                    <w:tr2bl w:val="nil"/>
                  </w:tcBorders>
                  <w:vAlign w:val="center"/>
                </w:tcPr>
                <w:p w14:paraId="3508C6AB">
                  <w:pPr>
                    <w:pStyle w:val="30"/>
                    <w:widowControl/>
                    <w:spacing w:line="240" w:lineRule="auto"/>
                    <w:ind w:firstLine="0" w:firstLineChars="0"/>
                    <w:rPr>
                      <w:rFonts w:eastAsia="宋体"/>
                      <w:sz w:val="21"/>
                    </w:rPr>
                  </w:pPr>
                  <w:r>
                    <w:rPr>
                      <w:rFonts w:hint="eastAsia" w:eastAsia="宋体"/>
                      <w:sz w:val="21"/>
                    </w:rPr>
                    <w:t>本项目一般土石方挖方总量19.0万m³（含表土剥离0.2万m³），填方总量19.0万m</w:t>
                  </w:r>
                  <w:r>
                    <w:rPr>
                      <w:rFonts w:hint="eastAsia" w:eastAsia="宋体"/>
                      <w:sz w:val="21"/>
                      <w:vertAlign w:val="superscript"/>
                    </w:rPr>
                    <w:t>3</w:t>
                  </w:r>
                  <w:r>
                    <w:rPr>
                      <w:rFonts w:hint="eastAsia" w:eastAsia="宋体"/>
                      <w:sz w:val="21"/>
                    </w:rPr>
                    <w:t>（含表土回覆0.2万m³），挖填平衡，无一般土石方弃方。</w:t>
                  </w:r>
                </w:p>
              </w:tc>
              <w:tc>
                <w:tcPr>
                  <w:tcW w:w="945" w:type="dxa"/>
                  <w:vMerge w:val="continue"/>
                  <w:tcBorders>
                    <w:tl2br w:val="nil"/>
                    <w:tr2bl w:val="nil"/>
                  </w:tcBorders>
                  <w:vAlign w:val="center"/>
                </w:tcPr>
                <w:p w14:paraId="2CBA69AF">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06753712">
                  <w:pPr>
                    <w:pStyle w:val="30"/>
                    <w:widowControl/>
                    <w:spacing w:line="240" w:lineRule="auto"/>
                    <w:ind w:firstLine="0" w:firstLineChars="0"/>
                    <w:jc w:val="center"/>
                    <w:rPr>
                      <w:rFonts w:eastAsia="宋体"/>
                      <w:sz w:val="21"/>
                    </w:rPr>
                  </w:pPr>
                  <w:r>
                    <w:rPr>
                      <w:rFonts w:hint="eastAsia" w:eastAsia="宋体"/>
                      <w:sz w:val="21"/>
                    </w:rPr>
                    <w:t>/</w:t>
                  </w:r>
                </w:p>
              </w:tc>
            </w:tr>
            <w:tr w14:paraId="75DC5B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restart"/>
                  <w:tcBorders>
                    <w:tl2br w:val="nil"/>
                    <w:tr2bl w:val="nil"/>
                  </w:tcBorders>
                  <w:vAlign w:val="center"/>
                </w:tcPr>
                <w:p w14:paraId="5AA6A811">
                  <w:pPr>
                    <w:pStyle w:val="30"/>
                    <w:widowControl/>
                    <w:spacing w:line="240" w:lineRule="auto"/>
                    <w:ind w:firstLine="0" w:firstLineChars="0"/>
                    <w:jc w:val="center"/>
                    <w:rPr>
                      <w:rFonts w:eastAsia="宋体"/>
                      <w:sz w:val="21"/>
                    </w:rPr>
                  </w:pPr>
                  <w:r>
                    <w:rPr>
                      <w:rFonts w:hint="eastAsia" w:eastAsia="宋体"/>
                      <w:sz w:val="21"/>
                    </w:rPr>
                    <w:t>公用工程</w:t>
                  </w:r>
                </w:p>
              </w:tc>
              <w:tc>
                <w:tcPr>
                  <w:tcW w:w="855" w:type="dxa"/>
                  <w:tcBorders>
                    <w:tl2br w:val="nil"/>
                    <w:tr2bl w:val="nil"/>
                  </w:tcBorders>
                  <w:vAlign w:val="center"/>
                </w:tcPr>
                <w:p w14:paraId="468A8205">
                  <w:pPr>
                    <w:pStyle w:val="30"/>
                    <w:widowControl/>
                    <w:spacing w:line="240" w:lineRule="auto"/>
                    <w:ind w:firstLine="0" w:firstLineChars="0"/>
                    <w:jc w:val="center"/>
                    <w:rPr>
                      <w:rFonts w:eastAsia="宋体"/>
                      <w:sz w:val="21"/>
                    </w:rPr>
                  </w:pPr>
                  <w:r>
                    <w:rPr>
                      <w:rFonts w:hint="eastAsia" w:eastAsia="宋体"/>
                      <w:sz w:val="21"/>
                    </w:rPr>
                    <w:t>供水</w:t>
                  </w:r>
                </w:p>
              </w:tc>
              <w:tc>
                <w:tcPr>
                  <w:tcW w:w="5160" w:type="dxa"/>
                  <w:tcBorders>
                    <w:tl2br w:val="nil"/>
                    <w:tr2bl w:val="nil"/>
                  </w:tcBorders>
                  <w:vAlign w:val="center"/>
                </w:tcPr>
                <w:p w14:paraId="4AAADE98">
                  <w:pPr>
                    <w:pStyle w:val="30"/>
                    <w:widowControl/>
                    <w:spacing w:line="240" w:lineRule="auto"/>
                    <w:ind w:firstLine="0" w:firstLineChars="0"/>
                    <w:rPr>
                      <w:rFonts w:eastAsia="宋体"/>
                      <w:sz w:val="21"/>
                    </w:rPr>
                  </w:pPr>
                  <w:r>
                    <w:rPr>
                      <w:rFonts w:hint="eastAsia" w:eastAsia="宋体"/>
                      <w:sz w:val="21"/>
                    </w:rPr>
                    <w:t>本工程施工用水直接提取檬子河河水。施工人员的生活用水采用市政供水。</w:t>
                  </w:r>
                </w:p>
              </w:tc>
              <w:tc>
                <w:tcPr>
                  <w:tcW w:w="945" w:type="dxa"/>
                  <w:vMerge w:val="continue"/>
                  <w:tcBorders>
                    <w:tl2br w:val="nil"/>
                    <w:tr2bl w:val="nil"/>
                  </w:tcBorders>
                  <w:vAlign w:val="center"/>
                </w:tcPr>
                <w:p w14:paraId="182A52D3">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2AB827D2">
                  <w:pPr>
                    <w:pStyle w:val="30"/>
                    <w:widowControl/>
                    <w:spacing w:line="240" w:lineRule="auto"/>
                    <w:ind w:firstLine="0" w:firstLineChars="0"/>
                    <w:jc w:val="center"/>
                    <w:rPr>
                      <w:rFonts w:eastAsia="宋体"/>
                      <w:sz w:val="21"/>
                    </w:rPr>
                  </w:pPr>
                  <w:r>
                    <w:rPr>
                      <w:rFonts w:hint="eastAsia" w:eastAsia="宋体"/>
                      <w:sz w:val="21"/>
                    </w:rPr>
                    <w:t>/</w:t>
                  </w:r>
                </w:p>
              </w:tc>
            </w:tr>
            <w:tr w14:paraId="4966E2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21AE86BB">
                  <w:pPr>
                    <w:pStyle w:val="30"/>
                    <w:widowControl/>
                    <w:spacing w:line="240" w:lineRule="auto"/>
                    <w:ind w:firstLine="0" w:firstLineChars="0"/>
                    <w:jc w:val="center"/>
                    <w:rPr>
                      <w:rFonts w:eastAsia="宋体"/>
                      <w:sz w:val="21"/>
                    </w:rPr>
                  </w:pPr>
                </w:p>
              </w:tc>
              <w:tc>
                <w:tcPr>
                  <w:tcW w:w="855" w:type="dxa"/>
                  <w:tcBorders>
                    <w:tl2br w:val="nil"/>
                    <w:tr2bl w:val="nil"/>
                  </w:tcBorders>
                  <w:vAlign w:val="center"/>
                </w:tcPr>
                <w:p w14:paraId="3F736FF4">
                  <w:pPr>
                    <w:pStyle w:val="30"/>
                    <w:widowControl/>
                    <w:spacing w:line="240" w:lineRule="auto"/>
                    <w:ind w:firstLine="0" w:firstLineChars="0"/>
                    <w:jc w:val="center"/>
                    <w:rPr>
                      <w:rFonts w:eastAsia="宋体"/>
                      <w:sz w:val="21"/>
                    </w:rPr>
                  </w:pPr>
                  <w:r>
                    <w:rPr>
                      <w:rFonts w:hint="eastAsia" w:eastAsia="宋体"/>
                      <w:sz w:val="21"/>
                    </w:rPr>
                    <w:t>供电</w:t>
                  </w:r>
                </w:p>
              </w:tc>
              <w:tc>
                <w:tcPr>
                  <w:tcW w:w="5160" w:type="dxa"/>
                  <w:tcBorders>
                    <w:tl2br w:val="nil"/>
                    <w:tr2bl w:val="nil"/>
                  </w:tcBorders>
                  <w:vAlign w:val="center"/>
                </w:tcPr>
                <w:p w14:paraId="4A9AAA13">
                  <w:pPr>
                    <w:pStyle w:val="30"/>
                    <w:widowControl/>
                    <w:spacing w:line="240" w:lineRule="auto"/>
                    <w:ind w:firstLine="0" w:firstLineChars="0"/>
                    <w:rPr>
                      <w:rFonts w:eastAsia="宋体"/>
                      <w:sz w:val="21"/>
                    </w:rPr>
                  </w:pPr>
                  <w:r>
                    <w:rPr>
                      <w:rFonts w:eastAsia="宋体"/>
                      <w:sz w:val="21"/>
                    </w:rPr>
                    <w:t>项目区域内供电条件较好，供电线路已铺设至拟建项目区域内，容量满足项目需要，可直接对项目供电。现场另外配备2台50kW的柴油发电机组作为备用电源。</w:t>
                  </w:r>
                </w:p>
              </w:tc>
              <w:tc>
                <w:tcPr>
                  <w:tcW w:w="945" w:type="dxa"/>
                  <w:vMerge w:val="continue"/>
                  <w:tcBorders>
                    <w:tl2br w:val="nil"/>
                    <w:tr2bl w:val="nil"/>
                  </w:tcBorders>
                  <w:vAlign w:val="center"/>
                </w:tcPr>
                <w:p w14:paraId="2A7B6ADA">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5BBEFFC4">
                  <w:pPr>
                    <w:pStyle w:val="30"/>
                    <w:widowControl/>
                    <w:spacing w:line="240" w:lineRule="auto"/>
                    <w:ind w:firstLine="0" w:firstLineChars="0"/>
                    <w:jc w:val="center"/>
                    <w:rPr>
                      <w:rFonts w:eastAsia="宋体"/>
                      <w:sz w:val="21"/>
                    </w:rPr>
                  </w:pPr>
                  <w:r>
                    <w:rPr>
                      <w:rFonts w:hint="eastAsia" w:eastAsia="宋体"/>
                      <w:sz w:val="21"/>
                    </w:rPr>
                    <w:t>/</w:t>
                  </w:r>
                </w:p>
              </w:tc>
            </w:tr>
            <w:tr w14:paraId="585702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0B0B988D">
                  <w:pPr>
                    <w:pStyle w:val="30"/>
                    <w:widowControl/>
                    <w:spacing w:line="240" w:lineRule="auto"/>
                    <w:ind w:firstLine="0" w:firstLineChars="0"/>
                    <w:jc w:val="center"/>
                    <w:rPr>
                      <w:rFonts w:eastAsia="宋体"/>
                      <w:sz w:val="21"/>
                    </w:rPr>
                  </w:pPr>
                </w:p>
              </w:tc>
              <w:tc>
                <w:tcPr>
                  <w:tcW w:w="855" w:type="dxa"/>
                  <w:tcBorders>
                    <w:tl2br w:val="nil"/>
                    <w:tr2bl w:val="nil"/>
                  </w:tcBorders>
                  <w:vAlign w:val="center"/>
                </w:tcPr>
                <w:p w14:paraId="56E8031B">
                  <w:pPr>
                    <w:pStyle w:val="30"/>
                    <w:widowControl/>
                    <w:spacing w:line="240" w:lineRule="auto"/>
                    <w:ind w:firstLine="0" w:firstLineChars="0"/>
                    <w:jc w:val="center"/>
                    <w:rPr>
                      <w:rFonts w:eastAsia="宋体"/>
                      <w:sz w:val="21"/>
                    </w:rPr>
                  </w:pPr>
                  <w:r>
                    <w:rPr>
                      <w:rFonts w:hint="eastAsia" w:eastAsia="宋体"/>
                      <w:sz w:val="21"/>
                    </w:rPr>
                    <w:t>通讯</w:t>
                  </w:r>
                </w:p>
              </w:tc>
              <w:tc>
                <w:tcPr>
                  <w:tcW w:w="5160" w:type="dxa"/>
                  <w:tcBorders>
                    <w:tl2br w:val="nil"/>
                    <w:tr2bl w:val="nil"/>
                  </w:tcBorders>
                  <w:vAlign w:val="center"/>
                </w:tcPr>
                <w:p w14:paraId="1DCC1141">
                  <w:pPr>
                    <w:pStyle w:val="30"/>
                    <w:widowControl/>
                    <w:spacing w:line="240" w:lineRule="auto"/>
                    <w:ind w:firstLine="0" w:firstLineChars="0"/>
                    <w:rPr>
                      <w:rFonts w:eastAsia="宋体"/>
                      <w:sz w:val="21"/>
                    </w:rPr>
                  </w:pPr>
                  <w:r>
                    <w:rPr>
                      <w:rFonts w:hint="eastAsia" w:eastAsia="宋体"/>
                      <w:sz w:val="21"/>
                    </w:rPr>
                    <w:t>工程区域已有有线和无线通讯网络覆盖，通讯条件较好，施工期通讯采用有线通讯和无线通讯的结合方式。</w:t>
                  </w:r>
                </w:p>
              </w:tc>
              <w:tc>
                <w:tcPr>
                  <w:tcW w:w="945" w:type="dxa"/>
                  <w:vMerge w:val="continue"/>
                  <w:tcBorders>
                    <w:tl2br w:val="nil"/>
                    <w:tr2bl w:val="nil"/>
                  </w:tcBorders>
                  <w:vAlign w:val="center"/>
                </w:tcPr>
                <w:p w14:paraId="38BEBA6A">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08023925">
                  <w:pPr>
                    <w:pStyle w:val="30"/>
                    <w:widowControl/>
                    <w:spacing w:line="240" w:lineRule="auto"/>
                    <w:ind w:firstLine="0" w:firstLineChars="0"/>
                    <w:jc w:val="center"/>
                    <w:rPr>
                      <w:rFonts w:eastAsia="宋体"/>
                      <w:sz w:val="21"/>
                    </w:rPr>
                  </w:pPr>
                </w:p>
              </w:tc>
            </w:tr>
            <w:tr w14:paraId="640193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44" w:type="dxa"/>
                  <w:gridSpan w:val="2"/>
                  <w:tcBorders>
                    <w:tl2br w:val="nil"/>
                    <w:tr2bl w:val="nil"/>
                  </w:tcBorders>
                  <w:vAlign w:val="center"/>
                </w:tcPr>
                <w:p w14:paraId="1D0BB6B3">
                  <w:pPr>
                    <w:pStyle w:val="30"/>
                    <w:widowControl/>
                    <w:spacing w:line="240" w:lineRule="auto"/>
                    <w:ind w:firstLine="0" w:firstLineChars="0"/>
                    <w:jc w:val="center"/>
                    <w:rPr>
                      <w:rFonts w:eastAsia="宋体"/>
                      <w:sz w:val="21"/>
                    </w:rPr>
                  </w:pPr>
                  <w:r>
                    <w:rPr>
                      <w:rFonts w:hint="eastAsia" w:eastAsia="宋体"/>
                      <w:sz w:val="21"/>
                    </w:rPr>
                    <w:t>搬迁安置</w:t>
                  </w:r>
                </w:p>
              </w:tc>
              <w:tc>
                <w:tcPr>
                  <w:tcW w:w="5160" w:type="dxa"/>
                  <w:tcBorders>
                    <w:tl2br w:val="nil"/>
                    <w:tr2bl w:val="nil"/>
                  </w:tcBorders>
                  <w:vAlign w:val="center"/>
                </w:tcPr>
                <w:p w14:paraId="656CA1F4">
                  <w:pPr>
                    <w:pStyle w:val="30"/>
                    <w:widowControl/>
                    <w:spacing w:line="240" w:lineRule="auto"/>
                    <w:ind w:firstLine="0" w:firstLineChars="0"/>
                    <w:rPr>
                      <w:rFonts w:eastAsia="宋体"/>
                      <w:sz w:val="21"/>
                    </w:rPr>
                  </w:pPr>
                  <w:r>
                    <w:rPr>
                      <w:rFonts w:eastAsia="宋体"/>
                      <w:sz w:val="21"/>
                    </w:rPr>
                    <w:t>本项目不涉及拆迁（移民）安置及专项设施改（迁）建。</w:t>
                  </w:r>
                </w:p>
              </w:tc>
              <w:tc>
                <w:tcPr>
                  <w:tcW w:w="945" w:type="dxa"/>
                  <w:vMerge w:val="continue"/>
                  <w:tcBorders>
                    <w:tl2br w:val="nil"/>
                    <w:tr2bl w:val="nil"/>
                  </w:tcBorders>
                  <w:vAlign w:val="center"/>
                </w:tcPr>
                <w:p w14:paraId="138DFEEF">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4979E2E0">
                  <w:pPr>
                    <w:pStyle w:val="30"/>
                    <w:widowControl/>
                    <w:spacing w:line="240" w:lineRule="auto"/>
                    <w:ind w:firstLine="0" w:firstLineChars="0"/>
                    <w:jc w:val="center"/>
                    <w:rPr>
                      <w:rFonts w:eastAsia="宋体"/>
                      <w:sz w:val="21"/>
                    </w:rPr>
                  </w:pPr>
                  <w:r>
                    <w:rPr>
                      <w:rFonts w:hint="eastAsia" w:eastAsia="宋体"/>
                      <w:sz w:val="21"/>
                    </w:rPr>
                    <w:t>/</w:t>
                  </w:r>
                </w:p>
              </w:tc>
            </w:tr>
            <w:tr w14:paraId="2A0A63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489" w:type="dxa"/>
                  <w:vMerge w:val="restart"/>
                  <w:tcBorders>
                    <w:tl2br w:val="nil"/>
                    <w:tr2bl w:val="nil"/>
                  </w:tcBorders>
                  <w:vAlign w:val="center"/>
                </w:tcPr>
                <w:p w14:paraId="2B79E878">
                  <w:pPr>
                    <w:pStyle w:val="30"/>
                    <w:widowControl/>
                    <w:spacing w:line="240" w:lineRule="auto"/>
                    <w:ind w:firstLine="0" w:firstLineChars="0"/>
                    <w:jc w:val="center"/>
                    <w:rPr>
                      <w:rFonts w:eastAsia="宋体"/>
                      <w:sz w:val="21"/>
                    </w:rPr>
                  </w:pPr>
                  <w:r>
                    <w:rPr>
                      <w:rFonts w:hint="eastAsia" w:eastAsia="宋体"/>
                      <w:sz w:val="21"/>
                    </w:rPr>
                    <w:t>环保工程</w:t>
                  </w:r>
                </w:p>
              </w:tc>
              <w:tc>
                <w:tcPr>
                  <w:tcW w:w="855" w:type="dxa"/>
                  <w:vMerge w:val="restart"/>
                  <w:tcBorders>
                    <w:tl2br w:val="nil"/>
                    <w:tr2bl w:val="nil"/>
                  </w:tcBorders>
                  <w:vAlign w:val="center"/>
                </w:tcPr>
                <w:p w14:paraId="7ED8199C">
                  <w:pPr>
                    <w:pStyle w:val="30"/>
                    <w:widowControl/>
                    <w:spacing w:line="240" w:lineRule="auto"/>
                    <w:ind w:firstLine="0" w:firstLineChars="0"/>
                    <w:jc w:val="center"/>
                    <w:rPr>
                      <w:rFonts w:eastAsia="宋体"/>
                      <w:sz w:val="21"/>
                    </w:rPr>
                  </w:pPr>
                  <w:r>
                    <w:rPr>
                      <w:rFonts w:hint="eastAsia" w:eastAsia="宋体"/>
                      <w:sz w:val="21"/>
                    </w:rPr>
                    <w:t>废水</w:t>
                  </w:r>
                </w:p>
              </w:tc>
              <w:tc>
                <w:tcPr>
                  <w:tcW w:w="5160" w:type="dxa"/>
                  <w:tcBorders>
                    <w:tl2br w:val="nil"/>
                    <w:tr2bl w:val="nil"/>
                  </w:tcBorders>
                  <w:vAlign w:val="center"/>
                </w:tcPr>
                <w:p w14:paraId="435B6398">
                  <w:pPr>
                    <w:pStyle w:val="30"/>
                    <w:widowControl/>
                    <w:spacing w:line="240" w:lineRule="auto"/>
                    <w:ind w:firstLine="0" w:firstLineChars="0"/>
                    <w:rPr>
                      <w:rFonts w:eastAsia="宋体"/>
                      <w:sz w:val="21"/>
                    </w:rPr>
                  </w:pPr>
                  <w:r>
                    <w:rPr>
                      <w:rFonts w:hint="eastAsia" w:eastAsia="宋体"/>
                      <w:sz w:val="21"/>
                    </w:rPr>
                    <w:t>施工期：</w:t>
                  </w:r>
                </w:p>
                <w:p w14:paraId="240883AE">
                  <w:pPr>
                    <w:pStyle w:val="30"/>
                    <w:widowControl/>
                    <w:spacing w:line="240" w:lineRule="auto"/>
                    <w:ind w:firstLine="0" w:firstLineChars="0"/>
                    <w:rPr>
                      <w:rFonts w:eastAsia="宋体"/>
                      <w:sz w:val="21"/>
                    </w:rPr>
                  </w:pPr>
                  <w:r>
                    <w:rPr>
                      <w:rFonts w:hint="eastAsia" w:eastAsia="宋体"/>
                      <w:sz w:val="21"/>
                    </w:rPr>
                    <w:t>①生活污水：项目租用居民房屋作为生活办公区，生活污水经市政管网收集后进入城市污水处理厂处理。</w:t>
                  </w:r>
                </w:p>
                <w:p w14:paraId="75B06C4B">
                  <w:pPr>
                    <w:pStyle w:val="30"/>
                    <w:widowControl/>
                    <w:spacing w:line="240" w:lineRule="auto"/>
                    <w:ind w:firstLine="0" w:firstLineChars="0"/>
                    <w:rPr>
                      <w:rFonts w:eastAsia="宋体"/>
                      <w:sz w:val="21"/>
                    </w:rPr>
                  </w:pPr>
                  <w:r>
                    <w:rPr>
                      <w:rFonts w:hint="eastAsia" w:eastAsia="宋体"/>
                      <w:sz w:val="21"/>
                    </w:rPr>
                    <w:t>②围堰内废水：围堰内废水用水泵抽至沉淀池，经沉淀后上清液回用于洒水抑尘、工程养护、车辆冲洗等，多余上清液引至围堰外河道排放。</w:t>
                  </w:r>
                </w:p>
                <w:p w14:paraId="0C378165">
                  <w:pPr>
                    <w:pStyle w:val="30"/>
                    <w:widowControl/>
                    <w:spacing w:line="240" w:lineRule="auto"/>
                    <w:ind w:firstLine="0" w:firstLineChars="0"/>
                    <w:rPr>
                      <w:rFonts w:eastAsia="宋体"/>
                      <w:sz w:val="21"/>
                    </w:rPr>
                  </w:pPr>
                  <w:r>
                    <w:rPr>
                      <w:rFonts w:hint="eastAsia" w:eastAsia="宋体"/>
                      <w:sz w:val="21"/>
                    </w:rPr>
                    <w:t>③施工废水：经隔油沉淀池（</w:t>
                  </w:r>
                  <w:r>
                    <w:rPr>
                      <w:rFonts w:hint="eastAsia" w:eastAsia="宋体"/>
                      <w:sz w:val="21"/>
                      <w:lang w:val="en-US" w:eastAsia="zh-CN"/>
                    </w:rPr>
                    <w:t>6</w:t>
                  </w:r>
                  <w:r>
                    <w:rPr>
                      <w:rFonts w:hint="eastAsia" w:eastAsia="宋体"/>
                      <w:sz w:val="21"/>
                    </w:rPr>
                    <w:t>m</w:t>
                  </w:r>
                  <w:r>
                    <w:rPr>
                      <w:rFonts w:hint="eastAsia" w:eastAsia="宋体"/>
                      <w:sz w:val="21"/>
                      <w:vertAlign w:val="superscript"/>
                    </w:rPr>
                    <w:t>3</w:t>
                  </w:r>
                  <w:r>
                    <w:rPr>
                      <w:rFonts w:hint="eastAsia" w:eastAsia="宋体"/>
                      <w:sz w:val="21"/>
                    </w:rPr>
                    <w:t>）处理后全部用于车辆冲洗、洒水降尘等，不外排。</w:t>
                  </w:r>
                </w:p>
                <w:p w14:paraId="67048772">
                  <w:pPr>
                    <w:pStyle w:val="30"/>
                    <w:widowControl/>
                    <w:spacing w:line="240" w:lineRule="auto"/>
                    <w:ind w:firstLine="0" w:firstLineChars="0"/>
                    <w:rPr>
                      <w:rFonts w:eastAsia="宋体"/>
                      <w:sz w:val="21"/>
                    </w:rPr>
                  </w:pPr>
                  <w:r>
                    <w:rPr>
                      <w:rFonts w:hint="eastAsia" w:eastAsia="宋体"/>
                      <w:sz w:val="21"/>
                    </w:rPr>
                    <w:t>④基坑排水：基坑废水经沉淀处理后全部回用于施工场地洒水降尘和工程回用水，严禁直接排入河道。</w:t>
                  </w:r>
                </w:p>
              </w:tc>
              <w:tc>
                <w:tcPr>
                  <w:tcW w:w="945" w:type="dxa"/>
                  <w:vMerge w:val="continue"/>
                  <w:tcBorders>
                    <w:tl2br w:val="nil"/>
                    <w:tr2bl w:val="nil"/>
                  </w:tcBorders>
                  <w:vAlign w:val="center"/>
                </w:tcPr>
                <w:p w14:paraId="33CD123B">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5D4137E6">
                  <w:pPr>
                    <w:pStyle w:val="30"/>
                    <w:widowControl/>
                    <w:spacing w:line="240" w:lineRule="auto"/>
                    <w:ind w:firstLine="0" w:firstLineChars="0"/>
                    <w:jc w:val="center"/>
                    <w:rPr>
                      <w:rFonts w:eastAsia="宋体"/>
                      <w:sz w:val="21"/>
                    </w:rPr>
                  </w:pPr>
                  <w:r>
                    <w:rPr>
                      <w:rFonts w:hint="eastAsia" w:eastAsia="宋体"/>
                      <w:sz w:val="21"/>
                    </w:rPr>
                    <w:t>/</w:t>
                  </w:r>
                </w:p>
              </w:tc>
            </w:tr>
            <w:tr w14:paraId="4E4641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489" w:type="dxa"/>
                  <w:vMerge w:val="continue"/>
                  <w:tcBorders>
                    <w:tl2br w:val="nil"/>
                    <w:tr2bl w:val="nil"/>
                  </w:tcBorders>
                  <w:vAlign w:val="center"/>
                </w:tcPr>
                <w:p w14:paraId="6BA827C1">
                  <w:pPr>
                    <w:pStyle w:val="30"/>
                    <w:widowControl/>
                    <w:spacing w:line="240" w:lineRule="auto"/>
                    <w:ind w:firstLine="0" w:firstLineChars="0"/>
                    <w:jc w:val="center"/>
                  </w:pPr>
                </w:p>
              </w:tc>
              <w:tc>
                <w:tcPr>
                  <w:tcW w:w="855" w:type="dxa"/>
                  <w:vMerge w:val="continue"/>
                  <w:tcBorders>
                    <w:tl2br w:val="nil"/>
                    <w:tr2bl w:val="nil"/>
                  </w:tcBorders>
                  <w:vAlign w:val="center"/>
                </w:tcPr>
                <w:p w14:paraId="2D09FAD8">
                  <w:pPr>
                    <w:pStyle w:val="30"/>
                    <w:widowControl/>
                    <w:spacing w:line="240" w:lineRule="auto"/>
                    <w:ind w:firstLine="0" w:firstLineChars="0"/>
                    <w:jc w:val="center"/>
                  </w:pPr>
                </w:p>
              </w:tc>
              <w:tc>
                <w:tcPr>
                  <w:tcW w:w="5160" w:type="dxa"/>
                  <w:tcBorders>
                    <w:tl2br w:val="nil"/>
                    <w:tr2bl w:val="nil"/>
                  </w:tcBorders>
                  <w:vAlign w:val="center"/>
                </w:tcPr>
                <w:p w14:paraId="72E90150">
                  <w:pPr>
                    <w:pStyle w:val="30"/>
                    <w:widowControl/>
                    <w:spacing w:line="240" w:lineRule="auto"/>
                    <w:ind w:firstLine="0" w:firstLineChars="0"/>
                    <w:rPr>
                      <w:rFonts w:eastAsia="宋体"/>
                      <w:sz w:val="21"/>
                    </w:rPr>
                  </w:pPr>
                  <w:r>
                    <w:rPr>
                      <w:rFonts w:hint="eastAsia" w:eastAsia="宋体"/>
                      <w:sz w:val="21"/>
                    </w:rPr>
                    <w:t>运营期：</w:t>
                  </w:r>
                </w:p>
                <w:p w14:paraId="6FE459E3">
                  <w:pPr>
                    <w:pStyle w:val="30"/>
                    <w:widowControl/>
                    <w:spacing w:line="240" w:lineRule="auto"/>
                    <w:ind w:firstLine="0" w:firstLineChars="0"/>
                    <w:rPr>
                      <w:rFonts w:eastAsia="宋体"/>
                      <w:sz w:val="21"/>
                    </w:rPr>
                  </w:pPr>
                  <w:r>
                    <w:rPr>
                      <w:rFonts w:hint="eastAsia" w:eastAsia="宋体"/>
                      <w:sz w:val="21"/>
                    </w:rPr>
                    <w:t>项目运动广场及河湾剧休闲广场配套卫生间等设施，产生的生活污水经市政管网收集后进入城市生活污水处理厂处理。</w:t>
                  </w:r>
                </w:p>
              </w:tc>
              <w:tc>
                <w:tcPr>
                  <w:tcW w:w="945" w:type="dxa"/>
                  <w:vMerge w:val="continue"/>
                  <w:tcBorders>
                    <w:tl2br w:val="nil"/>
                    <w:tr2bl w:val="nil"/>
                  </w:tcBorders>
                  <w:vAlign w:val="center"/>
                </w:tcPr>
                <w:p w14:paraId="2659552C">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4C254EA1">
                  <w:pPr>
                    <w:pStyle w:val="30"/>
                    <w:widowControl/>
                    <w:spacing w:line="240" w:lineRule="auto"/>
                    <w:ind w:firstLine="0" w:firstLineChars="0"/>
                    <w:jc w:val="center"/>
                    <w:rPr>
                      <w:rFonts w:eastAsia="宋体"/>
                      <w:sz w:val="21"/>
                    </w:rPr>
                  </w:pPr>
                  <w:r>
                    <w:rPr>
                      <w:rFonts w:hint="eastAsia" w:eastAsia="宋体"/>
                      <w:sz w:val="21"/>
                    </w:rPr>
                    <w:t>/</w:t>
                  </w:r>
                </w:p>
              </w:tc>
            </w:tr>
            <w:tr w14:paraId="5C622A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784E31A9">
                  <w:pPr>
                    <w:pStyle w:val="30"/>
                    <w:widowControl/>
                    <w:spacing w:line="240" w:lineRule="auto"/>
                    <w:ind w:firstLine="0" w:firstLineChars="0"/>
                    <w:jc w:val="center"/>
                    <w:rPr>
                      <w:rFonts w:eastAsia="宋体"/>
                      <w:sz w:val="21"/>
                    </w:rPr>
                  </w:pPr>
                </w:p>
              </w:tc>
              <w:tc>
                <w:tcPr>
                  <w:tcW w:w="855" w:type="dxa"/>
                  <w:vMerge w:val="restart"/>
                  <w:tcBorders>
                    <w:tl2br w:val="nil"/>
                    <w:tr2bl w:val="nil"/>
                  </w:tcBorders>
                  <w:vAlign w:val="center"/>
                </w:tcPr>
                <w:p w14:paraId="6AD4265D">
                  <w:pPr>
                    <w:pStyle w:val="30"/>
                    <w:widowControl/>
                    <w:spacing w:line="240" w:lineRule="auto"/>
                    <w:ind w:firstLine="0" w:firstLineChars="0"/>
                    <w:jc w:val="center"/>
                    <w:rPr>
                      <w:rFonts w:eastAsia="宋体"/>
                      <w:sz w:val="21"/>
                    </w:rPr>
                  </w:pPr>
                  <w:r>
                    <w:rPr>
                      <w:rFonts w:hint="eastAsia" w:eastAsia="宋体"/>
                      <w:sz w:val="21"/>
                    </w:rPr>
                    <w:t>废气</w:t>
                  </w:r>
                </w:p>
              </w:tc>
              <w:tc>
                <w:tcPr>
                  <w:tcW w:w="5160" w:type="dxa"/>
                  <w:tcBorders>
                    <w:tl2br w:val="nil"/>
                    <w:tr2bl w:val="nil"/>
                  </w:tcBorders>
                  <w:vAlign w:val="center"/>
                </w:tcPr>
                <w:p w14:paraId="67D0B54B">
                  <w:pPr>
                    <w:pStyle w:val="30"/>
                    <w:widowControl/>
                    <w:spacing w:line="240" w:lineRule="auto"/>
                    <w:ind w:firstLine="0" w:firstLineChars="0"/>
                    <w:rPr>
                      <w:rFonts w:eastAsia="宋体"/>
                      <w:sz w:val="21"/>
                    </w:rPr>
                  </w:pPr>
                  <w:r>
                    <w:rPr>
                      <w:rFonts w:hint="eastAsia" w:eastAsia="宋体"/>
                      <w:sz w:val="21"/>
                    </w:rPr>
                    <w:t>施工期：</w:t>
                  </w:r>
                </w:p>
                <w:p w14:paraId="4CC7F3A9">
                  <w:pPr>
                    <w:pStyle w:val="30"/>
                    <w:widowControl/>
                    <w:spacing w:line="240" w:lineRule="auto"/>
                    <w:ind w:firstLine="0" w:firstLineChars="0"/>
                    <w:rPr>
                      <w:rFonts w:eastAsia="宋体"/>
                      <w:sz w:val="21"/>
                    </w:rPr>
                  </w:pPr>
                  <w:r>
                    <w:rPr>
                      <w:rFonts w:hint="eastAsia" w:eastAsia="宋体"/>
                      <w:sz w:val="21"/>
                    </w:rPr>
                    <w:t>①施工扬尘：施工全线围挡施工，围挡上方设置喷雾降尘装置；施工主要道路硬化并定期对地面洒水降尘，进出车辆冲洗；运输车辆密闭；禁止风天进行渣土堆放作业，易产生扬尘的材料应进行覆盖；风速大于4m/s时应停止施工。</w:t>
                  </w:r>
                </w:p>
                <w:p w14:paraId="2DDB6613">
                  <w:pPr>
                    <w:pStyle w:val="30"/>
                    <w:widowControl/>
                    <w:spacing w:line="240" w:lineRule="auto"/>
                    <w:ind w:firstLine="0" w:firstLineChars="0"/>
                    <w:rPr>
                      <w:rFonts w:eastAsia="宋体"/>
                      <w:sz w:val="21"/>
                    </w:rPr>
                  </w:pPr>
                  <w:r>
                    <w:rPr>
                      <w:rFonts w:hint="eastAsia" w:eastAsia="宋体"/>
                      <w:sz w:val="21"/>
                    </w:rPr>
                    <w:t>②机械废气：施工机械废气通过选用合格的机械设备及大气扩散得到缓解。</w:t>
                  </w:r>
                </w:p>
              </w:tc>
              <w:tc>
                <w:tcPr>
                  <w:tcW w:w="945" w:type="dxa"/>
                  <w:vMerge w:val="continue"/>
                  <w:tcBorders>
                    <w:tl2br w:val="nil"/>
                    <w:tr2bl w:val="nil"/>
                  </w:tcBorders>
                  <w:vAlign w:val="center"/>
                </w:tcPr>
                <w:p w14:paraId="54E7ABE9">
                  <w:pPr>
                    <w:pStyle w:val="30"/>
                    <w:widowControl/>
                    <w:spacing w:line="240" w:lineRule="auto"/>
                    <w:ind w:firstLine="0" w:firstLineChars="0"/>
                    <w:jc w:val="center"/>
                    <w:rPr>
                      <w:rFonts w:eastAsia="宋体"/>
                      <w:sz w:val="21"/>
                    </w:rPr>
                  </w:pPr>
                </w:p>
              </w:tc>
              <w:tc>
                <w:tcPr>
                  <w:tcW w:w="950" w:type="dxa"/>
                  <w:tcBorders>
                    <w:tl2br w:val="nil"/>
                    <w:tr2bl w:val="nil"/>
                  </w:tcBorders>
                  <w:vAlign w:val="center"/>
                </w:tcPr>
                <w:p w14:paraId="56BAEEA6">
                  <w:pPr>
                    <w:pStyle w:val="30"/>
                    <w:widowControl/>
                    <w:spacing w:line="240" w:lineRule="auto"/>
                    <w:ind w:firstLine="0" w:firstLineChars="0"/>
                    <w:jc w:val="center"/>
                    <w:rPr>
                      <w:rFonts w:eastAsia="宋体"/>
                      <w:sz w:val="21"/>
                    </w:rPr>
                  </w:pPr>
                  <w:r>
                    <w:rPr>
                      <w:rFonts w:hint="eastAsia" w:eastAsia="宋体"/>
                      <w:sz w:val="21"/>
                    </w:rPr>
                    <w:t>/</w:t>
                  </w:r>
                </w:p>
              </w:tc>
            </w:tr>
            <w:tr w14:paraId="71B235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3D0356F1">
                  <w:pPr>
                    <w:pStyle w:val="30"/>
                    <w:widowControl/>
                    <w:spacing w:line="240" w:lineRule="auto"/>
                    <w:ind w:firstLine="0" w:firstLineChars="0"/>
                    <w:jc w:val="center"/>
                    <w:rPr>
                      <w:rFonts w:eastAsia="宋体"/>
                      <w:sz w:val="21"/>
                    </w:rPr>
                  </w:pPr>
                </w:p>
              </w:tc>
              <w:tc>
                <w:tcPr>
                  <w:tcW w:w="855" w:type="dxa"/>
                  <w:vMerge w:val="continue"/>
                  <w:tcBorders>
                    <w:tl2br w:val="nil"/>
                    <w:tr2bl w:val="nil"/>
                  </w:tcBorders>
                  <w:vAlign w:val="center"/>
                </w:tcPr>
                <w:p w14:paraId="442B3B3C">
                  <w:pPr>
                    <w:pStyle w:val="30"/>
                    <w:widowControl/>
                    <w:spacing w:line="240" w:lineRule="auto"/>
                    <w:ind w:firstLine="0" w:firstLineChars="0"/>
                    <w:jc w:val="center"/>
                    <w:rPr>
                      <w:rFonts w:eastAsia="宋体"/>
                      <w:sz w:val="21"/>
                    </w:rPr>
                  </w:pPr>
                </w:p>
              </w:tc>
              <w:tc>
                <w:tcPr>
                  <w:tcW w:w="5160" w:type="dxa"/>
                  <w:tcBorders>
                    <w:tl2br w:val="nil"/>
                    <w:tr2bl w:val="nil"/>
                  </w:tcBorders>
                  <w:vAlign w:val="center"/>
                </w:tcPr>
                <w:p w14:paraId="498C44EA">
                  <w:pPr>
                    <w:pStyle w:val="30"/>
                    <w:widowControl/>
                    <w:spacing w:line="240" w:lineRule="auto"/>
                    <w:ind w:firstLine="0" w:firstLineChars="0"/>
                    <w:rPr>
                      <w:rFonts w:eastAsia="宋体"/>
                      <w:sz w:val="21"/>
                    </w:rPr>
                  </w:pPr>
                  <w:r>
                    <w:rPr>
                      <w:rFonts w:hint="eastAsia" w:eastAsia="宋体"/>
                      <w:sz w:val="21"/>
                    </w:rPr>
                    <w:t>运营期：</w:t>
                  </w:r>
                </w:p>
                <w:p w14:paraId="253C8FDD">
                  <w:pPr>
                    <w:pStyle w:val="30"/>
                    <w:widowControl/>
                    <w:spacing w:line="240" w:lineRule="auto"/>
                    <w:ind w:firstLine="0" w:firstLineChars="0"/>
                    <w:rPr>
                      <w:rFonts w:eastAsia="宋体"/>
                      <w:sz w:val="21"/>
                    </w:rPr>
                  </w:pPr>
                  <w:r>
                    <w:rPr>
                      <w:rFonts w:hint="eastAsia" w:eastAsia="宋体"/>
                      <w:sz w:val="21"/>
                    </w:rPr>
                    <w:t>汽车尾气：完善绿化，严格限制车速，加强管理。</w:t>
                  </w:r>
                </w:p>
              </w:tc>
              <w:tc>
                <w:tcPr>
                  <w:tcW w:w="945" w:type="dxa"/>
                  <w:tcBorders>
                    <w:tl2br w:val="nil"/>
                    <w:tr2bl w:val="nil"/>
                  </w:tcBorders>
                  <w:vAlign w:val="center"/>
                </w:tcPr>
                <w:p w14:paraId="1F67D65F">
                  <w:pPr>
                    <w:pStyle w:val="30"/>
                    <w:widowControl/>
                    <w:spacing w:line="240" w:lineRule="auto"/>
                    <w:ind w:firstLine="0" w:firstLineChars="0"/>
                    <w:jc w:val="center"/>
                    <w:rPr>
                      <w:rFonts w:eastAsia="宋体"/>
                      <w:sz w:val="21"/>
                    </w:rPr>
                  </w:pPr>
                  <w:r>
                    <w:rPr>
                      <w:rFonts w:hint="eastAsia" w:eastAsia="宋体"/>
                      <w:sz w:val="21"/>
                    </w:rPr>
                    <w:t>/</w:t>
                  </w:r>
                </w:p>
              </w:tc>
              <w:tc>
                <w:tcPr>
                  <w:tcW w:w="950" w:type="dxa"/>
                  <w:tcBorders>
                    <w:tl2br w:val="nil"/>
                    <w:tr2bl w:val="nil"/>
                  </w:tcBorders>
                  <w:vAlign w:val="center"/>
                </w:tcPr>
                <w:p w14:paraId="6D97C01E">
                  <w:pPr>
                    <w:pStyle w:val="30"/>
                    <w:widowControl/>
                    <w:spacing w:line="240" w:lineRule="auto"/>
                    <w:ind w:firstLine="0" w:firstLineChars="0"/>
                    <w:jc w:val="center"/>
                    <w:rPr>
                      <w:rFonts w:eastAsia="宋体"/>
                      <w:sz w:val="21"/>
                    </w:rPr>
                  </w:pPr>
                  <w:r>
                    <w:rPr>
                      <w:rFonts w:hint="eastAsia" w:eastAsia="宋体"/>
                      <w:sz w:val="21"/>
                    </w:rPr>
                    <w:t>废气</w:t>
                  </w:r>
                </w:p>
              </w:tc>
            </w:tr>
            <w:tr w14:paraId="2504D4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9" w:type="dxa"/>
                  <w:vMerge w:val="continue"/>
                  <w:tcBorders>
                    <w:tl2br w:val="nil"/>
                    <w:tr2bl w:val="nil"/>
                  </w:tcBorders>
                  <w:vAlign w:val="center"/>
                </w:tcPr>
                <w:p w14:paraId="5CB30B0F">
                  <w:pPr>
                    <w:pStyle w:val="30"/>
                    <w:widowControl/>
                    <w:spacing w:line="240" w:lineRule="auto"/>
                    <w:ind w:firstLine="0" w:firstLineChars="0"/>
                    <w:jc w:val="center"/>
                    <w:rPr>
                      <w:rFonts w:eastAsia="宋体"/>
                      <w:sz w:val="21"/>
                    </w:rPr>
                  </w:pPr>
                </w:p>
              </w:tc>
              <w:tc>
                <w:tcPr>
                  <w:tcW w:w="855" w:type="dxa"/>
                  <w:vMerge w:val="restart"/>
                  <w:tcBorders>
                    <w:tl2br w:val="nil"/>
                    <w:tr2bl w:val="nil"/>
                  </w:tcBorders>
                  <w:vAlign w:val="center"/>
                </w:tcPr>
                <w:p w14:paraId="5BBC1AAF">
                  <w:pPr>
                    <w:pStyle w:val="30"/>
                    <w:widowControl/>
                    <w:spacing w:line="240" w:lineRule="auto"/>
                    <w:ind w:firstLine="0" w:firstLineChars="0"/>
                    <w:jc w:val="center"/>
                    <w:rPr>
                      <w:rFonts w:eastAsia="宋体"/>
                      <w:sz w:val="21"/>
                    </w:rPr>
                  </w:pPr>
                  <w:r>
                    <w:rPr>
                      <w:rFonts w:hint="eastAsia" w:eastAsia="宋体"/>
                      <w:sz w:val="21"/>
                    </w:rPr>
                    <w:t>噪声</w:t>
                  </w:r>
                </w:p>
              </w:tc>
              <w:tc>
                <w:tcPr>
                  <w:tcW w:w="5160" w:type="dxa"/>
                  <w:tcBorders>
                    <w:tl2br w:val="nil"/>
                    <w:tr2bl w:val="nil"/>
                  </w:tcBorders>
                  <w:vAlign w:val="center"/>
                </w:tcPr>
                <w:p w14:paraId="5A589C6A">
                  <w:pPr>
                    <w:pStyle w:val="30"/>
                    <w:widowControl/>
                    <w:spacing w:line="240" w:lineRule="auto"/>
                    <w:ind w:firstLine="0" w:firstLineChars="0"/>
                    <w:rPr>
                      <w:rFonts w:eastAsia="宋体"/>
                      <w:sz w:val="21"/>
                    </w:rPr>
                  </w:pPr>
                  <w:r>
                    <w:rPr>
                      <w:rFonts w:hint="eastAsia" w:eastAsia="宋体"/>
                      <w:sz w:val="21"/>
                    </w:rPr>
                    <w:t>施工期：选用低噪声设备、加强设备维修保养；合理安排施工作业时间，夜间、午休时间禁止施工。</w:t>
                  </w:r>
                </w:p>
              </w:tc>
              <w:tc>
                <w:tcPr>
                  <w:tcW w:w="945" w:type="dxa"/>
                  <w:vMerge w:val="restart"/>
                  <w:tcBorders>
                    <w:tl2br w:val="nil"/>
                    <w:tr2bl w:val="nil"/>
                  </w:tcBorders>
                  <w:vAlign w:val="center"/>
                </w:tcPr>
                <w:p w14:paraId="14757D7B">
                  <w:pPr>
                    <w:pStyle w:val="30"/>
                    <w:widowControl/>
                    <w:spacing w:line="240" w:lineRule="auto"/>
                    <w:ind w:firstLine="0" w:firstLineChars="0"/>
                    <w:jc w:val="center"/>
                    <w:rPr>
                      <w:rFonts w:eastAsia="宋体"/>
                      <w:sz w:val="21"/>
                    </w:rPr>
                  </w:pPr>
                  <w:r>
                    <w:rPr>
                      <w:rFonts w:hint="eastAsia" w:eastAsia="宋体"/>
                      <w:sz w:val="21"/>
                    </w:rPr>
                    <w:t>噪声</w:t>
                  </w:r>
                </w:p>
              </w:tc>
              <w:tc>
                <w:tcPr>
                  <w:tcW w:w="950" w:type="dxa"/>
                  <w:vMerge w:val="restart"/>
                  <w:tcBorders>
                    <w:tl2br w:val="nil"/>
                    <w:tr2bl w:val="nil"/>
                  </w:tcBorders>
                  <w:vAlign w:val="center"/>
                </w:tcPr>
                <w:p w14:paraId="7A5B8B88">
                  <w:pPr>
                    <w:pStyle w:val="30"/>
                    <w:widowControl/>
                    <w:spacing w:line="240" w:lineRule="auto"/>
                    <w:ind w:firstLine="0" w:firstLineChars="0"/>
                    <w:jc w:val="center"/>
                    <w:rPr>
                      <w:rFonts w:eastAsia="宋体"/>
                      <w:sz w:val="21"/>
                    </w:rPr>
                  </w:pPr>
                  <w:r>
                    <w:rPr>
                      <w:rFonts w:hint="eastAsia" w:eastAsia="宋体"/>
                      <w:sz w:val="21"/>
                    </w:rPr>
                    <w:t>噪声</w:t>
                  </w:r>
                </w:p>
              </w:tc>
            </w:tr>
            <w:tr w14:paraId="76DF4C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489" w:type="dxa"/>
                  <w:vMerge w:val="continue"/>
                  <w:tcBorders>
                    <w:tl2br w:val="nil"/>
                    <w:tr2bl w:val="nil"/>
                  </w:tcBorders>
                  <w:vAlign w:val="center"/>
                </w:tcPr>
                <w:p w14:paraId="45692698">
                  <w:pPr>
                    <w:pStyle w:val="30"/>
                    <w:widowControl/>
                    <w:spacing w:line="240" w:lineRule="auto"/>
                    <w:ind w:firstLine="0" w:firstLineChars="0"/>
                    <w:jc w:val="center"/>
                  </w:pPr>
                </w:p>
              </w:tc>
              <w:tc>
                <w:tcPr>
                  <w:tcW w:w="855" w:type="dxa"/>
                  <w:vMerge w:val="continue"/>
                  <w:tcBorders>
                    <w:tl2br w:val="nil"/>
                    <w:tr2bl w:val="nil"/>
                  </w:tcBorders>
                  <w:vAlign w:val="center"/>
                </w:tcPr>
                <w:p w14:paraId="6DFA6C48">
                  <w:pPr>
                    <w:pStyle w:val="30"/>
                    <w:widowControl/>
                    <w:spacing w:line="240" w:lineRule="auto"/>
                    <w:ind w:firstLine="0" w:firstLineChars="0"/>
                    <w:jc w:val="center"/>
                  </w:pPr>
                </w:p>
              </w:tc>
              <w:tc>
                <w:tcPr>
                  <w:tcW w:w="5160" w:type="dxa"/>
                  <w:tcBorders>
                    <w:tl2br w:val="nil"/>
                    <w:tr2bl w:val="nil"/>
                  </w:tcBorders>
                  <w:vAlign w:val="center"/>
                </w:tcPr>
                <w:p w14:paraId="3B1908E8">
                  <w:pPr>
                    <w:pStyle w:val="30"/>
                    <w:widowControl/>
                    <w:spacing w:line="240" w:lineRule="auto"/>
                    <w:ind w:firstLine="0" w:firstLineChars="0"/>
                    <w:rPr>
                      <w:rFonts w:eastAsia="宋体"/>
                      <w:sz w:val="21"/>
                    </w:rPr>
                  </w:pPr>
                  <w:r>
                    <w:rPr>
                      <w:rFonts w:hint="eastAsia" w:eastAsia="宋体"/>
                      <w:sz w:val="21"/>
                    </w:rPr>
                    <w:t>运营期：由人群活动引起的噪声，通过静止鸣笛、加强管理可有效降低影响。</w:t>
                  </w:r>
                </w:p>
              </w:tc>
              <w:tc>
                <w:tcPr>
                  <w:tcW w:w="945" w:type="dxa"/>
                  <w:vMerge w:val="continue"/>
                  <w:tcBorders>
                    <w:tl2br w:val="nil"/>
                    <w:tr2bl w:val="nil"/>
                  </w:tcBorders>
                  <w:vAlign w:val="center"/>
                </w:tcPr>
                <w:p w14:paraId="4A7784C5">
                  <w:pPr>
                    <w:pStyle w:val="30"/>
                    <w:widowControl/>
                    <w:spacing w:line="240" w:lineRule="auto"/>
                    <w:ind w:firstLine="0" w:firstLineChars="0"/>
                    <w:jc w:val="center"/>
                    <w:rPr>
                      <w:rFonts w:eastAsia="宋体"/>
                      <w:sz w:val="21"/>
                    </w:rPr>
                  </w:pPr>
                </w:p>
              </w:tc>
              <w:tc>
                <w:tcPr>
                  <w:tcW w:w="950" w:type="dxa"/>
                  <w:vMerge w:val="continue"/>
                  <w:tcBorders>
                    <w:tl2br w:val="nil"/>
                    <w:tr2bl w:val="nil"/>
                  </w:tcBorders>
                  <w:vAlign w:val="center"/>
                </w:tcPr>
                <w:p w14:paraId="662D6742">
                  <w:pPr>
                    <w:pStyle w:val="30"/>
                    <w:widowControl/>
                    <w:spacing w:line="240" w:lineRule="auto"/>
                    <w:ind w:firstLine="0" w:firstLineChars="0"/>
                    <w:jc w:val="center"/>
                    <w:rPr>
                      <w:rFonts w:eastAsia="宋体"/>
                      <w:sz w:val="21"/>
                    </w:rPr>
                  </w:pPr>
                </w:p>
              </w:tc>
            </w:tr>
            <w:tr w14:paraId="5776FE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6F7A6E8E">
                  <w:pPr>
                    <w:pStyle w:val="30"/>
                    <w:widowControl/>
                    <w:spacing w:line="240" w:lineRule="auto"/>
                    <w:ind w:firstLine="0" w:firstLineChars="0"/>
                    <w:jc w:val="center"/>
                    <w:rPr>
                      <w:rFonts w:eastAsia="宋体"/>
                      <w:sz w:val="21"/>
                    </w:rPr>
                  </w:pPr>
                </w:p>
              </w:tc>
              <w:tc>
                <w:tcPr>
                  <w:tcW w:w="855" w:type="dxa"/>
                  <w:vMerge w:val="restart"/>
                  <w:tcBorders>
                    <w:tl2br w:val="nil"/>
                    <w:tr2bl w:val="nil"/>
                  </w:tcBorders>
                  <w:vAlign w:val="center"/>
                </w:tcPr>
                <w:p w14:paraId="46F02284">
                  <w:pPr>
                    <w:pStyle w:val="30"/>
                    <w:widowControl/>
                    <w:spacing w:line="240" w:lineRule="auto"/>
                    <w:ind w:firstLine="0" w:firstLineChars="0"/>
                    <w:jc w:val="center"/>
                    <w:rPr>
                      <w:rFonts w:eastAsia="宋体"/>
                      <w:sz w:val="21"/>
                    </w:rPr>
                  </w:pPr>
                  <w:r>
                    <w:rPr>
                      <w:rFonts w:hint="eastAsia" w:eastAsia="宋体"/>
                      <w:sz w:val="21"/>
                    </w:rPr>
                    <w:t>固体废物</w:t>
                  </w:r>
                </w:p>
              </w:tc>
              <w:tc>
                <w:tcPr>
                  <w:tcW w:w="5160" w:type="dxa"/>
                  <w:tcBorders>
                    <w:tl2br w:val="nil"/>
                    <w:tr2bl w:val="nil"/>
                  </w:tcBorders>
                  <w:vAlign w:val="center"/>
                </w:tcPr>
                <w:p w14:paraId="0568EF35">
                  <w:pPr>
                    <w:pStyle w:val="30"/>
                    <w:widowControl/>
                    <w:spacing w:line="240" w:lineRule="auto"/>
                    <w:ind w:firstLine="0" w:firstLineChars="0"/>
                    <w:rPr>
                      <w:rFonts w:eastAsia="宋体"/>
                      <w:sz w:val="21"/>
                    </w:rPr>
                  </w:pPr>
                  <w:r>
                    <w:rPr>
                      <w:rFonts w:hint="eastAsia" w:eastAsia="宋体"/>
                      <w:sz w:val="21"/>
                    </w:rPr>
                    <w:t>施工期：</w:t>
                  </w:r>
                </w:p>
                <w:p w14:paraId="25AD8226">
                  <w:pPr>
                    <w:pStyle w:val="30"/>
                    <w:widowControl/>
                    <w:spacing w:line="240" w:lineRule="auto"/>
                    <w:ind w:firstLine="0" w:firstLineChars="0"/>
                    <w:rPr>
                      <w:rFonts w:eastAsia="宋体"/>
                      <w:sz w:val="21"/>
                    </w:rPr>
                  </w:pPr>
                  <w:r>
                    <w:rPr>
                      <w:rFonts w:hint="eastAsia" w:eastAsia="宋体"/>
                      <w:sz w:val="21"/>
                    </w:rPr>
                    <w:t>①建筑垃圾可资源化的外售资源处，不能回收利用的送至建筑垃圾填埋场处理；</w:t>
                  </w:r>
                </w:p>
                <w:p w14:paraId="0C66A0A2">
                  <w:pPr>
                    <w:pStyle w:val="30"/>
                    <w:widowControl/>
                    <w:spacing w:line="240" w:lineRule="auto"/>
                    <w:ind w:firstLine="0" w:firstLineChars="0"/>
                    <w:rPr>
                      <w:rFonts w:eastAsia="宋体"/>
                      <w:sz w:val="21"/>
                    </w:rPr>
                  </w:pPr>
                  <w:r>
                    <w:rPr>
                      <w:rFonts w:hint="eastAsia" w:eastAsia="宋体"/>
                      <w:sz w:val="21"/>
                    </w:rPr>
                    <w:t>②生活垃圾经收集后由市政环卫部门清运处理；</w:t>
                  </w:r>
                </w:p>
                <w:p w14:paraId="582D1C80">
                  <w:pPr>
                    <w:pStyle w:val="30"/>
                    <w:widowControl/>
                    <w:spacing w:line="240" w:lineRule="auto"/>
                    <w:ind w:firstLine="0" w:firstLineChars="0"/>
                    <w:rPr>
                      <w:rFonts w:eastAsia="宋体"/>
                      <w:sz w:val="21"/>
                    </w:rPr>
                  </w:pPr>
                  <w:r>
                    <w:rPr>
                      <w:rFonts w:hint="eastAsia" w:eastAsia="宋体"/>
                      <w:sz w:val="21"/>
                    </w:rPr>
                    <w:t>③沉淀池泥沙定期清掏用于堤后低洼地段回填；</w:t>
                  </w:r>
                </w:p>
                <w:p w14:paraId="55AB3670">
                  <w:pPr>
                    <w:pStyle w:val="30"/>
                    <w:widowControl/>
                    <w:spacing w:line="240" w:lineRule="auto"/>
                    <w:ind w:firstLine="0" w:firstLineChars="0"/>
                    <w:rPr>
                      <w:rFonts w:eastAsia="宋体"/>
                      <w:sz w:val="21"/>
                    </w:rPr>
                  </w:pPr>
                  <w:r>
                    <w:rPr>
                      <w:rFonts w:hint="eastAsia" w:eastAsia="宋体"/>
                      <w:sz w:val="21"/>
                    </w:rPr>
                    <w:t>④隔油池浮油收集后作为危废处置，委托有资质的危险废物处置单位进行清运处置。</w:t>
                  </w:r>
                </w:p>
              </w:tc>
              <w:tc>
                <w:tcPr>
                  <w:tcW w:w="945" w:type="dxa"/>
                  <w:vMerge w:val="restart"/>
                  <w:tcBorders>
                    <w:tl2br w:val="nil"/>
                    <w:tr2bl w:val="nil"/>
                  </w:tcBorders>
                  <w:vAlign w:val="center"/>
                </w:tcPr>
                <w:p w14:paraId="24543BA8">
                  <w:pPr>
                    <w:pStyle w:val="30"/>
                    <w:widowControl/>
                    <w:spacing w:line="240" w:lineRule="auto"/>
                    <w:ind w:firstLine="0" w:firstLineChars="0"/>
                    <w:jc w:val="center"/>
                    <w:rPr>
                      <w:rFonts w:eastAsia="宋体"/>
                      <w:sz w:val="21"/>
                    </w:rPr>
                  </w:pPr>
                  <w:r>
                    <w:rPr>
                      <w:rFonts w:hint="eastAsia" w:eastAsia="宋体"/>
                      <w:sz w:val="21"/>
                    </w:rPr>
                    <w:t>固体废物</w:t>
                  </w:r>
                </w:p>
              </w:tc>
              <w:tc>
                <w:tcPr>
                  <w:tcW w:w="950" w:type="dxa"/>
                  <w:vMerge w:val="restart"/>
                  <w:tcBorders>
                    <w:tl2br w:val="nil"/>
                    <w:tr2bl w:val="nil"/>
                  </w:tcBorders>
                  <w:vAlign w:val="center"/>
                </w:tcPr>
                <w:p w14:paraId="4E81751F">
                  <w:pPr>
                    <w:pStyle w:val="30"/>
                    <w:widowControl/>
                    <w:spacing w:line="240" w:lineRule="auto"/>
                    <w:ind w:firstLine="0" w:firstLineChars="0"/>
                    <w:jc w:val="center"/>
                    <w:rPr>
                      <w:rFonts w:eastAsia="宋体"/>
                      <w:sz w:val="21"/>
                    </w:rPr>
                  </w:pPr>
                  <w:r>
                    <w:rPr>
                      <w:rFonts w:hint="eastAsia" w:eastAsia="宋体"/>
                      <w:sz w:val="21"/>
                    </w:rPr>
                    <w:t>固体废物</w:t>
                  </w:r>
                </w:p>
              </w:tc>
            </w:tr>
            <w:tr w14:paraId="641852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0B209910">
                  <w:pPr>
                    <w:pStyle w:val="30"/>
                    <w:widowControl/>
                    <w:spacing w:line="240" w:lineRule="auto"/>
                    <w:ind w:firstLine="0" w:firstLineChars="0"/>
                    <w:jc w:val="center"/>
                    <w:rPr>
                      <w:rFonts w:eastAsia="宋体"/>
                      <w:sz w:val="21"/>
                    </w:rPr>
                  </w:pPr>
                </w:p>
              </w:tc>
              <w:tc>
                <w:tcPr>
                  <w:tcW w:w="855" w:type="dxa"/>
                  <w:vMerge w:val="continue"/>
                  <w:tcBorders>
                    <w:tl2br w:val="nil"/>
                    <w:tr2bl w:val="nil"/>
                  </w:tcBorders>
                  <w:vAlign w:val="center"/>
                </w:tcPr>
                <w:p w14:paraId="7C9C9EED">
                  <w:pPr>
                    <w:pStyle w:val="30"/>
                    <w:widowControl/>
                    <w:spacing w:line="240" w:lineRule="auto"/>
                    <w:ind w:firstLine="0" w:firstLineChars="0"/>
                    <w:jc w:val="center"/>
                    <w:rPr>
                      <w:rFonts w:eastAsia="宋体"/>
                      <w:sz w:val="21"/>
                    </w:rPr>
                  </w:pPr>
                </w:p>
              </w:tc>
              <w:tc>
                <w:tcPr>
                  <w:tcW w:w="5160" w:type="dxa"/>
                  <w:tcBorders>
                    <w:tl2br w:val="nil"/>
                    <w:tr2bl w:val="nil"/>
                  </w:tcBorders>
                  <w:vAlign w:val="center"/>
                </w:tcPr>
                <w:p w14:paraId="1F89D912">
                  <w:pPr>
                    <w:pStyle w:val="30"/>
                    <w:widowControl/>
                    <w:spacing w:line="240" w:lineRule="auto"/>
                    <w:ind w:firstLine="0" w:firstLineChars="0"/>
                    <w:rPr>
                      <w:rFonts w:eastAsia="宋体"/>
                      <w:sz w:val="21"/>
                    </w:rPr>
                  </w:pPr>
                  <w:r>
                    <w:rPr>
                      <w:rFonts w:hint="eastAsia" w:eastAsia="宋体"/>
                      <w:sz w:val="21"/>
                    </w:rPr>
                    <w:t>运营期：检修人员、来往行人产生的生活垃圾，垃圾桶分类收集后，由环卫部门清运处置。</w:t>
                  </w:r>
                </w:p>
              </w:tc>
              <w:tc>
                <w:tcPr>
                  <w:tcW w:w="945" w:type="dxa"/>
                  <w:vMerge w:val="continue"/>
                  <w:tcBorders>
                    <w:tl2br w:val="nil"/>
                    <w:tr2bl w:val="nil"/>
                  </w:tcBorders>
                  <w:vAlign w:val="center"/>
                </w:tcPr>
                <w:p w14:paraId="06593B78">
                  <w:pPr>
                    <w:pStyle w:val="30"/>
                    <w:widowControl/>
                    <w:spacing w:line="240" w:lineRule="auto"/>
                    <w:ind w:firstLine="0" w:firstLineChars="0"/>
                    <w:jc w:val="center"/>
                    <w:rPr>
                      <w:rFonts w:eastAsia="宋体"/>
                      <w:sz w:val="21"/>
                    </w:rPr>
                  </w:pPr>
                </w:p>
              </w:tc>
              <w:tc>
                <w:tcPr>
                  <w:tcW w:w="950" w:type="dxa"/>
                  <w:vMerge w:val="continue"/>
                  <w:tcBorders>
                    <w:tl2br w:val="nil"/>
                    <w:tr2bl w:val="nil"/>
                  </w:tcBorders>
                  <w:vAlign w:val="center"/>
                </w:tcPr>
                <w:p w14:paraId="284B195A">
                  <w:pPr>
                    <w:pStyle w:val="30"/>
                    <w:widowControl/>
                    <w:spacing w:line="240" w:lineRule="auto"/>
                    <w:ind w:firstLine="0" w:firstLineChars="0"/>
                    <w:jc w:val="center"/>
                    <w:rPr>
                      <w:rFonts w:eastAsia="宋体"/>
                      <w:sz w:val="21"/>
                    </w:rPr>
                  </w:pPr>
                </w:p>
              </w:tc>
            </w:tr>
            <w:tr w14:paraId="4885A4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vMerge w:val="continue"/>
                  <w:tcBorders>
                    <w:tl2br w:val="nil"/>
                    <w:tr2bl w:val="nil"/>
                  </w:tcBorders>
                  <w:vAlign w:val="center"/>
                </w:tcPr>
                <w:p w14:paraId="141C63E6">
                  <w:pPr>
                    <w:pStyle w:val="30"/>
                    <w:widowControl/>
                    <w:spacing w:line="240" w:lineRule="auto"/>
                    <w:ind w:firstLine="0" w:firstLineChars="0"/>
                    <w:jc w:val="center"/>
                    <w:rPr>
                      <w:rFonts w:eastAsia="宋体"/>
                      <w:sz w:val="21"/>
                    </w:rPr>
                  </w:pPr>
                </w:p>
              </w:tc>
              <w:tc>
                <w:tcPr>
                  <w:tcW w:w="855" w:type="dxa"/>
                  <w:tcBorders>
                    <w:tl2br w:val="nil"/>
                    <w:tr2bl w:val="nil"/>
                  </w:tcBorders>
                  <w:vAlign w:val="center"/>
                </w:tcPr>
                <w:p w14:paraId="2031252E">
                  <w:pPr>
                    <w:pStyle w:val="30"/>
                    <w:widowControl/>
                    <w:spacing w:line="240" w:lineRule="auto"/>
                    <w:ind w:firstLine="0" w:firstLineChars="0"/>
                    <w:jc w:val="center"/>
                    <w:rPr>
                      <w:rFonts w:eastAsia="宋体"/>
                      <w:sz w:val="21"/>
                    </w:rPr>
                  </w:pPr>
                  <w:r>
                    <w:rPr>
                      <w:rFonts w:hint="eastAsia" w:eastAsia="宋体"/>
                      <w:sz w:val="21"/>
                    </w:rPr>
                    <w:t>生态环境</w:t>
                  </w:r>
                </w:p>
              </w:tc>
              <w:tc>
                <w:tcPr>
                  <w:tcW w:w="5160" w:type="dxa"/>
                  <w:tcBorders>
                    <w:tl2br w:val="nil"/>
                    <w:tr2bl w:val="nil"/>
                  </w:tcBorders>
                  <w:vAlign w:val="center"/>
                </w:tcPr>
                <w:p w14:paraId="186C1926">
                  <w:pPr>
                    <w:pStyle w:val="30"/>
                    <w:widowControl/>
                    <w:spacing w:line="240" w:lineRule="auto"/>
                    <w:ind w:firstLine="0" w:firstLineChars="0"/>
                    <w:rPr>
                      <w:rFonts w:eastAsia="宋体"/>
                      <w:sz w:val="21"/>
                    </w:rPr>
                  </w:pPr>
                  <w:r>
                    <w:rPr>
                      <w:rFonts w:hint="eastAsia" w:eastAsia="宋体"/>
                      <w:sz w:val="21"/>
                    </w:rPr>
                    <w:t>施工完毕后临时工程占地进行绿化恢复；严格控制施工范围，减少生态影响范围；严格控制开挖范围，及时回填土方。</w:t>
                  </w:r>
                </w:p>
              </w:tc>
              <w:tc>
                <w:tcPr>
                  <w:tcW w:w="945" w:type="dxa"/>
                  <w:tcBorders>
                    <w:tl2br w:val="nil"/>
                    <w:tr2bl w:val="nil"/>
                  </w:tcBorders>
                  <w:vAlign w:val="center"/>
                </w:tcPr>
                <w:p w14:paraId="060D8C91">
                  <w:pPr>
                    <w:pStyle w:val="30"/>
                    <w:widowControl/>
                    <w:spacing w:line="240" w:lineRule="auto"/>
                    <w:ind w:firstLine="0" w:firstLineChars="0"/>
                    <w:jc w:val="center"/>
                    <w:rPr>
                      <w:rFonts w:eastAsia="宋体"/>
                      <w:sz w:val="21"/>
                    </w:rPr>
                  </w:pPr>
                  <w:r>
                    <w:rPr>
                      <w:rFonts w:hint="eastAsia" w:eastAsia="宋体"/>
                      <w:sz w:val="21"/>
                    </w:rPr>
                    <w:t>水土流失等</w:t>
                  </w:r>
                </w:p>
              </w:tc>
              <w:tc>
                <w:tcPr>
                  <w:tcW w:w="950" w:type="dxa"/>
                  <w:tcBorders>
                    <w:tl2br w:val="nil"/>
                    <w:tr2bl w:val="nil"/>
                  </w:tcBorders>
                  <w:vAlign w:val="center"/>
                </w:tcPr>
                <w:p w14:paraId="50D64E46">
                  <w:pPr>
                    <w:pStyle w:val="30"/>
                    <w:widowControl/>
                    <w:spacing w:line="240" w:lineRule="auto"/>
                    <w:ind w:firstLine="0" w:firstLineChars="0"/>
                    <w:jc w:val="center"/>
                    <w:rPr>
                      <w:rFonts w:eastAsia="宋体"/>
                      <w:sz w:val="21"/>
                    </w:rPr>
                  </w:pPr>
                  <w:r>
                    <w:rPr>
                      <w:rFonts w:hint="eastAsia" w:eastAsia="宋体"/>
                      <w:sz w:val="21"/>
                    </w:rPr>
                    <w:t>/</w:t>
                  </w:r>
                </w:p>
              </w:tc>
            </w:tr>
          </w:tbl>
          <w:p w14:paraId="4A0D507B">
            <w:pPr>
              <w:ind w:firstLine="0" w:firstLineChars="0"/>
              <w:rPr>
                <w:b/>
                <w:bCs/>
              </w:rPr>
            </w:pPr>
            <w:r>
              <w:rPr>
                <w:rFonts w:hint="eastAsia"/>
                <w:b/>
                <w:bCs/>
              </w:rPr>
              <w:t>三、工程机械设备</w:t>
            </w:r>
          </w:p>
          <w:p w14:paraId="7BD56183">
            <w:pPr>
              <w:ind w:firstLine="480"/>
            </w:pPr>
            <w:r>
              <w:rPr>
                <w:rFonts w:hint="eastAsia"/>
              </w:rPr>
              <w:t>本项目建设所用的工程机械设备如下表所示。</w:t>
            </w:r>
          </w:p>
          <w:p w14:paraId="440ACED5">
            <w:pPr>
              <w:ind w:firstLine="0" w:firstLineChars="0"/>
              <w:jc w:val="center"/>
              <w:rPr>
                <w:b/>
                <w:bCs/>
                <w:sz w:val="21"/>
                <w:szCs w:val="21"/>
              </w:rPr>
            </w:pPr>
            <w:r>
              <w:rPr>
                <w:rFonts w:hint="eastAsia"/>
                <w:b/>
                <w:bCs/>
                <w:sz w:val="21"/>
                <w:szCs w:val="21"/>
              </w:rPr>
              <w:t>表2-2  主要工程机械设备</w:t>
            </w:r>
          </w:p>
          <w:tbl>
            <w:tblPr>
              <w:tblStyle w:val="19"/>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79"/>
              <w:gridCol w:w="2178"/>
              <w:gridCol w:w="1679"/>
              <w:gridCol w:w="1679"/>
              <w:gridCol w:w="1679"/>
            </w:tblGrid>
            <w:tr w14:paraId="5885BF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6DAD9F1D">
                  <w:pPr>
                    <w:pStyle w:val="30"/>
                    <w:widowControl/>
                    <w:spacing w:line="240" w:lineRule="auto"/>
                    <w:ind w:firstLine="0" w:firstLineChars="0"/>
                    <w:jc w:val="center"/>
                    <w:rPr>
                      <w:rFonts w:eastAsia="宋体"/>
                      <w:b/>
                      <w:bCs/>
                      <w:sz w:val="21"/>
                    </w:rPr>
                  </w:pPr>
                  <w:r>
                    <w:rPr>
                      <w:rFonts w:hint="eastAsia" w:eastAsia="宋体"/>
                      <w:b/>
                      <w:bCs/>
                      <w:sz w:val="21"/>
                    </w:rPr>
                    <w:t>序号</w:t>
                  </w:r>
                </w:p>
              </w:tc>
              <w:tc>
                <w:tcPr>
                  <w:tcW w:w="2178" w:type="dxa"/>
                  <w:tcBorders>
                    <w:tl2br w:val="nil"/>
                    <w:tr2bl w:val="nil"/>
                  </w:tcBorders>
                  <w:vAlign w:val="center"/>
                </w:tcPr>
                <w:p w14:paraId="38BDFE4B">
                  <w:pPr>
                    <w:pStyle w:val="30"/>
                    <w:widowControl/>
                    <w:spacing w:line="240" w:lineRule="auto"/>
                    <w:ind w:firstLine="0" w:firstLineChars="0"/>
                    <w:jc w:val="center"/>
                    <w:rPr>
                      <w:rFonts w:eastAsia="宋体"/>
                      <w:b/>
                      <w:bCs/>
                      <w:sz w:val="21"/>
                    </w:rPr>
                  </w:pPr>
                  <w:r>
                    <w:rPr>
                      <w:rFonts w:hint="eastAsia" w:eastAsia="宋体"/>
                      <w:b/>
                      <w:bCs/>
                      <w:sz w:val="21"/>
                    </w:rPr>
                    <w:t>设备名称</w:t>
                  </w:r>
                </w:p>
              </w:tc>
              <w:tc>
                <w:tcPr>
                  <w:tcW w:w="1679" w:type="dxa"/>
                  <w:tcBorders>
                    <w:tl2br w:val="nil"/>
                    <w:tr2bl w:val="nil"/>
                  </w:tcBorders>
                  <w:vAlign w:val="center"/>
                </w:tcPr>
                <w:p w14:paraId="6BD1464E">
                  <w:pPr>
                    <w:pStyle w:val="30"/>
                    <w:widowControl/>
                    <w:spacing w:line="240" w:lineRule="auto"/>
                    <w:ind w:firstLine="0" w:firstLineChars="0"/>
                    <w:jc w:val="center"/>
                    <w:rPr>
                      <w:rFonts w:eastAsia="宋体"/>
                      <w:b/>
                      <w:bCs/>
                      <w:sz w:val="21"/>
                    </w:rPr>
                  </w:pPr>
                  <w:r>
                    <w:rPr>
                      <w:rFonts w:hint="eastAsia" w:eastAsia="宋体"/>
                      <w:b/>
                      <w:bCs/>
                      <w:sz w:val="21"/>
                    </w:rPr>
                    <w:t>规格型号</w:t>
                  </w:r>
                </w:p>
              </w:tc>
              <w:tc>
                <w:tcPr>
                  <w:tcW w:w="1679" w:type="dxa"/>
                  <w:tcBorders>
                    <w:tl2br w:val="nil"/>
                    <w:tr2bl w:val="nil"/>
                  </w:tcBorders>
                  <w:vAlign w:val="center"/>
                </w:tcPr>
                <w:p w14:paraId="56830DFA">
                  <w:pPr>
                    <w:pStyle w:val="30"/>
                    <w:widowControl/>
                    <w:spacing w:line="240" w:lineRule="auto"/>
                    <w:ind w:firstLine="0" w:firstLineChars="0"/>
                    <w:jc w:val="center"/>
                    <w:rPr>
                      <w:rFonts w:eastAsia="宋体"/>
                      <w:b/>
                      <w:bCs/>
                      <w:sz w:val="21"/>
                    </w:rPr>
                  </w:pPr>
                  <w:r>
                    <w:rPr>
                      <w:rFonts w:hint="eastAsia" w:eastAsia="宋体"/>
                      <w:b/>
                      <w:bCs/>
                      <w:sz w:val="21"/>
                    </w:rPr>
                    <w:t>单位</w:t>
                  </w:r>
                </w:p>
              </w:tc>
              <w:tc>
                <w:tcPr>
                  <w:tcW w:w="1679" w:type="dxa"/>
                  <w:tcBorders>
                    <w:tl2br w:val="nil"/>
                    <w:tr2bl w:val="nil"/>
                  </w:tcBorders>
                  <w:vAlign w:val="center"/>
                </w:tcPr>
                <w:p w14:paraId="7CBC2288">
                  <w:pPr>
                    <w:pStyle w:val="30"/>
                    <w:widowControl/>
                    <w:spacing w:line="240" w:lineRule="auto"/>
                    <w:ind w:firstLine="0" w:firstLineChars="0"/>
                    <w:jc w:val="center"/>
                    <w:rPr>
                      <w:rFonts w:eastAsia="宋体"/>
                      <w:b/>
                      <w:bCs/>
                      <w:sz w:val="21"/>
                    </w:rPr>
                  </w:pPr>
                  <w:r>
                    <w:rPr>
                      <w:rFonts w:hint="eastAsia" w:eastAsia="宋体"/>
                      <w:b/>
                      <w:bCs/>
                      <w:sz w:val="21"/>
                    </w:rPr>
                    <w:t>数量</w:t>
                  </w:r>
                </w:p>
              </w:tc>
            </w:tr>
            <w:tr w14:paraId="56AE36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394" w:type="dxa"/>
                  <w:gridSpan w:val="5"/>
                  <w:tcBorders>
                    <w:tl2br w:val="nil"/>
                    <w:tr2bl w:val="nil"/>
                  </w:tcBorders>
                  <w:vAlign w:val="center"/>
                </w:tcPr>
                <w:p w14:paraId="1E023B6B">
                  <w:pPr>
                    <w:pStyle w:val="30"/>
                    <w:widowControl/>
                    <w:spacing w:line="240" w:lineRule="auto"/>
                    <w:ind w:firstLine="0" w:firstLineChars="0"/>
                    <w:rPr>
                      <w:rFonts w:eastAsia="宋体"/>
                      <w:b/>
                      <w:bCs/>
                      <w:sz w:val="21"/>
                    </w:rPr>
                  </w:pPr>
                  <w:r>
                    <w:rPr>
                      <w:rFonts w:hint="eastAsia" w:eastAsia="宋体"/>
                      <w:b/>
                      <w:bCs/>
                      <w:sz w:val="21"/>
                    </w:rPr>
                    <w:t>一、土石方机械</w:t>
                  </w:r>
                </w:p>
              </w:tc>
            </w:tr>
            <w:tr w14:paraId="1CE0AB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747F52F5">
                  <w:pPr>
                    <w:pStyle w:val="30"/>
                    <w:widowControl/>
                    <w:numPr>
                      <w:ilvl w:val="0"/>
                      <w:numId w:val="1"/>
                    </w:numPr>
                    <w:spacing w:line="240" w:lineRule="auto"/>
                    <w:ind w:firstLineChars="0"/>
                    <w:jc w:val="center"/>
                    <w:rPr>
                      <w:rFonts w:eastAsia="宋体"/>
                      <w:sz w:val="21"/>
                    </w:rPr>
                  </w:pPr>
                </w:p>
              </w:tc>
              <w:tc>
                <w:tcPr>
                  <w:tcW w:w="2178" w:type="dxa"/>
                  <w:tcBorders>
                    <w:tl2br w:val="nil"/>
                    <w:tr2bl w:val="nil"/>
                  </w:tcBorders>
                </w:tcPr>
                <w:p w14:paraId="539E67CE">
                  <w:pPr>
                    <w:pStyle w:val="30"/>
                    <w:widowControl/>
                    <w:spacing w:line="240" w:lineRule="auto"/>
                    <w:ind w:firstLine="0" w:firstLineChars="0"/>
                    <w:jc w:val="center"/>
                    <w:rPr>
                      <w:rFonts w:eastAsia="宋体"/>
                      <w:sz w:val="21"/>
                    </w:rPr>
                  </w:pPr>
                  <w:r>
                    <w:rPr>
                      <w:rFonts w:hint="eastAsia" w:eastAsia="宋体"/>
                      <w:sz w:val="21"/>
                    </w:rPr>
                    <w:t>液压反铲</w:t>
                  </w:r>
                </w:p>
              </w:tc>
              <w:tc>
                <w:tcPr>
                  <w:tcW w:w="1679" w:type="dxa"/>
                  <w:tcBorders>
                    <w:tl2br w:val="nil"/>
                    <w:tr2bl w:val="nil"/>
                  </w:tcBorders>
                </w:tcPr>
                <w:p w14:paraId="7F012BC4">
                  <w:pPr>
                    <w:pStyle w:val="30"/>
                    <w:widowControl/>
                    <w:spacing w:line="240" w:lineRule="auto"/>
                    <w:ind w:firstLine="0" w:firstLineChars="0"/>
                    <w:jc w:val="center"/>
                    <w:rPr>
                      <w:rFonts w:eastAsia="宋体"/>
                      <w:sz w:val="21"/>
                    </w:rPr>
                  </w:pPr>
                  <w:r>
                    <w:rPr>
                      <w:rFonts w:hint="eastAsia" w:eastAsia="宋体"/>
                      <w:sz w:val="21"/>
                    </w:rPr>
                    <w:t>1.0～2.0m</w:t>
                  </w:r>
                  <w:r>
                    <w:rPr>
                      <w:rFonts w:hint="eastAsia" w:eastAsia="宋体"/>
                      <w:sz w:val="21"/>
                      <w:vertAlign w:val="superscript"/>
                    </w:rPr>
                    <w:t>3</w:t>
                  </w:r>
                </w:p>
              </w:tc>
              <w:tc>
                <w:tcPr>
                  <w:tcW w:w="1679" w:type="dxa"/>
                  <w:tcBorders>
                    <w:tl2br w:val="nil"/>
                    <w:tr2bl w:val="nil"/>
                  </w:tcBorders>
                </w:tcPr>
                <w:p w14:paraId="6AF8E78D">
                  <w:pPr>
                    <w:pStyle w:val="30"/>
                    <w:widowControl/>
                    <w:spacing w:line="240" w:lineRule="auto"/>
                    <w:ind w:firstLine="0" w:firstLineChars="0"/>
                    <w:jc w:val="center"/>
                    <w:rPr>
                      <w:rFonts w:eastAsia="宋体"/>
                      <w:sz w:val="21"/>
                    </w:rPr>
                  </w:pPr>
                  <w:r>
                    <w:rPr>
                      <w:rFonts w:hint="eastAsia" w:eastAsia="宋体"/>
                      <w:sz w:val="21"/>
                    </w:rPr>
                    <w:t>台</w:t>
                  </w:r>
                </w:p>
              </w:tc>
              <w:tc>
                <w:tcPr>
                  <w:tcW w:w="1679" w:type="dxa"/>
                  <w:tcBorders>
                    <w:tl2br w:val="nil"/>
                    <w:tr2bl w:val="nil"/>
                  </w:tcBorders>
                </w:tcPr>
                <w:p w14:paraId="69D7F50C">
                  <w:pPr>
                    <w:pStyle w:val="30"/>
                    <w:widowControl/>
                    <w:spacing w:line="240" w:lineRule="auto"/>
                    <w:ind w:firstLine="0" w:firstLineChars="0"/>
                    <w:jc w:val="center"/>
                    <w:rPr>
                      <w:rFonts w:eastAsia="宋体"/>
                      <w:sz w:val="21"/>
                    </w:rPr>
                  </w:pPr>
                  <w:r>
                    <w:rPr>
                      <w:rFonts w:hint="eastAsia" w:eastAsia="宋体"/>
                      <w:sz w:val="21"/>
                    </w:rPr>
                    <w:t>3</w:t>
                  </w:r>
                </w:p>
              </w:tc>
            </w:tr>
            <w:tr w14:paraId="518B8F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179" w:type="dxa"/>
                  <w:tcBorders>
                    <w:tl2br w:val="nil"/>
                    <w:tr2bl w:val="nil"/>
                  </w:tcBorders>
                  <w:vAlign w:val="center"/>
                </w:tcPr>
                <w:p w14:paraId="72279970">
                  <w:pPr>
                    <w:pStyle w:val="30"/>
                    <w:widowControl/>
                    <w:numPr>
                      <w:ilvl w:val="0"/>
                      <w:numId w:val="1"/>
                    </w:numPr>
                    <w:spacing w:line="240" w:lineRule="auto"/>
                    <w:ind w:firstLineChars="0"/>
                    <w:jc w:val="center"/>
                    <w:rPr>
                      <w:rFonts w:eastAsia="宋体"/>
                      <w:sz w:val="21"/>
                    </w:rPr>
                  </w:pPr>
                </w:p>
              </w:tc>
              <w:tc>
                <w:tcPr>
                  <w:tcW w:w="2178" w:type="dxa"/>
                  <w:tcBorders>
                    <w:tl2br w:val="nil"/>
                    <w:tr2bl w:val="nil"/>
                  </w:tcBorders>
                </w:tcPr>
                <w:p w14:paraId="74364C5B">
                  <w:pPr>
                    <w:pStyle w:val="30"/>
                    <w:widowControl/>
                    <w:spacing w:line="240" w:lineRule="auto"/>
                    <w:ind w:firstLine="0" w:firstLineChars="0"/>
                    <w:jc w:val="center"/>
                    <w:rPr>
                      <w:rFonts w:eastAsia="宋体"/>
                      <w:sz w:val="21"/>
                    </w:rPr>
                  </w:pPr>
                  <w:r>
                    <w:rPr>
                      <w:rFonts w:hint="eastAsia" w:eastAsia="宋体"/>
                      <w:sz w:val="21"/>
                    </w:rPr>
                    <w:t>长臂挖掘机</w:t>
                  </w:r>
                </w:p>
              </w:tc>
              <w:tc>
                <w:tcPr>
                  <w:tcW w:w="1679" w:type="dxa"/>
                  <w:tcBorders>
                    <w:tl2br w:val="nil"/>
                    <w:tr2bl w:val="nil"/>
                  </w:tcBorders>
                </w:tcPr>
                <w:p w14:paraId="621C23D6">
                  <w:pPr>
                    <w:pStyle w:val="30"/>
                    <w:widowControl/>
                    <w:spacing w:line="240" w:lineRule="auto"/>
                    <w:ind w:firstLine="0" w:firstLineChars="0"/>
                    <w:jc w:val="center"/>
                    <w:rPr>
                      <w:rFonts w:eastAsia="宋体"/>
                      <w:sz w:val="21"/>
                    </w:rPr>
                  </w:pPr>
                  <w:r>
                    <w:rPr>
                      <w:rFonts w:hint="eastAsia" w:eastAsia="宋体"/>
                      <w:sz w:val="21"/>
                    </w:rPr>
                    <w:t>1～2.0m</w:t>
                  </w:r>
                  <w:r>
                    <w:rPr>
                      <w:rFonts w:hint="eastAsia" w:eastAsia="宋体"/>
                      <w:sz w:val="21"/>
                      <w:vertAlign w:val="superscript"/>
                    </w:rPr>
                    <w:t>3</w:t>
                  </w:r>
                </w:p>
              </w:tc>
              <w:tc>
                <w:tcPr>
                  <w:tcW w:w="1679" w:type="dxa"/>
                  <w:tcBorders>
                    <w:tl2br w:val="nil"/>
                    <w:tr2bl w:val="nil"/>
                  </w:tcBorders>
                </w:tcPr>
                <w:p w14:paraId="6C97AE6B">
                  <w:pPr>
                    <w:pStyle w:val="30"/>
                    <w:widowControl/>
                    <w:spacing w:line="240" w:lineRule="auto"/>
                    <w:ind w:firstLine="0" w:firstLineChars="0"/>
                    <w:jc w:val="center"/>
                    <w:rPr>
                      <w:rFonts w:eastAsia="宋体"/>
                      <w:sz w:val="21"/>
                    </w:rPr>
                  </w:pPr>
                  <w:r>
                    <w:rPr>
                      <w:rFonts w:hint="eastAsia" w:eastAsia="宋体"/>
                      <w:sz w:val="21"/>
                    </w:rPr>
                    <w:t>台</w:t>
                  </w:r>
                </w:p>
              </w:tc>
              <w:tc>
                <w:tcPr>
                  <w:tcW w:w="1679" w:type="dxa"/>
                  <w:tcBorders>
                    <w:tl2br w:val="nil"/>
                    <w:tr2bl w:val="nil"/>
                  </w:tcBorders>
                </w:tcPr>
                <w:p w14:paraId="120B2B5F">
                  <w:pPr>
                    <w:pStyle w:val="30"/>
                    <w:widowControl/>
                    <w:spacing w:line="240" w:lineRule="auto"/>
                    <w:ind w:firstLine="0" w:firstLineChars="0"/>
                    <w:jc w:val="center"/>
                    <w:rPr>
                      <w:rFonts w:eastAsia="宋体"/>
                      <w:sz w:val="21"/>
                    </w:rPr>
                  </w:pPr>
                  <w:r>
                    <w:rPr>
                      <w:rFonts w:hint="eastAsia" w:eastAsia="宋体"/>
                      <w:sz w:val="21"/>
                    </w:rPr>
                    <w:t>1</w:t>
                  </w:r>
                </w:p>
              </w:tc>
            </w:tr>
            <w:tr w14:paraId="364B4A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7210508B">
                  <w:pPr>
                    <w:pStyle w:val="30"/>
                    <w:widowControl/>
                    <w:numPr>
                      <w:ilvl w:val="0"/>
                      <w:numId w:val="1"/>
                    </w:numPr>
                    <w:spacing w:line="240" w:lineRule="auto"/>
                    <w:ind w:firstLineChars="0"/>
                    <w:jc w:val="center"/>
                    <w:rPr>
                      <w:rFonts w:eastAsia="宋体"/>
                      <w:sz w:val="21"/>
                    </w:rPr>
                  </w:pPr>
                </w:p>
              </w:tc>
              <w:tc>
                <w:tcPr>
                  <w:tcW w:w="2178" w:type="dxa"/>
                  <w:tcBorders>
                    <w:tl2br w:val="nil"/>
                    <w:tr2bl w:val="nil"/>
                  </w:tcBorders>
                </w:tcPr>
                <w:p w14:paraId="76EEE9A4">
                  <w:pPr>
                    <w:pStyle w:val="30"/>
                    <w:widowControl/>
                    <w:spacing w:line="240" w:lineRule="auto"/>
                    <w:ind w:firstLine="0" w:firstLineChars="0"/>
                    <w:jc w:val="center"/>
                    <w:rPr>
                      <w:rFonts w:eastAsia="宋体"/>
                      <w:sz w:val="21"/>
                    </w:rPr>
                  </w:pPr>
                  <w:r>
                    <w:rPr>
                      <w:rFonts w:hint="eastAsia" w:eastAsia="宋体"/>
                      <w:sz w:val="21"/>
                    </w:rPr>
                    <w:t>液压劈裂机</w:t>
                  </w:r>
                </w:p>
              </w:tc>
              <w:tc>
                <w:tcPr>
                  <w:tcW w:w="1679" w:type="dxa"/>
                  <w:tcBorders>
                    <w:tl2br w:val="nil"/>
                    <w:tr2bl w:val="nil"/>
                  </w:tcBorders>
                </w:tcPr>
                <w:p w14:paraId="4686303D">
                  <w:pPr>
                    <w:pStyle w:val="30"/>
                    <w:widowControl/>
                    <w:spacing w:line="240" w:lineRule="auto"/>
                    <w:ind w:firstLine="0" w:firstLineChars="0"/>
                    <w:jc w:val="center"/>
                    <w:rPr>
                      <w:rFonts w:eastAsia="宋体"/>
                      <w:sz w:val="21"/>
                    </w:rPr>
                  </w:pPr>
                  <w:r>
                    <w:rPr>
                      <w:rFonts w:hint="eastAsia" w:eastAsia="宋体"/>
                      <w:sz w:val="21"/>
                    </w:rPr>
                    <w:t>YGF-450</w:t>
                  </w:r>
                </w:p>
              </w:tc>
              <w:tc>
                <w:tcPr>
                  <w:tcW w:w="1679" w:type="dxa"/>
                  <w:tcBorders>
                    <w:tl2br w:val="nil"/>
                    <w:tr2bl w:val="nil"/>
                  </w:tcBorders>
                </w:tcPr>
                <w:p w14:paraId="24F57126">
                  <w:pPr>
                    <w:pStyle w:val="30"/>
                    <w:widowControl/>
                    <w:spacing w:line="240" w:lineRule="auto"/>
                    <w:ind w:firstLine="0" w:firstLineChars="0"/>
                    <w:jc w:val="center"/>
                    <w:rPr>
                      <w:rFonts w:eastAsia="宋体"/>
                      <w:sz w:val="21"/>
                    </w:rPr>
                  </w:pPr>
                  <w:r>
                    <w:rPr>
                      <w:rFonts w:hint="eastAsia" w:eastAsia="宋体"/>
                      <w:sz w:val="21"/>
                    </w:rPr>
                    <w:t>台</w:t>
                  </w:r>
                </w:p>
              </w:tc>
              <w:tc>
                <w:tcPr>
                  <w:tcW w:w="1679" w:type="dxa"/>
                  <w:tcBorders>
                    <w:tl2br w:val="nil"/>
                    <w:tr2bl w:val="nil"/>
                  </w:tcBorders>
                </w:tcPr>
                <w:p w14:paraId="7702823D">
                  <w:pPr>
                    <w:pStyle w:val="30"/>
                    <w:widowControl/>
                    <w:spacing w:line="240" w:lineRule="auto"/>
                    <w:ind w:firstLine="0" w:firstLineChars="0"/>
                    <w:jc w:val="center"/>
                    <w:rPr>
                      <w:rFonts w:eastAsia="宋体"/>
                      <w:sz w:val="21"/>
                    </w:rPr>
                  </w:pPr>
                  <w:r>
                    <w:rPr>
                      <w:rFonts w:hint="eastAsia" w:eastAsia="宋体"/>
                      <w:sz w:val="21"/>
                    </w:rPr>
                    <w:t>2</w:t>
                  </w:r>
                </w:p>
              </w:tc>
            </w:tr>
            <w:tr w14:paraId="2EEE32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016D8A32">
                  <w:pPr>
                    <w:pStyle w:val="30"/>
                    <w:widowControl/>
                    <w:numPr>
                      <w:ilvl w:val="0"/>
                      <w:numId w:val="1"/>
                    </w:numPr>
                    <w:spacing w:line="240" w:lineRule="auto"/>
                    <w:ind w:firstLineChars="0"/>
                    <w:jc w:val="center"/>
                    <w:rPr>
                      <w:rFonts w:eastAsia="宋体"/>
                      <w:sz w:val="21"/>
                    </w:rPr>
                  </w:pPr>
                </w:p>
              </w:tc>
              <w:tc>
                <w:tcPr>
                  <w:tcW w:w="2178" w:type="dxa"/>
                  <w:tcBorders>
                    <w:tl2br w:val="nil"/>
                    <w:tr2bl w:val="nil"/>
                  </w:tcBorders>
                </w:tcPr>
                <w:p w14:paraId="625B5211">
                  <w:pPr>
                    <w:pStyle w:val="30"/>
                    <w:widowControl/>
                    <w:spacing w:line="240" w:lineRule="auto"/>
                    <w:ind w:firstLine="0" w:firstLineChars="0"/>
                    <w:jc w:val="center"/>
                    <w:rPr>
                      <w:rFonts w:eastAsia="宋体"/>
                      <w:sz w:val="21"/>
                    </w:rPr>
                  </w:pPr>
                  <w:r>
                    <w:rPr>
                      <w:rFonts w:hint="eastAsia" w:eastAsia="宋体"/>
                      <w:sz w:val="21"/>
                    </w:rPr>
                    <w:t>装载机</w:t>
                  </w:r>
                </w:p>
              </w:tc>
              <w:tc>
                <w:tcPr>
                  <w:tcW w:w="1679" w:type="dxa"/>
                  <w:tcBorders>
                    <w:tl2br w:val="nil"/>
                    <w:tr2bl w:val="nil"/>
                  </w:tcBorders>
                </w:tcPr>
                <w:p w14:paraId="64682EF7">
                  <w:pPr>
                    <w:pStyle w:val="30"/>
                    <w:widowControl/>
                    <w:spacing w:line="240" w:lineRule="auto"/>
                    <w:ind w:firstLine="0" w:firstLineChars="0"/>
                    <w:jc w:val="center"/>
                    <w:rPr>
                      <w:rFonts w:eastAsia="宋体"/>
                      <w:sz w:val="21"/>
                    </w:rPr>
                  </w:pPr>
                  <w:r>
                    <w:rPr>
                      <w:rFonts w:hint="eastAsia" w:eastAsia="宋体"/>
                      <w:sz w:val="21"/>
                    </w:rPr>
                    <w:t>2.0m3</w:t>
                  </w:r>
                </w:p>
              </w:tc>
              <w:tc>
                <w:tcPr>
                  <w:tcW w:w="1679" w:type="dxa"/>
                  <w:tcBorders>
                    <w:tl2br w:val="nil"/>
                    <w:tr2bl w:val="nil"/>
                  </w:tcBorders>
                </w:tcPr>
                <w:p w14:paraId="0BDEA867">
                  <w:pPr>
                    <w:pStyle w:val="30"/>
                    <w:widowControl/>
                    <w:spacing w:line="240" w:lineRule="auto"/>
                    <w:ind w:firstLine="0" w:firstLineChars="0"/>
                    <w:jc w:val="center"/>
                    <w:rPr>
                      <w:rFonts w:eastAsia="宋体"/>
                      <w:sz w:val="21"/>
                    </w:rPr>
                  </w:pPr>
                  <w:r>
                    <w:rPr>
                      <w:rFonts w:hint="eastAsia" w:eastAsia="宋体"/>
                      <w:sz w:val="21"/>
                    </w:rPr>
                    <w:t>台</w:t>
                  </w:r>
                </w:p>
              </w:tc>
              <w:tc>
                <w:tcPr>
                  <w:tcW w:w="1679" w:type="dxa"/>
                  <w:tcBorders>
                    <w:tl2br w:val="nil"/>
                    <w:tr2bl w:val="nil"/>
                  </w:tcBorders>
                </w:tcPr>
                <w:p w14:paraId="77EF35C1">
                  <w:pPr>
                    <w:pStyle w:val="30"/>
                    <w:widowControl/>
                    <w:spacing w:line="240" w:lineRule="auto"/>
                    <w:ind w:firstLine="0" w:firstLineChars="0"/>
                    <w:jc w:val="center"/>
                    <w:rPr>
                      <w:rFonts w:eastAsia="宋体"/>
                      <w:sz w:val="21"/>
                    </w:rPr>
                  </w:pPr>
                  <w:r>
                    <w:rPr>
                      <w:rFonts w:hint="eastAsia" w:eastAsia="宋体"/>
                      <w:sz w:val="21"/>
                    </w:rPr>
                    <w:t>2</w:t>
                  </w:r>
                </w:p>
              </w:tc>
            </w:tr>
            <w:tr w14:paraId="29038E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030545E6">
                  <w:pPr>
                    <w:pStyle w:val="30"/>
                    <w:widowControl/>
                    <w:numPr>
                      <w:ilvl w:val="0"/>
                      <w:numId w:val="1"/>
                    </w:numPr>
                    <w:spacing w:line="240" w:lineRule="auto"/>
                    <w:ind w:firstLineChars="0"/>
                    <w:jc w:val="center"/>
                    <w:rPr>
                      <w:rFonts w:eastAsia="宋体"/>
                      <w:sz w:val="21"/>
                    </w:rPr>
                  </w:pPr>
                </w:p>
              </w:tc>
              <w:tc>
                <w:tcPr>
                  <w:tcW w:w="2178" w:type="dxa"/>
                  <w:tcBorders>
                    <w:tl2br w:val="nil"/>
                    <w:tr2bl w:val="nil"/>
                  </w:tcBorders>
                </w:tcPr>
                <w:p w14:paraId="7C574757">
                  <w:pPr>
                    <w:pStyle w:val="30"/>
                    <w:widowControl/>
                    <w:spacing w:line="240" w:lineRule="auto"/>
                    <w:ind w:firstLine="0" w:firstLineChars="0"/>
                    <w:jc w:val="center"/>
                    <w:rPr>
                      <w:rFonts w:eastAsia="宋体"/>
                      <w:sz w:val="21"/>
                    </w:rPr>
                  </w:pPr>
                  <w:r>
                    <w:rPr>
                      <w:rFonts w:hint="eastAsia" w:eastAsia="宋体"/>
                      <w:sz w:val="21"/>
                    </w:rPr>
                    <w:t>推土机</w:t>
                  </w:r>
                </w:p>
              </w:tc>
              <w:tc>
                <w:tcPr>
                  <w:tcW w:w="1679" w:type="dxa"/>
                  <w:tcBorders>
                    <w:tl2br w:val="nil"/>
                    <w:tr2bl w:val="nil"/>
                  </w:tcBorders>
                </w:tcPr>
                <w:p w14:paraId="3B58DD0E">
                  <w:pPr>
                    <w:pStyle w:val="30"/>
                    <w:widowControl/>
                    <w:spacing w:line="240" w:lineRule="auto"/>
                    <w:ind w:firstLine="0" w:firstLineChars="0"/>
                    <w:jc w:val="center"/>
                    <w:rPr>
                      <w:rFonts w:eastAsia="宋体"/>
                      <w:sz w:val="21"/>
                    </w:rPr>
                  </w:pPr>
                  <w:r>
                    <w:rPr>
                      <w:rFonts w:hint="eastAsia" w:eastAsia="宋体"/>
                      <w:sz w:val="21"/>
                    </w:rPr>
                    <w:t>74~ 103KW</w:t>
                  </w:r>
                </w:p>
              </w:tc>
              <w:tc>
                <w:tcPr>
                  <w:tcW w:w="1679" w:type="dxa"/>
                  <w:tcBorders>
                    <w:tl2br w:val="nil"/>
                    <w:tr2bl w:val="nil"/>
                  </w:tcBorders>
                </w:tcPr>
                <w:p w14:paraId="5B2523A6">
                  <w:pPr>
                    <w:pStyle w:val="30"/>
                    <w:widowControl/>
                    <w:spacing w:line="240" w:lineRule="auto"/>
                    <w:ind w:firstLine="0" w:firstLineChars="0"/>
                    <w:jc w:val="center"/>
                    <w:rPr>
                      <w:rFonts w:eastAsia="宋体"/>
                      <w:sz w:val="21"/>
                    </w:rPr>
                  </w:pPr>
                  <w:r>
                    <w:rPr>
                      <w:rFonts w:hint="eastAsia" w:eastAsia="宋体"/>
                      <w:sz w:val="21"/>
                    </w:rPr>
                    <w:t>台</w:t>
                  </w:r>
                </w:p>
              </w:tc>
              <w:tc>
                <w:tcPr>
                  <w:tcW w:w="1679" w:type="dxa"/>
                  <w:tcBorders>
                    <w:tl2br w:val="nil"/>
                    <w:tr2bl w:val="nil"/>
                  </w:tcBorders>
                </w:tcPr>
                <w:p w14:paraId="3AD56EAC">
                  <w:pPr>
                    <w:pStyle w:val="30"/>
                    <w:widowControl/>
                    <w:spacing w:line="240" w:lineRule="auto"/>
                    <w:ind w:firstLine="0" w:firstLineChars="0"/>
                    <w:jc w:val="center"/>
                    <w:rPr>
                      <w:rFonts w:eastAsia="宋体"/>
                      <w:sz w:val="21"/>
                    </w:rPr>
                  </w:pPr>
                  <w:r>
                    <w:rPr>
                      <w:rFonts w:hint="eastAsia" w:eastAsia="宋体"/>
                      <w:sz w:val="21"/>
                    </w:rPr>
                    <w:t>2</w:t>
                  </w:r>
                </w:p>
              </w:tc>
            </w:tr>
            <w:tr w14:paraId="4D6602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394" w:type="dxa"/>
                  <w:gridSpan w:val="5"/>
                  <w:tcBorders>
                    <w:tl2br w:val="nil"/>
                    <w:tr2bl w:val="nil"/>
                  </w:tcBorders>
                  <w:vAlign w:val="center"/>
                </w:tcPr>
                <w:p w14:paraId="087A0D89">
                  <w:pPr>
                    <w:pStyle w:val="30"/>
                    <w:widowControl/>
                    <w:spacing w:line="240" w:lineRule="auto"/>
                    <w:ind w:firstLine="0" w:firstLineChars="0"/>
                    <w:rPr>
                      <w:rFonts w:eastAsia="宋体"/>
                      <w:sz w:val="21"/>
                    </w:rPr>
                  </w:pPr>
                  <w:r>
                    <w:rPr>
                      <w:rFonts w:hint="eastAsia" w:eastAsia="宋体"/>
                      <w:b/>
                      <w:bCs/>
                      <w:sz w:val="21"/>
                    </w:rPr>
                    <w:t>二、运输设备</w:t>
                  </w:r>
                </w:p>
              </w:tc>
            </w:tr>
            <w:tr w14:paraId="798630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5D7FCDBA">
                  <w:pPr>
                    <w:pStyle w:val="30"/>
                    <w:widowControl/>
                    <w:numPr>
                      <w:ilvl w:val="0"/>
                      <w:numId w:val="2"/>
                    </w:numPr>
                    <w:spacing w:line="240" w:lineRule="auto"/>
                    <w:ind w:firstLineChars="0"/>
                    <w:jc w:val="center"/>
                    <w:rPr>
                      <w:rFonts w:eastAsia="宋体"/>
                      <w:sz w:val="21"/>
                    </w:rPr>
                  </w:pPr>
                </w:p>
              </w:tc>
              <w:tc>
                <w:tcPr>
                  <w:tcW w:w="2178" w:type="dxa"/>
                  <w:tcBorders>
                    <w:tl2br w:val="nil"/>
                    <w:tr2bl w:val="nil"/>
                  </w:tcBorders>
                </w:tcPr>
                <w:p w14:paraId="0B044059">
                  <w:pPr>
                    <w:pStyle w:val="30"/>
                    <w:widowControl/>
                    <w:spacing w:line="240" w:lineRule="auto"/>
                    <w:ind w:firstLine="0" w:firstLineChars="0"/>
                    <w:jc w:val="center"/>
                    <w:rPr>
                      <w:rFonts w:eastAsia="宋体"/>
                      <w:sz w:val="21"/>
                    </w:rPr>
                  </w:pPr>
                  <w:r>
                    <w:rPr>
                      <w:rFonts w:hint="eastAsia" w:eastAsia="宋体"/>
                      <w:sz w:val="21"/>
                    </w:rPr>
                    <w:t>汽车起重机</w:t>
                  </w:r>
                </w:p>
              </w:tc>
              <w:tc>
                <w:tcPr>
                  <w:tcW w:w="1679" w:type="dxa"/>
                  <w:tcBorders>
                    <w:tl2br w:val="nil"/>
                    <w:tr2bl w:val="nil"/>
                  </w:tcBorders>
                </w:tcPr>
                <w:p w14:paraId="3D255FC3">
                  <w:pPr>
                    <w:pStyle w:val="30"/>
                    <w:widowControl/>
                    <w:spacing w:line="240" w:lineRule="auto"/>
                    <w:ind w:firstLine="0" w:firstLineChars="0"/>
                    <w:jc w:val="center"/>
                    <w:rPr>
                      <w:rFonts w:eastAsia="宋体"/>
                      <w:sz w:val="21"/>
                    </w:rPr>
                  </w:pPr>
                  <w:r>
                    <w:rPr>
                      <w:rFonts w:hint="eastAsia" w:eastAsia="宋体"/>
                      <w:sz w:val="21"/>
                    </w:rPr>
                    <w:t>25t</w:t>
                  </w:r>
                </w:p>
              </w:tc>
              <w:tc>
                <w:tcPr>
                  <w:tcW w:w="1679" w:type="dxa"/>
                  <w:tcBorders>
                    <w:tl2br w:val="nil"/>
                    <w:tr2bl w:val="nil"/>
                  </w:tcBorders>
                </w:tcPr>
                <w:p w14:paraId="5DD795FA">
                  <w:pPr>
                    <w:pStyle w:val="30"/>
                    <w:widowControl/>
                    <w:spacing w:line="240" w:lineRule="auto"/>
                    <w:ind w:firstLine="0" w:firstLineChars="0"/>
                    <w:jc w:val="center"/>
                    <w:rPr>
                      <w:rFonts w:eastAsia="宋体"/>
                      <w:sz w:val="21"/>
                    </w:rPr>
                  </w:pPr>
                  <w:r>
                    <w:rPr>
                      <w:rFonts w:hint="eastAsia" w:eastAsia="宋体"/>
                      <w:sz w:val="21"/>
                    </w:rPr>
                    <w:t>辆</w:t>
                  </w:r>
                </w:p>
              </w:tc>
              <w:tc>
                <w:tcPr>
                  <w:tcW w:w="1679" w:type="dxa"/>
                  <w:tcBorders>
                    <w:tl2br w:val="nil"/>
                    <w:tr2bl w:val="nil"/>
                  </w:tcBorders>
                </w:tcPr>
                <w:p w14:paraId="32A1855E">
                  <w:pPr>
                    <w:pStyle w:val="30"/>
                    <w:widowControl/>
                    <w:spacing w:line="240" w:lineRule="auto"/>
                    <w:ind w:firstLine="0" w:firstLineChars="0"/>
                    <w:jc w:val="center"/>
                    <w:rPr>
                      <w:rFonts w:eastAsia="宋体"/>
                      <w:sz w:val="21"/>
                    </w:rPr>
                  </w:pPr>
                  <w:r>
                    <w:rPr>
                      <w:rFonts w:hint="eastAsia" w:eastAsia="宋体"/>
                      <w:sz w:val="21"/>
                    </w:rPr>
                    <w:t>2</w:t>
                  </w:r>
                </w:p>
              </w:tc>
            </w:tr>
            <w:tr w14:paraId="326921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2BEE58D0">
                  <w:pPr>
                    <w:pStyle w:val="30"/>
                    <w:widowControl/>
                    <w:numPr>
                      <w:ilvl w:val="0"/>
                      <w:numId w:val="2"/>
                    </w:numPr>
                    <w:spacing w:line="240" w:lineRule="auto"/>
                    <w:ind w:firstLineChars="0"/>
                    <w:jc w:val="center"/>
                    <w:rPr>
                      <w:rFonts w:eastAsia="宋体"/>
                      <w:sz w:val="21"/>
                    </w:rPr>
                  </w:pPr>
                </w:p>
              </w:tc>
              <w:tc>
                <w:tcPr>
                  <w:tcW w:w="2178" w:type="dxa"/>
                  <w:tcBorders>
                    <w:tl2br w:val="nil"/>
                    <w:tr2bl w:val="nil"/>
                  </w:tcBorders>
                </w:tcPr>
                <w:p w14:paraId="71D1E13A">
                  <w:pPr>
                    <w:pStyle w:val="30"/>
                    <w:widowControl/>
                    <w:spacing w:line="240" w:lineRule="auto"/>
                    <w:ind w:firstLine="0" w:firstLineChars="0"/>
                    <w:jc w:val="center"/>
                    <w:rPr>
                      <w:rFonts w:eastAsia="宋体"/>
                      <w:sz w:val="21"/>
                    </w:rPr>
                  </w:pPr>
                  <w:r>
                    <w:rPr>
                      <w:rFonts w:hint="eastAsia" w:eastAsia="宋体"/>
                      <w:sz w:val="21"/>
                    </w:rPr>
                    <w:t>自卸汽车</w:t>
                  </w:r>
                </w:p>
              </w:tc>
              <w:tc>
                <w:tcPr>
                  <w:tcW w:w="1679" w:type="dxa"/>
                  <w:tcBorders>
                    <w:tl2br w:val="nil"/>
                    <w:tr2bl w:val="nil"/>
                  </w:tcBorders>
                </w:tcPr>
                <w:p w14:paraId="1BBA5AB8">
                  <w:pPr>
                    <w:pStyle w:val="30"/>
                    <w:widowControl/>
                    <w:spacing w:line="240" w:lineRule="auto"/>
                    <w:ind w:firstLine="0" w:firstLineChars="0"/>
                    <w:jc w:val="center"/>
                    <w:rPr>
                      <w:rFonts w:eastAsia="宋体"/>
                      <w:sz w:val="21"/>
                    </w:rPr>
                  </w:pPr>
                  <w:r>
                    <w:rPr>
                      <w:rFonts w:hint="eastAsia" w:eastAsia="宋体"/>
                      <w:sz w:val="21"/>
                    </w:rPr>
                    <w:t>10～15t</w:t>
                  </w:r>
                </w:p>
              </w:tc>
              <w:tc>
                <w:tcPr>
                  <w:tcW w:w="1679" w:type="dxa"/>
                  <w:tcBorders>
                    <w:tl2br w:val="nil"/>
                    <w:tr2bl w:val="nil"/>
                  </w:tcBorders>
                </w:tcPr>
                <w:p w14:paraId="57370701">
                  <w:pPr>
                    <w:pStyle w:val="30"/>
                    <w:widowControl/>
                    <w:spacing w:line="240" w:lineRule="auto"/>
                    <w:ind w:firstLine="0" w:firstLineChars="0"/>
                    <w:jc w:val="center"/>
                    <w:rPr>
                      <w:rFonts w:eastAsia="宋体"/>
                      <w:sz w:val="21"/>
                    </w:rPr>
                  </w:pPr>
                  <w:r>
                    <w:rPr>
                      <w:rFonts w:hint="eastAsia" w:eastAsia="宋体"/>
                      <w:sz w:val="21"/>
                    </w:rPr>
                    <w:t>辆</w:t>
                  </w:r>
                </w:p>
              </w:tc>
              <w:tc>
                <w:tcPr>
                  <w:tcW w:w="1679" w:type="dxa"/>
                  <w:tcBorders>
                    <w:tl2br w:val="nil"/>
                    <w:tr2bl w:val="nil"/>
                  </w:tcBorders>
                </w:tcPr>
                <w:p w14:paraId="75149A1C">
                  <w:pPr>
                    <w:pStyle w:val="30"/>
                    <w:widowControl/>
                    <w:spacing w:line="240" w:lineRule="auto"/>
                    <w:ind w:firstLine="0" w:firstLineChars="0"/>
                    <w:jc w:val="center"/>
                    <w:rPr>
                      <w:rFonts w:eastAsia="宋体"/>
                      <w:sz w:val="21"/>
                    </w:rPr>
                  </w:pPr>
                  <w:r>
                    <w:rPr>
                      <w:rFonts w:hint="eastAsia" w:eastAsia="宋体"/>
                      <w:sz w:val="21"/>
                    </w:rPr>
                    <w:t>15</w:t>
                  </w:r>
                </w:p>
              </w:tc>
            </w:tr>
            <w:tr w14:paraId="5B3013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06438D06">
                  <w:pPr>
                    <w:pStyle w:val="30"/>
                    <w:widowControl/>
                    <w:numPr>
                      <w:ilvl w:val="0"/>
                      <w:numId w:val="2"/>
                    </w:numPr>
                    <w:spacing w:line="240" w:lineRule="auto"/>
                    <w:ind w:firstLineChars="0"/>
                    <w:jc w:val="center"/>
                    <w:rPr>
                      <w:rFonts w:eastAsia="宋体"/>
                      <w:sz w:val="21"/>
                    </w:rPr>
                  </w:pPr>
                </w:p>
              </w:tc>
              <w:tc>
                <w:tcPr>
                  <w:tcW w:w="2178" w:type="dxa"/>
                  <w:tcBorders>
                    <w:tl2br w:val="nil"/>
                    <w:tr2bl w:val="nil"/>
                  </w:tcBorders>
                </w:tcPr>
                <w:p w14:paraId="6885CBD6">
                  <w:pPr>
                    <w:pStyle w:val="30"/>
                    <w:widowControl/>
                    <w:spacing w:line="240" w:lineRule="auto"/>
                    <w:ind w:firstLine="0" w:firstLineChars="0"/>
                    <w:jc w:val="center"/>
                    <w:rPr>
                      <w:rFonts w:eastAsia="宋体"/>
                      <w:sz w:val="21"/>
                    </w:rPr>
                  </w:pPr>
                  <w:r>
                    <w:rPr>
                      <w:rFonts w:hint="eastAsia" w:eastAsia="宋体"/>
                      <w:sz w:val="21"/>
                    </w:rPr>
                    <w:t>自卸汽车</w:t>
                  </w:r>
                </w:p>
              </w:tc>
              <w:tc>
                <w:tcPr>
                  <w:tcW w:w="1679" w:type="dxa"/>
                  <w:tcBorders>
                    <w:tl2br w:val="nil"/>
                    <w:tr2bl w:val="nil"/>
                  </w:tcBorders>
                </w:tcPr>
                <w:p w14:paraId="6FE9B478">
                  <w:pPr>
                    <w:pStyle w:val="30"/>
                    <w:widowControl/>
                    <w:spacing w:line="240" w:lineRule="auto"/>
                    <w:ind w:firstLine="0" w:firstLineChars="0"/>
                    <w:jc w:val="center"/>
                    <w:rPr>
                      <w:rFonts w:eastAsia="宋体"/>
                      <w:sz w:val="21"/>
                    </w:rPr>
                  </w:pPr>
                  <w:r>
                    <w:rPr>
                      <w:rFonts w:hint="eastAsia" w:eastAsia="宋体"/>
                      <w:sz w:val="21"/>
                    </w:rPr>
                    <w:t>15～20t</w:t>
                  </w:r>
                </w:p>
              </w:tc>
              <w:tc>
                <w:tcPr>
                  <w:tcW w:w="1679" w:type="dxa"/>
                  <w:tcBorders>
                    <w:tl2br w:val="nil"/>
                    <w:tr2bl w:val="nil"/>
                  </w:tcBorders>
                </w:tcPr>
                <w:p w14:paraId="73BD56BA">
                  <w:pPr>
                    <w:pStyle w:val="30"/>
                    <w:widowControl/>
                    <w:spacing w:line="240" w:lineRule="auto"/>
                    <w:ind w:firstLine="0" w:firstLineChars="0"/>
                    <w:jc w:val="center"/>
                    <w:rPr>
                      <w:rFonts w:eastAsia="宋体"/>
                      <w:sz w:val="21"/>
                    </w:rPr>
                  </w:pPr>
                  <w:r>
                    <w:rPr>
                      <w:rFonts w:hint="eastAsia" w:eastAsia="宋体"/>
                      <w:sz w:val="21"/>
                    </w:rPr>
                    <w:t>辆</w:t>
                  </w:r>
                </w:p>
              </w:tc>
              <w:tc>
                <w:tcPr>
                  <w:tcW w:w="1679" w:type="dxa"/>
                  <w:tcBorders>
                    <w:tl2br w:val="nil"/>
                    <w:tr2bl w:val="nil"/>
                  </w:tcBorders>
                </w:tcPr>
                <w:p w14:paraId="41B51694">
                  <w:pPr>
                    <w:pStyle w:val="30"/>
                    <w:widowControl/>
                    <w:spacing w:line="240" w:lineRule="auto"/>
                    <w:ind w:firstLine="0" w:firstLineChars="0"/>
                    <w:jc w:val="center"/>
                    <w:rPr>
                      <w:rFonts w:eastAsia="宋体"/>
                      <w:sz w:val="21"/>
                    </w:rPr>
                  </w:pPr>
                  <w:r>
                    <w:rPr>
                      <w:rFonts w:hint="eastAsia" w:eastAsia="宋体"/>
                      <w:sz w:val="21"/>
                    </w:rPr>
                    <w:t>15</w:t>
                  </w:r>
                </w:p>
              </w:tc>
            </w:tr>
            <w:tr w14:paraId="102FA03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5E5945B3">
                  <w:pPr>
                    <w:pStyle w:val="30"/>
                    <w:widowControl/>
                    <w:numPr>
                      <w:ilvl w:val="0"/>
                      <w:numId w:val="2"/>
                    </w:numPr>
                    <w:spacing w:line="240" w:lineRule="auto"/>
                    <w:ind w:firstLineChars="0"/>
                    <w:jc w:val="center"/>
                    <w:rPr>
                      <w:rFonts w:eastAsia="宋体"/>
                      <w:sz w:val="21"/>
                    </w:rPr>
                  </w:pPr>
                </w:p>
              </w:tc>
              <w:tc>
                <w:tcPr>
                  <w:tcW w:w="2178" w:type="dxa"/>
                  <w:tcBorders>
                    <w:tl2br w:val="nil"/>
                    <w:tr2bl w:val="nil"/>
                  </w:tcBorders>
                </w:tcPr>
                <w:p w14:paraId="21D3D6E5">
                  <w:pPr>
                    <w:pStyle w:val="30"/>
                    <w:widowControl/>
                    <w:spacing w:line="240" w:lineRule="auto"/>
                    <w:ind w:firstLine="0" w:firstLineChars="0"/>
                    <w:jc w:val="center"/>
                    <w:rPr>
                      <w:rFonts w:eastAsia="宋体"/>
                      <w:sz w:val="21"/>
                    </w:rPr>
                  </w:pPr>
                  <w:r>
                    <w:rPr>
                      <w:rFonts w:hint="eastAsia" w:eastAsia="宋体"/>
                      <w:sz w:val="21"/>
                    </w:rPr>
                    <w:t>混凝土搅拌运输车</w:t>
                  </w:r>
                </w:p>
              </w:tc>
              <w:tc>
                <w:tcPr>
                  <w:tcW w:w="1679" w:type="dxa"/>
                  <w:tcBorders>
                    <w:tl2br w:val="nil"/>
                    <w:tr2bl w:val="nil"/>
                  </w:tcBorders>
                </w:tcPr>
                <w:p w14:paraId="56E7D420">
                  <w:pPr>
                    <w:pStyle w:val="30"/>
                    <w:widowControl/>
                    <w:spacing w:line="240" w:lineRule="auto"/>
                    <w:ind w:firstLine="0" w:firstLineChars="0"/>
                    <w:jc w:val="center"/>
                    <w:rPr>
                      <w:rFonts w:eastAsia="宋体"/>
                      <w:sz w:val="21"/>
                    </w:rPr>
                  </w:pPr>
                  <w:r>
                    <w:rPr>
                      <w:rFonts w:hint="eastAsia" w:eastAsia="宋体"/>
                      <w:sz w:val="21"/>
                    </w:rPr>
                    <w:t>6~ 12m</w:t>
                  </w:r>
                  <w:r>
                    <w:rPr>
                      <w:rFonts w:hint="eastAsia" w:eastAsia="宋体"/>
                      <w:sz w:val="21"/>
                      <w:vertAlign w:val="superscript"/>
                    </w:rPr>
                    <w:t>3</w:t>
                  </w:r>
                </w:p>
              </w:tc>
              <w:tc>
                <w:tcPr>
                  <w:tcW w:w="1679" w:type="dxa"/>
                  <w:tcBorders>
                    <w:tl2br w:val="nil"/>
                    <w:tr2bl w:val="nil"/>
                  </w:tcBorders>
                </w:tcPr>
                <w:p w14:paraId="16C1ADAA">
                  <w:pPr>
                    <w:pStyle w:val="30"/>
                    <w:widowControl/>
                    <w:spacing w:line="240" w:lineRule="auto"/>
                    <w:ind w:firstLine="0" w:firstLineChars="0"/>
                    <w:jc w:val="center"/>
                    <w:rPr>
                      <w:rFonts w:eastAsia="宋体"/>
                      <w:sz w:val="21"/>
                    </w:rPr>
                  </w:pPr>
                  <w:r>
                    <w:rPr>
                      <w:rFonts w:hint="eastAsia" w:eastAsia="宋体"/>
                      <w:sz w:val="21"/>
                    </w:rPr>
                    <w:t>辆</w:t>
                  </w:r>
                </w:p>
              </w:tc>
              <w:tc>
                <w:tcPr>
                  <w:tcW w:w="1679" w:type="dxa"/>
                  <w:tcBorders>
                    <w:tl2br w:val="nil"/>
                    <w:tr2bl w:val="nil"/>
                  </w:tcBorders>
                </w:tcPr>
                <w:p w14:paraId="1F3004AA">
                  <w:pPr>
                    <w:pStyle w:val="30"/>
                    <w:widowControl/>
                    <w:spacing w:line="240" w:lineRule="auto"/>
                    <w:ind w:firstLine="0" w:firstLineChars="0"/>
                    <w:jc w:val="center"/>
                    <w:rPr>
                      <w:rFonts w:eastAsia="宋体"/>
                      <w:sz w:val="21"/>
                    </w:rPr>
                  </w:pPr>
                  <w:r>
                    <w:rPr>
                      <w:rFonts w:hint="eastAsia" w:eastAsia="宋体"/>
                      <w:sz w:val="21"/>
                    </w:rPr>
                    <w:t>6</w:t>
                  </w:r>
                </w:p>
              </w:tc>
            </w:tr>
            <w:tr w14:paraId="4C8404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0E210E48">
                  <w:pPr>
                    <w:pStyle w:val="30"/>
                    <w:widowControl/>
                    <w:numPr>
                      <w:ilvl w:val="0"/>
                      <w:numId w:val="2"/>
                    </w:numPr>
                    <w:spacing w:line="240" w:lineRule="auto"/>
                    <w:ind w:firstLineChars="0"/>
                    <w:jc w:val="center"/>
                    <w:rPr>
                      <w:rFonts w:eastAsia="宋体"/>
                      <w:sz w:val="21"/>
                    </w:rPr>
                  </w:pPr>
                </w:p>
              </w:tc>
              <w:tc>
                <w:tcPr>
                  <w:tcW w:w="2178" w:type="dxa"/>
                  <w:tcBorders>
                    <w:tl2br w:val="nil"/>
                    <w:tr2bl w:val="nil"/>
                  </w:tcBorders>
                </w:tcPr>
                <w:p w14:paraId="252DA684">
                  <w:pPr>
                    <w:pStyle w:val="30"/>
                    <w:widowControl/>
                    <w:spacing w:line="240" w:lineRule="auto"/>
                    <w:ind w:firstLine="0" w:firstLineChars="0"/>
                    <w:jc w:val="center"/>
                    <w:rPr>
                      <w:rFonts w:eastAsia="宋体"/>
                      <w:sz w:val="21"/>
                    </w:rPr>
                  </w:pPr>
                  <w:r>
                    <w:rPr>
                      <w:rFonts w:hint="eastAsia" w:eastAsia="宋体"/>
                      <w:sz w:val="21"/>
                    </w:rPr>
                    <w:t>机械翻斗车</w:t>
                  </w:r>
                </w:p>
              </w:tc>
              <w:tc>
                <w:tcPr>
                  <w:tcW w:w="1679" w:type="dxa"/>
                  <w:tcBorders>
                    <w:tl2br w:val="nil"/>
                    <w:tr2bl w:val="nil"/>
                  </w:tcBorders>
                </w:tcPr>
                <w:p w14:paraId="6359DEEE">
                  <w:pPr>
                    <w:pStyle w:val="30"/>
                    <w:widowControl/>
                    <w:spacing w:line="240" w:lineRule="auto"/>
                    <w:ind w:firstLine="0" w:firstLineChars="0"/>
                    <w:jc w:val="center"/>
                    <w:rPr>
                      <w:rFonts w:eastAsia="宋体"/>
                      <w:sz w:val="21"/>
                    </w:rPr>
                  </w:pPr>
                  <w:r>
                    <w:rPr>
                      <w:rFonts w:hint="eastAsia" w:eastAsia="宋体"/>
                      <w:sz w:val="21"/>
                    </w:rPr>
                    <w:t>1m</w:t>
                  </w:r>
                  <w:r>
                    <w:rPr>
                      <w:rFonts w:hint="eastAsia" w:eastAsia="宋体"/>
                      <w:sz w:val="21"/>
                      <w:vertAlign w:val="superscript"/>
                    </w:rPr>
                    <w:t>3</w:t>
                  </w:r>
                </w:p>
              </w:tc>
              <w:tc>
                <w:tcPr>
                  <w:tcW w:w="1679" w:type="dxa"/>
                  <w:tcBorders>
                    <w:tl2br w:val="nil"/>
                    <w:tr2bl w:val="nil"/>
                  </w:tcBorders>
                </w:tcPr>
                <w:p w14:paraId="09CA4D85">
                  <w:pPr>
                    <w:pStyle w:val="30"/>
                    <w:widowControl/>
                    <w:spacing w:line="240" w:lineRule="auto"/>
                    <w:ind w:firstLine="0" w:firstLineChars="0"/>
                    <w:jc w:val="center"/>
                    <w:rPr>
                      <w:rFonts w:eastAsia="宋体"/>
                      <w:sz w:val="21"/>
                    </w:rPr>
                  </w:pPr>
                  <w:r>
                    <w:rPr>
                      <w:rFonts w:hint="eastAsia" w:eastAsia="宋体"/>
                      <w:sz w:val="21"/>
                    </w:rPr>
                    <w:t>辆</w:t>
                  </w:r>
                </w:p>
              </w:tc>
              <w:tc>
                <w:tcPr>
                  <w:tcW w:w="1679" w:type="dxa"/>
                  <w:tcBorders>
                    <w:tl2br w:val="nil"/>
                    <w:tr2bl w:val="nil"/>
                  </w:tcBorders>
                </w:tcPr>
                <w:p w14:paraId="310CA0DD">
                  <w:pPr>
                    <w:pStyle w:val="30"/>
                    <w:widowControl/>
                    <w:spacing w:line="240" w:lineRule="auto"/>
                    <w:ind w:firstLine="0" w:firstLineChars="0"/>
                    <w:jc w:val="center"/>
                    <w:rPr>
                      <w:rFonts w:eastAsia="宋体"/>
                      <w:sz w:val="21"/>
                    </w:rPr>
                  </w:pPr>
                  <w:r>
                    <w:rPr>
                      <w:rFonts w:hint="eastAsia" w:eastAsia="宋体"/>
                      <w:sz w:val="21"/>
                    </w:rPr>
                    <w:t>2</w:t>
                  </w:r>
                </w:p>
              </w:tc>
            </w:tr>
            <w:tr w14:paraId="6F7F8C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7FBE7667">
                  <w:pPr>
                    <w:pStyle w:val="30"/>
                    <w:widowControl/>
                    <w:numPr>
                      <w:ilvl w:val="0"/>
                      <w:numId w:val="2"/>
                    </w:numPr>
                    <w:spacing w:line="240" w:lineRule="auto"/>
                    <w:ind w:firstLineChars="0"/>
                    <w:jc w:val="center"/>
                    <w:rPr>
                      <w:rFonts w:eastAsia="宋体"/>
                      <w:sz w:val="21"/>
                    </w:rPr>
                  </w:pPr>
                </w:p>
              </w:tc>
              <w:tc>
                <w:tcPr>
                  <w:tcW w:w="2178" w:type="dxa"/>
                  <w:tcBorders>
                    <w:tl2br w:val="nil"/>
                    <w:tr2bl w:val="nil"/>
                  </w:tcBorders>
                </w:tcPr>
                <w:p w14:paraId="48D139FD">
                  <w:pPr>
                    <w:pStyle w:val="30"/>
                    <w:widowControl/>
                    <w:spacing w:line="240" w:lineRule="auto"/>
                    <w:ind w:firstLine="0" w:firstLineChars="0"/>
                    <w:jc w:val="center"/>
                    <w:rPr>
                      <w:rFonts w:eastAsia="宋体"/>
                      <w:sz w:val="21"/>
                    </w:rPr>
                  </w:pPr>
                  <w:r>
                    <w:rPr>
                      <w:rFonts w:hint="eastAsia" w:eastAsia="宋体"/>
                      <w:sz w:val="21"/>
                    </w:rPr>
                    <w:t>手推胶轮车</w:t>
                  </w:r>
                </w:p>
              </w:tc>
              <w:tc>
                <w:tcPr>
                  <w:tcW w:w="1679" w:type="dxa"/>
                  <w:tcBorders>
                    <w:tl2br w:val="nil"/>
                    <w:tr2bl w:val="nil"/>
                  </w:tcBorders>
                </w:tcPr>
                <w:p w14:paraId="1DAA8065">
                  <w:pPr>
                    <w:pStyle w:val="30"/>
                    <w:widowControl/>
                    <w:spacing w:line="240" w:lineRule="auto"/>
                    <w:ind w:firstLine="0" w:firstLineChars="0"/>
                    <w:jc w:val="center"/>
                    <w:rPr>
                      <w:rFonts w:eastAsia="宋体"/>
                      <w:sz w:val="21"/>
                    </w:rPr>
                  </w:pPr>
                </w:p>
              </w:tc>
              <w:tc>
                <w:tcPr>
                  <w:tcW w:w="1679" w:type="dxa"/>
                  <w:tcBorders>
                    <w:tl2br w:val="nil"/>
                    <w:tr2bl w:val="nil"/>
                  </w:tcBorders>
                </w:tcPr>
                <w:p w14:paraId="310C623B">
                  <w:pPr>
                    <w:pStyle w:val="30"/>
                    <w:widowControl/>
                    <w:spacing w:line="240" w:lineRule="auto"/>
                    <w:ind w:firstLine="0" w:firstLineChars="0"/>
                    <w:jc w:val="center"/>
                    <w:rPr>
                      <w:rFonts w:eastAsia="宋体"/>
                      <w:sz w:val="21"/>
                    </w:rPr>
                  </w:pPr>
                  <w:r>
                    <w:rPr>
                      <w:rFonts w:hint="eastAsia" w:eastAsia="宋体"/>
                      <w:sz w:val="21"/>
                    </w:rPr>
                    <w:t>辆</w:t>
                  </w:r>
                </w:p>
              </w:tc>
              <w:tc>
                <w:tcPr>
                  <w:tcW w:w="1679" w:type="dxa"/>
                  <w:tcBorders>
                    <w:tl2br w:val="nil"/>
                    <w:tr2bl w:val="nil"/>
                  </w:tcBorders>
                </w:tcPr>
                <w:p w14:paraId="43214C79">
                  <w:pPr>
                    <w:pStyle w:val="30"/>
                    <w:widowControl/>
                    <w:spacing w:line="240" w:lineRule="auto"/>
                    <w:ind w:firstLine="0" w:firstLineChars="0"/>
                    <w:jc w:val="center"/>
                    <w:rPr>
                      <w:rFonts w:eastAsia="宋体"/>
                      <w:sz w:val="21"/>
                    </w:rPr>
                  </w:pPr>
                  <w:r>
                    <w:rPr>
                      <w:rFonts w:hint="eastAsia" w:eastAsia="宋体"/>
                      <w:sz w:val="21"/>
                    </w:rPr>
                    <w:t>10</w:t>
                  </w:r>
                </w:p>
              </w:tc>
            </w:tr>
            <w:tr w14:paraId="301967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394" w:type="dxa"/>
                  <w:gridSpan w:val="5"/>
                  <w:tcBorders>
                    <w:tl2br w:val="nil"/>
                    <w:tr2bl w:val="nil"/>
                  </w:tcBorders>
                  <w:vAlign w:val="center"/>
                </w:tcPr>
                <w:p w14:paraId="0B2BF317">
                  <w:pPr>
                    <w:pStyle w:val="30"/>
                    <w:widowControl/>
                    <w:spacing w:line="240" w:lineRule="auto"/>
                    <w:ind w:firstLine="0" w:firstLineChars="0"/>
                    <w:rPr>
                      <w:rFonts w:eastAsia="宋体"/>
                      <w:sz w:val="21"/>
                    </w:rPr>
                  </w:pPr>
                  <w:r>
                    <w:rPr>
                      <w:rFonts w:hint="eastAsia" w:eastAsia="宋体"/>
                      <w:b/>
                      <w:bCs/>
                      <w:sz w:val="21"/>
                    </w:rPr>
                    <w:t>三、砼机械</w:t>
                  </w:r>
                </w:p>
              </w:tc>
            </w:tr>
            <w:tr w14:paraId="39652D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599C429F">
                  <w:pPr>
                    <w:pStyle w:val="30"/>
                    <w:widowControl/>
                    <w:numPr>
                      <w:ilvl w:val="0"/>
                      <w:numId w:val="3"/>
                    </w:numPr>
                    <w:spacing w:line="240" w:lineRule="auto"/>
                    <w:ind w:firstLineChars="0"/>
                    <w:jc w:val="center"/>
                    <w:rPr>
                      <w:rFonts w:eastAsia="宋体"/>
                      <w:sz w:val="21"/>
                    </w:rPr>
                  </w:pPr>
                </w:p>
              </w:tc>
              <w:tc>
                <w:tcPr>
                  <w:tcW w:w="2178" w:type="dxa"/>
                  <w:tcBorders>
                    <w:tl2br w:val="nil"/>
                    <w:tr2bl w:val="nil"/>
                  </w:tcBorders>
                </w:tcPr>
                <w:p w14:paraId="5AB4A534">
                  <w:pPr>
                    <w:pStyle w:val="30"/>
                    <w:widowControl/>
                    <w:spacing w:line="240" w:lineRule="auto"/>
                    <w:ind w:firstLine="0" w:firstLineChars="0"/>
                    <w:jc w:val="center"/>
                    <w:rPr>
                      <w:rFonts w:eastAsia="宋体"/>
                      <w:sz w:val="21"/>
                    </w:rPr>
                  </w:pPr>
                  <w:r>
                    <w:rPr>
                      <w:rFonts w:hint="eastAsia" w:eastAsia="宋体"/>
                      <w:sz w:val="21"/>
                    </w:rPr>
                    <w:t>砼振动器</w:t>
                  </w:r>
                </w:p>
              </w:tc>
              <w:tc>
                <w:tcPr>
                  <w:tcW w:w="1679" w:type="dxa"/>
                  <w:tcBorders>
                    <w:tl2br w:val="nil"/>
                    <w:tr2bl w:val="nil"/>
                  </w:tcBorders>
                </w:tcPr>
                <w:p w14:paraId="5F3294C1">
                  <w:pPr>
                    <w:pStyle w:val="30"/>
                    <w:widowControl/>
                    <w:spacing w:line="240" w:lineRule="auto"/>
                    <w:ind w:firstLine="0" w:firstLineChars="0"/>
                    <w:jc w:val="center"/>
                    <w:rPr>
                      <w:rFonts w:eastAsia="宋体"/>
                      <w:sz w:val="21"/>
                    </w:rPr>
                  </w:pPr>
                  <w:r>
                    <w:rPr>
                      <w:rFonts w:hint="eastAsia" w:eastAsia="宋体"/>
                      <w:sz w:val="21"/>
                    </w:rPr>
                    <w:t>插入式2.2kW</w:t>
                  </w:r>
                </w:p>
              </w:tc>
              <w:tc>
                <w:tcPr>
                  <w:tcW w:w="1679" w:type="dxa"/>
                  <w:tcBorders>
                    <w:tl2br w:val="nil"/>
                    <w:tr2bl w:val="nil"/>
                  </w:tcBorders>
                </w:tcPr>
                <w:p w14:paraId="32819A4A">
                  <w:pPr>
                    <w:pStyle w:val="30"/>
                    <w:widowControl/>
                    <w:spacing w:line="240" w:lineRule="auto"/>
                    <w:ind w:firstLine="0" w:firstLineChars="0"/>
                    <w:jc w:val="center"/>
                    <w:rPr>
                      <w:rFonts w:eastAsia="宋体"/>
                      <w:sz w:val="21"/>
                    </w:rPr>
                  </w:pPr>
                  <w:r>
                    <w:rPr>
                      <w:rFonts w:hint="eastAsia" w:eastAsia="宋体"/>
                      <w:sz w:val="21"/>
                    </w:rPr>
                    <w:t>台</w:t>
                  </w:r>
                </w:p>
              </w:tc>
              <w:tc>
                <w:tcPr>
                  <w:tcW w:w="1679" w:type="dxa"/>
                  <w:tcBorders>
                    <w:tl2br w:val="nil"/>
                    <w:tr2bl w:val="nil"/>
                  </w:tcBorders>
                </w:tcPr>
                <w:p w14:paraId="3108CB1F">
                  <w:pPr>
                    <w:pStyle w:val="30"/>
                    <w:widowControl/>
                    <w:spacing w:line="240" w:lineRule="auto"/>
                    <w:ind w:firstLine="0" w:firstLineChars="0"/>
                    <w:jc w:val="center"/>
                    <w:rPr>
                      <w:rFonts w:eastAsia="宋体"/>
                      <w:sz w:val="21"/>
                    </w:rPr>
                  </w:pPr>
                  <w:r>
                    <w:rPr>
                      <w:rFonts w:hint="eastAsia" w:eastAsia="宋体"/>
                      <w:sz w:val="21"/>
                    </w:rPr>
                    <w:t>5</w:t>
                  </w:r>
                </w:p>
              </w:tc>
            </w:tr>
            <w:tr w14:paraId="422467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7993D991">
                  <w:pPr>
                    <w:pStyle w:val="30"/>
                    <w:widowControl/>
                    <w:numPr>
                      <w:ilvl w:val="0"/>
                      <w:numId w:val="3"/>
                    </w:numPr>
                    <w:spacing w:line="240" w:lineRule="auto"/>
                    <w:ind w:firstLineChars="0"/>
                    <w:jc w:val="center"/>
                    <w:rPr>
                      <w:rFonts w:eastAsia="宋体"/>
                      <w:sz w:val="21"/>
                    </w:rPr>
                  </w:pPr>
                </w:p>
              </w:tc>
              <w:tc>
                <w:tcPr>
                  <w:tcW w:w="2178" w:type="dxa"/>
                  <w:tcBorders>
                    <w:tl2br w:val="nil"/>
                    <w:tr2bl w:val="nil"/>
                  </w:tcBorders>
                </w:tcPr>
                <w:p w14:paraId="380E8158">
                  <w:pPr>
                    <w:pStyle w:val="30"/>
                    <w:widowControl/>
                    <w:spacing w:line="240" w:lineRule="auto"/>
                    <w:ind w:firstLine="0" w:firstLineChars="0"/>
                    <w:jc w:val="center"/>
                    <w:rPr>
                      <w:rFonts w:eastAsia="宋体"/>
                      <w:sz w:val="21"/>
                    </w:rPr>
                  </w:pPr>
                  <w:r>
                    <w:rPr>
                      <w:rFonts w:hint="eastAsia" w:eastAsia="宋体"/>
                      <w:sz w:val="21"/>
                    </w:rPr>
                    <w:t>电动平面抹具</w:t>
                  </w:r>
                </w:p>
              </w:tc>
              <w:tc>
                <w:tcPr>
                  <w:tcW w:w="1679" w:type="dxa"/>
                  <w:tcBorders>
                    <w:tl2br w:val="nil"/>
                    <w:tr2bl w:val="nil"/>
                  </w:tcBorders>
                </w:tcPr>
                <w:p w14:paraId="1F84D594">
                  <w:pPr>
                    <w:pStyle w:val="30"/>
                    <w:widowControl/>
                    <w:spacing w:line="240" w:lineRule="auto"/>
                    <w:ind w:firstLine="0" w:firstLineChars="0"/>
                    <w:jc w:val="center"/>
                    <w:rPr>
                      <w:rFonts w:eastAsia="宋体"/>
                      <w:sz w:val="21"/>
                    </w:rPr>
                  </w:pPr>
                </w:p>
              </w:tc>
              <w:tc>
                <w:tcPr>
                  <w:tcW w:w="1679" w:type="dxa"/>
                  <w:tcBorders>
                    <w:tl2br w:val="nil"/>
                    <w:tr2bl w:val="nil"/>
                  </w:tcBorders>
                </w:tcPr>
                <w:p w14:paraId="4602429E">
                  <w:pPr>
                    <w:pStyle w:val="30"/>
                    <w:widowControl/>
                    <w:spacing w:line="240" w:lineRule="auto"/>
                    <w:ind w:firstLine="0" w:firstLineChars="0"/>
                    <w:jc w:val="center"/>
                    <w:rPr>
                      <w:rFonts w:eastAsia="宋体"/>
                      <w:sz w:val="21"/>
                    </w:rPr>
                  </w:pPr>
                  <w:r>
                    <w:rPr>
                      <w:rFonts w:hint="eastAsia" w:eastAsia="宋体"/>
                      <w:sz w:val="21"/>
                    </w:rPr>
                    <w:t>台</w:t>
                  </w:r>
                </w:p>
              </w:tc>
              <w:tc>
                <w:tcPr>
                  <w:tcW w:w="1679" w:type="dxa"/>
                  <w:tcBorders>
                    <w:tl2br w:val="nil"/>
                    <w:tr2bl w:val="nil"/>
                  </w:tcBorders>
                </w:tcPr>
                <w:p w14:paraId="5FC2758C">
                  <w:pPr>
                    <w:pStyle w:val="30"/>
                    <w:widowControl/>
                    <w:spacing w:line="240" w:lineRule="auto"/>
                    <w:ind w:firstLine="0" w:firstLineChars="0"/>
                    <w:jc w:val="center"/>
                    <w:rPr>
                      <w:rFonts w:eastAsia="宋体"/>
                      <w:sz w:val="21"/>
                    </w:rPr>
                  </w:pPr>
                  <w:r>
                    <w:rPr>
                      <w:rFonts w:hint="eastAsia" w:eastAsia="宋体"/>
                      <w:sz w:val="21"/>
                    </w:rPr>
                    <w:t>3</w:t>
                  </w:r>
                </w:p>
              </w:tc>
            </w:tr>
            <w:tr w14:paraId="60B93A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099087D4">
                  <w:pPr>
                    <w:pStyle w:val="30"/>
                    <w:widowControl/>
                    <w:numPr>
                      <w:ilvl w:val="0"/>
                      <w:numId w:val="3"/>
                    </w:numPr>
                    <w:spacing w:line="240" w:lineRule="auto"/>
                    <w:ind w:firstLineChars="0"/>
                    <w:jc w:val="center"/>
                    <w:rPr>
                      <w:rFonts w:eastAsia="宋体"/>
                      <w:sz w:val="21"/>
                    </w:rPr>
                  </w:pPr>
                </w:p>
              </w:tc>
              <w:tc>
                <w:tcPr>
                  <w:tcW w:w="2178" w:type="dxa"/>
                  <w:tcBorders>
                    <w:tl2br w:val="nil"/>
                    <w:tr2bl w:val="nil"/>
                  </w:tcBorders>
                </w:tcPr>
                <w:p w14:paraId="08B78A2A">
                  <w:pPr>
                    <w:pStyle w:val="30"/>
                    <w:widowControl/>
                    <w:spacing w:line="240" w:lineRule="auto"/>
                    <w:ind w:firstLine="0" w:firstLineChars="0"/>
                    <w:jc w:val="center"/>
                    <w:rPr>
                      <w:rFonts w:eastAsia="宋体"/>
                      <w:sz w:val="21"/>
                    </w:rPr>
                  </w:pPr>
                  <w:r>
                    <w:rPr>
                      <w:rFonts w:hint="eastAsia" w:eastAsia="宋体"/>
                      <w:sz w:val="21"/>
                    </w:rPr>
                    <w:t>混凝土泵</w:t>
                  </w:r>
                </w:p>
              </w:tc>
              <w:tc>
                <w:tcPr>
                  <w:tcW w:w="1679" w:type="dxa"/>
                  <w:tcBorders>
                    <w:tl2br w:val="nil"/>
                    <w:tr2bl w:val="nil"/>
                  </w:tcBorders>
                </w:tcPr>
                <w:p w14:paraId="043C1EF0">
                  <w:pPr>
                    <w:pStyle w:val="30"/>
                    <w:widowControl/>
                    <w:spacing w:line="240" w:lineRule="auto"/>
                    <w:ind w:firstLine="0" w:firstLineChars="0"/>
                    <w:jc w:val="center"/>
                    <w:rPr>
                      <w:rFonts w:eastAsia="宋体"/>
                      <w:sz w:val="21"/>
                    </w:rPr>
                  </w:pPr>
                  <w:r>
                    <w:rPr>
                      <w:rFonts w:hint="eastAsia" w:eastAsia="宋体"/>
                      <w:sz w:val="21"/>
                    </w:rPr>
                    <w:t>HB30</w:t>
                  </w:r>
                </w:p>
              </w:tc>
              <w:tc>
                <w:tcPr>
                  <w:tcW w:w="1679" w:type="dxa"/>
                  <w:tcBorders>
                    <w:tl2br w:val="nil"/>
                    <w:tr2bl w:val="nil"/>
                  </w:tcBorders>
                </w:tcPr>
                <w:p w14:paraId="117BA113">
                  <w:pPr>
                    <w:pStyle w:val="30"/>
                    <w:widowControl/>
                    <w:spacing w:line="240" w:lineRule="auto"/>
                    <w:ind w:firstLine="0" w:firstLineChars="0"/>
                    <w:jc w:val="center"/>
                    <w:rPr>
                      <w:rFonts w:eastAsia="宋体"/>
                      <w:sz w:val="21"/>
                    </w:rPr>
                  </w:pPr>
                  <w:r>
                    <w:rPr>
                      <w:rFonts w:hint="eastAsia" w:eastAsia="宋体"/>
                      <w:sz w:val="21"/>
                    </w:rPr>
                    <w:t>台</w:t>
                  </w:r>
                </w:p>
              </w:tc>
              <w:tc>
                <w:tcPr>
                  <w:tcW w:w="1679" w:type="dxa"/>
                  <w:tcBorders>
                    <w:tl2br w:val="nil"/>
                    <w:tr2bl w:val="nil"/>
                  </w:tcBorders>
                </w:tcPr>
                <w:p w14:paraId="4EDF1F1B">
                  <w:pPr>
                    <w:pStyle w:val="30"/>
                    <w:widowControl/>
                    <w:spacing w:line="240" w:lineRule="auto"/>
                    <w:ind w:firstLine="0" w:firstLineChars="0"/>
                    <w:jc w:val="center"/>
                    <w:rPr>
                      <w:rFonts w:eastAsia="宋体"/>
                      <w:sz w:val="21"/>
                    </w:rPr>
                  </w:pPr>
                  <w:r>
                    <w:rPr>
                      <w:rFonts w:hint="eastAsia" w:eastAsia="宋体"/>
                      <w:sz w:val="21"/>
                    </w:rPr>
                    <w:t>2</w:t>
                  </w:r>
                </w:p>
              </w:tc>
            </w:tr>
            <w:tr w14:paraId="6762C5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3D027B54">
                  <w:pPr>
                    <w:pStyle w:val="30"/>
                    <w:widowControl/>
                    <w:numPr>
                      <w:ilvl w:val="0"/>
                      <w:numId w:val="3"/>
                    </w:numPr>
                    <w:spacing w:line="240" w:lineRule="auto"/>
                    <w:ind w:firstLineChars="0"/>
                    <w:jc w:val="center"/>
                    <w:rPr>
                      <w:rFonts w:eastAsia="宋体"/>
                      <w:sz w:val="21"/>
                    </w:rPr>
                  </w:pPr>
                </w:p>
              </w:tc>
              <w:tc>
                <w:tcPr>
                  <w:tcW w:w="2178" w:type="dxa"/>
                  <w:tcBorders>
                    <w:tl2br w:val="nil"/>
                    <w:tr2bl w:val="nil"/>
                  </w:tcBorders>
                </w:tcPr>
                <w:p w14:paraId="23420D4D">
                  <w:pPr>
                    <w:pStyle w:val="30"/>
                    <w:widowControl/>
                    <w:spacing w:line="240" w:lineRule="auto"/>
                    <w:ind w:firstLine="0" w:firstLineChars="0"/>
                    <w:jc w:val="center"/>
                    <w:rPr>
                      <w:rFonts w:eastAsia="宋体"/>
                      <w:sz w:val="21"/>
                    </w:rPr>
                  </w:pPr>
                  <w:r>
                    <w:rPr>
                      <w:rFonts w:hint="eastAsia" w:eastAsia="宋体"/>
                      <w:sz w:val="21"/>
                    </w:rPr>
                    <w:t>混凝土输送泵</w:t>
                  </w:r>
                </w:p>
              </w:tc>
              <w:tc>
                <w:tcPr>
                  <w:tcW w:w="1679" w:type="dxa"/>
                  <w:tcBorders>
                    <w:tl2br w:val="nil"/>
                    <w:tr2bl w:val="nil"/>
                  </w:tcBorders>
                </w:tcPr>
                <w:p w14:paraId="3804F6E6">
                  <w:pPr>
                    <w:pStyle w:val="30"/>
                    <w:widowControl/>
                    <w:spacing w:line="240" w:lineRule="auto"/>
                    <w:ind w:firstLine="0" w:firstLineChars="0"/>
                    <w:jc w:val="center"/>
                    <w:rPr>
                      <w:rFonts w:eastAsia="宋体"/>
                      <w:sz w:val="21"/>
                    </w:rPr>
                  </w:pPr>
                  <w:r>
                    <w:rPr>
                      <w:rFonts w:hint="eastAsia" w:eastAsia="宋体"/>
                      <w:sz w:val="21"/>
                    </w:rPr>
                    <w:t>6m³/s</w:t>
                  </w:r>
                </w:p>
              </w:tc>
              <w:tc>
                <w:tcPr>
                  <w:tcW w:w="1679" w:type="dxa"/>
                  <w:tcBorders>
                    <w:tl2br w:val="nil"/>
                    <w:tr2bl w:val="nil"/>
                  </w:tcBorders>
                </w:tcPr>
                <w:p w14:paraId="3180AAAD">
                  <w:pPr>
                    <w:pStyle w:val="30"/>
                    <w:widowControl/>
                    <w:spacing w:line="240" w:lineRule="auto"/>
                    <w:ind w:firstLine="0" w:firstLineChars="0"/>
                    <w:jc w:val="center"/>
                    <w:rPr>
                      <w:rFonts w:eastAsia="宋体"/>
                      <w:sz w:val="21"/>
                    </w:rPr>
                  </w:pPr>
                  <w:r>
                    <w:rPr>
                      <w:rFonts w:hint="eastAsia" w:eastAsia="宋体"/>
                      <w:sz w:val="21"/>
                    </w:rPr>
                    <w:t>台</w:t>
                  </w:r>
                </w:p>
              </w:tc>
              <w:tc>
                <w:tcPr>
                  <w:tcW w:w="1679" w:type="dxa"/>
                  <w:tcBorders>
                    <w:tl2br w:val="nil"/>
                    <w:tr2bl w:val="nil"/>
                  </w:tcBorders>
                </w:tcPr>
                <w:p w14:paraId="30206F83">
                  <w:pPr>
                    <w:pStyle w:val="30"/>
                    <w:widowControl/>
                    <w:spacing w:line="240" w:lineRule="auto"/>
                    <w:ind w:firstLine="0" w:firstLineChars="0"/>
                    <w:jc w:val="center"/>
                    <w:rPr>
                      <w:rFonts w:eastAsia="宋体"/>
                      <w:sz w:val="21"/>
                    </w:rPr>
                  </w:pPr>
                  <w:r>
                    <w:rPr>
                      <w:rFonts w:hint="eastAsia" w:eastAsia="宋体"/>
                      <w:sz w:val="21"/>
                    </w:rPr>
                    <w:t>2</w:t>
                  </w:r>
                </w:p>
              </w:tc>
            </w:tr>
            <w:tr w14:paraId="468022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394" w:type="dxa"/>
                  <w:gridSpan w:val="5"/>
                  <w:tcBorders>
                    <w:tl2br w:val="nil"/>
                    <w:tr2bl w:val="nil"/>
                  </w:tcBorders>
                  <w:vAlign w:val="center"/>
                </w:tcPr>
                <w:p w14:paraId="532ED3CC">
                  <w:pPr>
                    <w:pStyle w:val="30"/>
                    <w:widowControl/>
                    <w:spacing w:line="240" w:lineRule="auto"/>
                    <w:ind w:firstLine="0" w:firstLineChars="0"/>
                    <w:rPr>
                      <w:rFonts w:eastAsia="宋体"/>
                      <w:sz w:val="21"/>
                    </w:rPr>
                  </w:pPr>
                  <w:r>
                    <w:rPr>
                      <w:rFonts w:hint="eastAsia" w:eastAsia="宋体"/>
                      <w:b/>
                      <w:bCs/>
                      <w:sz w:val="21"/>
                    </w:rPr>
                    <w:t>四、其他施工机械</w:t>
                  </w:r>
                </w:p>
              </w:tc>
            </w:tr>
            <w:tr w14:paraId="023D32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3CC80A67">
                  <w:pPr>
                    <w:pStyle w:val="30"/>
                    <w:widowControl/>
                    <w:numPr>
                      <w:ilvl w:val="0"/>
                      <w:numId w:val="4"/>
                    </w:numPr>
                    <w:spacing w:line="240" w:lineRule="auto"/>
                    <w:ind w:firstLineChars="0"/>
                    <w:jc w:val="center"/>
                    <w:rPr>
                      <w:rFonts w:eastAsia="宋体"/>
                      <w:sz w:val="21"/>
                    </w:rPr>
                  </w:pPr>
                </w:p>
              </w:tc>
              <w:tc>
                <w:tcPr>
                  <w:tcW w:w="2178" w:type="dxa"/>
                  <w:tcBorders>
                    <w:tl2br w:val="nil"/>
                    <w:tr2bl w:val="nil"/>
                  </w:tcBorders>
                </w:tcPr>
                <w:p w14:paraId="6143EF60">
                  <w:pPr>
                    <w:pStyle w:val="30"/>
                    <w:widowControl/>
                    <w:spacing w:line="240" w:lineRule="auto"/>
                    <w:ind w:firstLine="0" w:firstLineChars="0"/>
                    <w:jc w:val="center"/>
                    <w:rPr>
                      <w:rFonts w:eastAsia="宋体"/>
                      <w:sz w:val="21"/>
                    </w:rPr>
                  </w:pPr>
                  <w:r>
                    <w:rPr>
                      <w:rFonts w:hint="eastAsia" w:eastAsia="宋体"/>
                      <w:sz w:val="21"/>
                    </w:rPr>
                    <w:t>水泵</w:t>
                  </w:r>
                </w:p>
              </w:tc>
              <w:tc>
                <w:tcPr>
                  <w:tcW w:w="1679" w:type="dxa"/>
                  <w:tcBorders>
                    <w:tl2br w:val="nil"/>
                    <w:tr2bl w:val="nil"/>
                  </w:tcBorders>
                </w:tcPr>
                <w:p w14:paraId="06432D8A">
                  <w:pPr>
                    <w:pStyle w:val="30"/>
                    <w:widowControl/>
                    <w:spacing w:line="240" w:lineRule="auto"/>
                    <w:ind w:firstLine="0" w:firstLineChars="0"/>
                    <w:jc w:val="center"/>
                    <w:rPr>
                      <w:rFonts w:eastAsia="宋体"/>
                      <w:sz w:val="21"/>
                    </w:rPr>
                  </w:pPr>
                  <w:r>
                    <w:rPr>
                      <w:rFonts w:hint="eastAsia" w:eastAsia="宋体"/>
                      <w:sz w:val="21"/>
                    </w:rPr>
                    <w:t>IS125- 100-200</w:t>
                  </w:r>
                </w:p>
              </w:tc>
              <w:tc>
                <w:tcPr>
                  <w:tcW w:w="1679" w:type="dxa"/>
                  <w:tcBorders>
                    <w:tl2br w:val="nil"/>
                    <w:tr2bl w:val="nil"/>
                  </w:tcBorders>
                </w:tcPr>
                <w:p w14:paraId="5A36BDAE">
                  <w:pPr>
                    <w:pStyle w:val="30"/>
                    <w:widowControl/>
                    <w:spacing w:line="240" w:lineRule="auto"/>
                    <w:ind w:firstLine="0" w:firstLineChars="0"/>
                    <w:jc w:val="center"/>
                    <w:rPr>
                      <w:rFonts w:eastAsia="宋体"/>
                      <w:sz w:val="21"/>
                    </w:rPr>
                  </w:pPr>
                  <w:r>
                    <w:rPr>
                      <w:rFonts w:hint="eastAsia" w:eastAsia="宋体"/>
                      <w:sz w:val="21"/>
                    </w:rPr>
                    <w:t>台</w:t>
                  </w:r>
                </w:p>
              </w:tc>
              <w:tc>
                <w:tcPr>
                  <w:tcW w:w="1679" w:type="dxa"/>
                  <w:tcBorders>
                    <w:tl2br w:val="nil"/>
                    <w:tr2bl w:val="nil"/>
                  </w:tcBorders>
                </w:tcPr>
                <w:p w14:paraId="01179F0C">
                  <w:pPr>
                    <w:pStyle w:val="30"/>
                    <w:widowControl/>
                    <w:spacing w:line="240" w:lineRule="auto"/>
                    <w:ind w:firstLine="0" w:firstLineChars="0"/>
                    <w:jc w:val="center"/>
                    <w:rPr>
                      <w:rFonts w:eastAsia="宋体"/>
                      <w:sz w:val="21"/>
                    </w:rPr>
                  </w:pPr>
                  <w:r>
                    <w:rPr>
                      <w:rFonts w:hint="eastAsia" w:eastAsia="宋体"/>
                      <w:sz w:val="21"/>
                    </w:rPr>
                    <w:t>6</w:t>
                  </w:r>
                </w:p>
              </w:tc>
            </w:tr>
            <w:tr w14:paraId="2B5BC1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00D598F7">
                  <w:pPr>
                    <w:pStyle w:val="30"/>
                    <w:widowControl/>
                    <w:numPr>
                      <w:ilvl w:val="0"/>
                      <w:numId w:val="4"/>
                    </w:numPr>
                    <w:spacing w:line="240" w:lineRule="auto"/>
                    <w:ind w:firstLineChars="0"/>
                    <w:jc w:val="center"/>
                    <w:rPr>
                      <w:rFonts w:eastAsia="宋体"/>
                      <w:sz w:val="21"/>
                    </w:rPr>
                  </w:pPr>
                </w:p>
              </w:tc>
              <w:tc>
                <w:tcPr>
                  <w:tcW w:w="2178" w:type="dxa"/>
                  <w:tcBorders>
                    <w:tl2br w:val="nil"/>
                    <w:tr2bl w:val="nil"/>
                  </w:tcBorders>
                </w:tcPr>
                <w:p w14:paraId="1D59F5B0">
                  <w:pPr>
                    <w:pStyle w:val="30"/>
                    <w:widowControl/>
                    <w:spacing w:line="240" w:lineRule="auto"/>
                    <w:ind w:firstLine="0" w:firstLineChars="0"/>
                    <w:jc w:val="center"/>
                    <w:rPr>
                      <w:rFonts w:eastAsia="宋体"/>
                      <w:sz w:val="21"/>
                    </w:rPr>
                  </w:pPr>
                  <w:r>
                    <w:rPr>
                      <w:rFonts w:hint="eastAsia" w:eastAsia="宋体"/>
                      <w:sz w:val="21"/>
                    </w:rPr>
                    <w:t>柴油发电机</w:t>
                  </w:r>
                </w:p>
              </w:tc>
              <w:tc>
                <w:tcPr>
                  <w:tcW w:w="1679" w:type="dxa"/>
                  <w:tcBorders>
                    <w:tl2br w:val="nil"/>
                    <w:tr2bl w:val="nil"/>
                  </w:tcBorders>
                </w:tcPr>
                <w:p w14:paraId="1F3323BF">
                  <w:pPr>
                    <w:pStyle w:val="30"/>
                    <w:widowControl/>
                    <w:spacing w:line="240" w:lineRule="auto"/>
                    <w:ind w:firstLine="0" w:firstLineChars="0"/>
                    <w:jc w:val="center"/>
                    <w:rPr>
                      <w:rFonts w:eastAsia="宋体"/>
                      <w:sz w:val="21"/>
                    </w:rPr>
                  </w:pPr>
                  <w:r>
                    <w:rPr>
                      <w:rFonts w:hint="eastAsia" w:eastAsia="宋体"/>
                      <w:sz w:val="21"/>
                    </w:rPr>
                    <w:t>50kw</w:t>
                  </w:r>
                </w:p>
              </w:tc>
              <w:tc>
                <w:tcPr>
                  <w:tcW w:w="1679" w:type="dxa"/>
                  <w:tcBorders>
                    <w:tl2br w:val="nil"/>
                    <w:tr2bl w:val="nil"/>
                  </w:tcBorders>
                </w:tcPr>
                <w:p w14:paraId="07EF1E36">
                  <w:pPr>
                    <w:pStyle w:val="30"/>
                    <w:widowControl/>
                    <w:spacing w:line="240" w:lineRule="auto"/>
                    <w:ind w:firstLine="0" w:firstLineChars="0"/>
                    <w:jc w:val="center"/>
                    <w:rPr>
                      <w:rFonts w:eastAsia="宋体"/>
                      <w:sz w:val="21"/>
                    </w:rPr>
                  </w:pPr>
                  <w:r>
                    <w:rPr>
                      <w:rFonts w:hint="eastAsia" w:eastAsia="宋体"/>
                      <w:sz w:val="21"/>
                    </w:rPr>
                    <w:t>台</w:t>
                  </w:r>
                </w:p>
              </w:tc>
              <w:tc>
                <w:tcPr>
                  <w:tcW w:w="1679" w:type="dxa"/>
                  <w:tcBorders>
                    <w:tl2br w:val="nil"/>
                    <w:tr2bl w:val="nil"/>
                  </w:tcBorders>
                </w:tcPr>
                <w:p w14:paraId="7B66A1D7">
                  <w:pPr>
                    <w:pStyle w:val="30"/>
                    <w:widowControl/>
                    <w:spacing w:line="240" w:lineRule="auto"/>
                    <w:ind w:firstLine="0" w:firstLineChars="0"/>
                    <w:jc w:val="center"/>
                    <w:rPr>
                      <w:rFonts w:eastAsia="宋体"/>
                      <w:sz w:val="21"/>
                    </w:rPr>
                  </w:pPr>
                  <w:r>
                    <w:rPr>
                      <w:rFonts w:hint="eastAsia" w:eastAsia="宋体"/>
                      <w:sz w:val="21"/>
                    </w:rPr>
                    <w:t>2</w:t>
                  </w:r>
                </w:p>
              </w:tc>
            </w:tr>
            <w:tr w14:paraId="1644EB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7A232414">
                  <w:pPr>
                    <w:pStyle w:val="30"/>
                    <w:widowControl/>
                    <w:numPr>
                      <w:ilvl w:val="0"/>
                      <w:numId w:val="4"/>
                    </w:numPr>
                    <w:spacing w:line="240" w:lineRule="auto"/>
                    <w:ind w:firstLineChars="0"/>
                    <w:jc w:val="center"/>
                    <w:rPr>
                      <w:rFonts w:eastAsia="宋体"/>
                      <w:sz w:val="21"/>
                    </w:rPr>
                  </w:pPr>
                </w:p>
              </w:tc>
              <w:tc>
                <w:tcPr>
                  <w:tcW w:w="2178" w:type="dxa"/>
                  <w:tcBorders>
                    <w:tl2br w:val="nil"/>
                    <w:tr2bl w:val="nil"/>
                  </w:tcBorders>
                </w:tcPr>
                <w:p w14:paraId="312BFF9D">
                  <w:pPr>
                    <w:pStyle w:val="30"/>
                    <w:widowControl/>
                    <w:spacing w:line="240" w:lineRule="auto"/>
                    <w:ind w:firstLine="0" w:firstLineChars="0"/>
                    <w:jc w:val="center"/>
                    <w:rPr>
                      <w:rFonts w:eastAsia="宋体"/>
                      <w:sz w:val="21"/>
                    </w:rPr>
                  </w:pPr>
                  <w:r>
                    <w:rPr>
                      <w:rFonts w:hint="eastAsia" w:eastAsia="宋体"/>
                      <w:sz w:val="21"/>
                    </w:rPr>
                    <w:t>电焊机</w:t>
                  </w:r>
                </w:p>
              </w:tc>
              <w:tc>
                <w:tcPr>
                  <w:tcW w:w="1679" w:type="dxa"/>
                  <w:tcBorders>
                    <w:tl2br w:val="nil"/>
                    <w:tr2bl w:val="nil"/>
                  </w:tcBorders>
                </w:tcPr>
                <w:p w14:paraId="7FF9F6AF">
                  <w:pPr>
                    <w:pStyle w:val="30"/>
                    <w:widowControl/>
                    <w:spacing w:line="240" w:lineRule="auto"/>
                    <w:ind w:firstLine="0" w:firstLineChars="0"/>
                    <w:jc w:val="center"/>
                    <w:rPr>
                      <w:rFonts w:eastAsia="宋体"/>
                      <w:sz w:val="21"/>
                    </w:rPr>
                  </w:pPr>
                  <w:r>
                    <w:rPr>
                      <w:rFonts w:hint="eastAsia" w:eastAsia="宋体"/>
                      <w:sz w:val="21"/>
                    </w:rPr>
                    <w:t>ZX7-400</w:t>
                  </w:r>
                </w:p>
              </w:tc>
              <w:tc>
                <w:tcPr>
                  <w:tcW w:w="1679" w:type="dxa"/>
                  <w:tcBorders>
                    <w:tl2br w:val="nil"/>
                    <w:tr2bl w:val="nil"/>
                  </w:tcBorders>
                </w:tcPr>
                <w:p w14:paraId="337990CF">
                  <w:pPr>
                    <w:pStyle w:val="30"/>
                    <w:widowControl/>
                    <w:spacing w:line="240" w:lineRule="auto"/>
                    <w:ind w:firstLine="0" w:firstLineChars="0"/>
                    <w:jc w:val="center"/>
                    <w:rPr>
                      <w:rFonts w:eastAsia="宋体"/>
                      <w:sz w:val="21"/>
                    </w:rPr>
                  </w:pPr>
                  <w:r>
                    <w:rPr>
                      <w:rFonts w:hint="eastAsia" w:eastAsia="宋体"/>
                      <w:sz w:val="21"/>
                    </w:rPr>
                    <w:t>台</w:t>
                  </w:r>
                </w:p>
              </w:tc>
              <w:tc>
                <w:tcPr>
                  <w:tcW w:w="1679" w:type="dxa"/>
                  <w:tcBorders>
                    <w:tl2br w:val="nil"/>
                    <w:tr2bl w:val="nil"/>
                  </w:tcBorders>
                </w:tcPr>
                <w:p w14:paraId="59B52B24">
                  <w:pPr>
                    <w:pStyle w:val="30"/>
                    <w:widowControl/>
                    <w:spacing w:line="240" w:lineRule="auto"/>
                    <w:ind w:firstLine="0" w:firstLineChars="0"/>
                    <w:jc w:val="center"/>
                    <w:rPr>
                      <w:rFonts w:eastAsia="宋体"/>
                      <w:sz w:val="21"/>
                    </w:rPr>
                  </w:pPr>
                  <w:r>
                    <w:rPr>
                      <w:rFonts w:hint="eastAsia" w:eastAsia="宋体"/>
                      <w:sz w:val="21"/>
                    </w:rPr>
                    <w:t>2</w:t>
                  </w:r>
                </w:p>
              </w:tc>
            </w:tr>
            <w:tr w14:paraId="7F21FF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l2br w:val="nil"/>
                    <w:tr2bl w:val="nil"/>
                  </w:tcBorders>
                  <w:vAlign w:val="center"/>
                </w:tcPr>
                <w:p w14:paraId="6CF95B69">
                  <w:pPr>
                    <w:pStyle w:val="30"/>
                    <w:widowControl/>
                    <w:numPr>
                      <w:ilvl w:val="0"/>
                      <w:numId w:val="4"/>
                    </w:numPr>
                    <w:spacing w:line="240" w:lineRule="auto"/>
                    <w:ind w:firstLineChars="0"/>
                    <w:jc w:val="center"/>
                    <w:rPr>
                      <w:rFonts w:eastAsia="宋体"/>
                      <w:sz w:val="21"/>
                    </w:rPr>
                  </w:pPr>
                </w:p>
              </w:tc>
              <w:tc>
                <w:tcPr>
                  <w:tcW w:w="2178" w:type="dxa"/>
                  <w:tcBorders>
                    <w:tl2br w:val="nil"/>
                    <w:tr2bl w:val="nil"/>
                  </w:tcBorders>
                </w:tcPr>
                <w:p w14:paraId="3534AC41">
                  <w:pPr>
                    <w:pStyle w:val="30"/>
                    <w:widowControl/>
                    <w:spacing w:line="240" w:lineRule="auto"/>
                    <w:ind w:firstLine="0" w:firstLineChars="0"/>
                    <w:jc w:val="center"/>
                    <w:rPr>
                      <w:rFonts w:eastAsia="宋体"/>
                      <w:sz w:val="21"/>
                    </w:rPr>
                  </w:pPr>
                  <w:r>
                    <w:rPr>
                      <w:rFonts w:hint="eastAsia" w:eastAsia="宋体"/>
                      <w:sz w:val="21"/>
                    </w:rPr>
                    <w:t>钢筋加工设备</w:t>
                  </w:r>
                </w:p>
              </w:tc>
              <w:tc>
                <w:tcPr>
                  <w:tcW w:w="1679" w:type="dxa"/>
                  <w:tcBorders>
                    <w:tl2br w:val="nil"/>
                    <w:tr2bl w:val="nil"/>
                  </w:tcBorders>
                </w:tcPr>
                <w:p w14:paraId="40C0FCAD">
                  <w:pPr>
                    <w:pStyle w:val="30"/>
                    <w:widowControl/>
                    <w:spacing w:line="240" w:lineRule="auto"/>
                    <w:ind w:firstLine="0" w:firstLineChars="0"/>
                    <w:jc w:val="center"/>
                    <w:rPr>
                      <w:rFonts w:eastAsia="宋体"/>
                      <w:sz w:val="21"/>
                    </w:rPr>
                  </w:pPr>
                </w:p>
              </w:tc>
              <w:tc>
                <w:tcPr>
                  <w:tcW w:w="1679" w:type="dxa"/>
                  <w:tcBorders>
                    <w:tl2br w:val="nil"/>
                    <w:tr2bl w:val="nil"/>
                  </w:tcBorders>
                </w:tcPr>
                <w:p w14:paraId="46AA4221">
                  <w:pPr>
                    <w:pStyle w:val="30"/>
                    <w:widowControl/>
                    <w:spacing w:line="240" w:lineRule="auto"/>
                    <w:ind w:firstLine="0" w:firstLineChars="0"/>
                    <w:jc w:val="center"/>
                    <w:rPr>
                      <w:rFonts w:eastAsia="宋体"/>
                      <w:sz w:val="21"/>
                    </w:rPr>
                  </w:pPr>
                  <w:r>
                    <w:rPr>
                      <w:rFonts w:hint="eastAsia" w:eastAsia="宋体"/>
                      <w:sz w:val="21"/>
                    </w:rPr>
                    <w:t>套</w:t>
                  </w:r>
                </w:p>
              </w:tc>
              <w:tc>
                <w:tcPr>
                  <w:tcW w:w="1679" w:type="dxa"/>
                  <w:tcBorders>
                    <w:tl2br w:val="nil"/>
                    <w:tr2bl w:val="nil"/>
                  </w:tcBorders>
                </w:tcPr>
                <w:p w14:paraId="0CB7B832">
                  <w:pPr>
                    <w:pStyle w:val="30"/>
                    <w:widowControl/>
                    <w:spacing w:line="240" w:lineRule="auto"/>
                    <w:ind w:firstLine="0" w:firstLineChars="0"/>
                    <w:jc w:val="center"/>
                    <w:rPr>
                      <w:rFonts w:eastAsia="宋体"/>
                      <w:sz w:val="21"/>
                    </w:rPr>
                  </w:pPr>
                  <w:r>
                    <w:rPr>
                      <w:rFonts w:hint="eastAsia" w:eastAsia="宋体"/>
                      <w:sz w:val="21"/>
                    </w:rPr>
                    <w:t>1</w:t>
                  </w:r>
                </w:p>
              </w:tc>
            </w:tr>
          </w:tbl>
          <w:p w14:paraId="56491C3A">
            <w:pPr>
              <w:ind w:firstLine="0" w:firstLineChars="0"/>
              <w:rPr>
                <w:b/>
                <w:bCs/>
              </w:rPr>
            </w:pPr>
            <w:r>
              <w:rPr>
                <w:rFonts w:hint="eastAsia"/>
                <w:b/>
                <w:bCs/>
              </w:rPr>
              <w:t>四、工程建设任务</w:t>
            </w:r>
          </w:p>
          <w:p w14:paraId="4DCCB3E9">
            <w:pPr>
              <w:ind w:firstLine="480"/>
            </w:pPr>
            <w:r>
              <w:t>本工程为巴中市巴州区檬子河流域水环境综合治理项目，建设任务以河道水生态修复、流域面源污染管控为核心，通过控流导流闸坝、生态护岸、生态步道、生态草沟及滨河休闲广场等工程实施，修复檬子河水生生态系统，同时提升河道行洪安全、打造滨水生态休闲空间。</w:t>
            </w:r>
          </w:p>
          <w:p w14:paraId="411EDF7D">
            <w:pPr>
              <w:ind w:firstLine="480"/>
            </w:pPr>
            <w:r>
              <w:t>控流导流设施建成后可稳定檬子河常态生态水位，消除河道季节性断流，构建连续完整河道水体廊道；配套实施全线堤岸生态化整治，与河道水域联动构建滨水生态体系，形成檬子河城区段生态长廊。工程配套生态护岸实施后可稳固岸坡、稳定河势，堤岸整体满足区域防洪排涝需求，汛期闸坝闸门完全敞泄行洪，保障沿线城区、居民区及配套设施防洪安全。稳定的河道水深可营造深潭、浅滩多样化水生境，提升水体自净能力，改善流域水环境质量，恢复河道土著水生生物栖息环境。</w:t>
            </w:r>
          </w:p>
          <w:p w14:paraId="5870A330">
            <w:pPr>
              <w:ind w:firstLine="480"/>
            </w:pPr>
            <w:r>
              <w:t>项目同步配套台地草坪、生态植草沟、步道、休闲广场等生态海绵设施，生态草沟可滞留、净化地表雨水径流，管控城市面源污染；沿线布设连续绿化空间，栽植湿生、乡土乔灌草植被，搭配亲水步道、防护护栏打造滨水休闲景观，为市民提供休闲游憩场所，提升片区人居环境品质。工程无灌溉、发电、航运开发任务，通过水位精细化调控、生态流量持续下泄，维系河道基本生态用水，充分发挥流域水环境治理、生态保育、防洪安全、城市休闲的综合效益，助力区域水生态环境可持续改善。</w:t>
            </w:r>
          </w:p>
          <w:p w14:paraId="74314E0A">
            <w:pPr>
              <w:ind w:firstLine="0" w:firstLineChars="0"/>
              <w:rPr>
                <w:b/>
                <w:bCs/>
              </w:rPr>
            </w:pPr>
            <w:r>
              <w:rPr>
                <w:rFonts w:hint="eastAsia"/>
                <w:b/>
                <w:bCs/>
              </w:rPr>
              <w:t>五、工程设计与布置</w:t>
            </w:r>
          </w:p>
          <w:p w14:paraId="228BBB2A">
            <w:pPr>
              <w:ind w:firstLine="482"/>
              <w:rPr>
                <w:b/>
                <w:bCs/>
              </w:rPr>
            </w:pPr>
            <w:r>
              <w:rPr>
                <w:rFonts w:hint="eastAsia"/>
                <w:b/>
                <w:bCs/>
              </w:rPr>
              <w:t>1、工程等级和标准</w:t>
            </w:r>
          </w:p>
          <w:p w14:paraId="6597F287">
            <w:pPr>
              <w:ind w:firstLine="482"/>
            </w:pPr>
            <w:r>
              <w:rPr>
                <w:rFonts w:hint="eastAsia"/>
                <w:b/>
                <w:bCs/>
              </w:rPr>
              <w:t>（1）设计水平年</w:t>
            </w:r>
          </w:p>
          <w:p w14:paraId="11400EB2">
            <w:pPr>
              <w:ind w:firstLine="480"/>
            </w:pPr>
            <w:r>
              <w:rPr>
                <w:rFonts w:hint="eastAsia"/>
              </w:rPr>
              <w:t>现状的基准年为2025年，设计水平年为2028年。</w:t>
            </w:r>
          </w:p>
          <w:p w14:paraId="61807A7C">
            <w:pPr>
              <w:ind w:firstLine="482"/>
              <w:rPr>
                <w:b/>
                <w:bCs/>
              </w:rPr>
            </w:pPr>
            <w:r>
              <w:rPr>
                <w:rFonts w:hint="eastAsia"/>
                <w:b/>
                <w:bCs/>
              </w:rPr>
              <w:t>（2）防洪标准</w:t>
            </w:r>
          </w:p>
          <w:p w14:paraId="18E7CD40">
            <w:pPr>
              <w:ind w:firstLine="480"/>
            </w:pPr>
            <w:r>
              <w:t>本项目控流导流设施为Ⅳ等</w:t>
            </w:r>
            <w:r>
              <w:rPr>
                <w:rFonts w:hint="eastAsia"/>
              </w:rPr>
              <w:t>小（1型）</w:t>
            </w:r>
            <w:r>
              <w:t>，主要建筑物按</w:t>
            </w:r>
            <w:r>
              <w:rPr>
                <w:rFonts w:hint="eastAsia"/>
              </w:rPr>
              <w:t>4</w:t>
            </w:r>
            <w:r>
              <w:t>级设计，次要建筑物按4级设计，临时建筑物按5级设计；工程防洪标准按</w:t>
            </w:r>
            <w:r>
              <w:rPr>
                <w:rFonts w:hint="eastAsia"/>
              </w:rPr>
              <w:t>20</w:t>
            </w:r>
            <w:r>
              <w:t>年一遇设计，</w:t>
            </w:r>
            <w:r>
              <w:rPr>
                <w:rFonts w:hint="eastAsia"/>
              </w:rPr>
              <w:t>50</w:t>
            </w:r>
            <w:r>
              <w:t>年一遇校核；生态护岸工程建筑物为</w:t>
            </w:r>
            <w:r>
              <w:rPr>
                <w:rFonts w:hint="eastAsia"/>
              </w:rPr>
              <w:t>4</w:t>
            </w:r>
            <w:r>
              <w:t>级</w:t>
            </w:r>
            <w:r>
              <w:rPr>
                <w:rFonts w:hint="eastAsia"/>
              </w:rPr>
              <w:t>，</w:t>
            </w:r>
            <w:r>
              <w:t>防洪标准为50年一遇。工程抗震设防类别为丙类，抗震设计烈度为Ⅵ度。</w:t>
            </w:r>
          </w:p>
          <w:p w14:paraId="0FB9E0CD">
            <w:pPr>
              <w:ind w:firstLine="482"/>
              <w:rPr>
                <w:b/>
                <w:bCs/>
              </w:rPr>
            </w:pPr>
            <w:r>
              <w:rPr>
                <w:rFonts w:hint="eastAsia"/>
                <w:b/>
                <w:bCs/>
              </w:rPr>
              <w:t>2、工程布置</w:t>
            </w:r>
          </w:p>
          <w:p w14:paraId="68F1D610">
            <w:pPr>
              <w:ind w:firstLine="482"/>
            </w:pPr>
            <w:r>
              <w:rPr>
                <w:rFonts w:hint="eastAsia"/>
                <w:b/>
                <w:bCs/>
              </w:rPr>
              <w:t>2.1 控流导流设施</w:t>
            </w:r>
          </w:p>
          <w:p w14:paraId="20AE097E">
            <w:pPr>
              <w:ind w:firstLine="480"/>
            </w:pPr>
            <w:r>
              <w:rPr>
                <w:rFonts w:hint="eastAsia"/>
              </w:rPr>
              <w:t>控流导流设施（生态景观控流闸）</w:t>
            </w:r>
            <w:r>
              <w:t>闸址位于</w:t>
            </w:r>
            <w:r>
              <w:rPr>
                <w:rFonts w:hint="eastAsia"/>
                <w:lang w:val="en-US" w:eastAsia="zh-CN"/>
              </w:rPr>
              <w:t>巴河</w:t>
            </w:r>
            <w:r>
              <w:t>与檬子河汇口上游约300m处。水闸顺水流方向依次布置铺盖段、闸室段、护坦。</w:t>
            </w:r>
          </w:p>
          <w:p w14:paraId="4FAEECE8">
            <w:pPr>
              <w:ind w:firstLine="480"/>
            </w:pPr>
            <w:r>
              <w:t>闸室段顺水流方向长16.2m，轴线长52.0m，沿轴线从左至右依次布置左岸启闭机室、40×4.5m（宽×高）底轴旋转钢闸坝，右岸启闭机室。底轴旋转钢闸门立门挡水时允许堰顶溢流水头0.30m，即立门挡水最高运行水位346.30m。左岸连接段上下游翼墙下部为衡重式挡土墙，上部为1</w:t>
            </w:r>
            <w:r>
              <w:rPr>
                <w:rFonts w:hint="eastAsia"/>
              </w:rPr>
              <w:t>：</w:t>
            </w:r>
            <w:r>
              <w:t>2框格梁植草护坡，右岸岸连接段下部为仰斜式墙与现状堤防衔接。</w:t>
            </w:r>
          </w:p>
          <w:p w14:paraId="04C35AB9">
            <w:pPr>
              <w:ind w:firstLine="480"/>
            </w:pPr>
            <w:r>
              <w:rPr>
                <w:rFonts w:hint="eastAsia"/>
              </w:rPr>
              <w:t>（1）闸室段轴线长52m，共布置1孔40.0m×45.0m（宽×高）底轴旋转钢闸门，过流净宽40m。闸室两侧为液压启闭机室，启闭机室与闸底板、闸底板中部设结构分缝，内设651型橡胶止水带止水，闸底板及启闭机室室均为C30W4F50钢筋砼结构。闸底板顺水流方向长16.2m，堰型采用宽顶堰，堰顶高程341.50m，建基面高程为337.00m，闸室底板底部设0.1m厚C20砼垫层。两侧启闭机室呈对称布置，顶部高程353.10m，与现状地面或堤防顶部连接。启闭机室顺水流向总长20.85m，宽6.0m，高16.1m，净宽3.5m，临水侧墙厚1.5m，背水侧墙厚1.0m，上、下游端墙均厚0.6m，底板厚2.8m，采用C30W4F50钢筋砼结构，底部设0.1m厚C20砼垫层。二期砼采用C40标号。右岸启闭机室段施工时需要对现有堤防进行保护，基坑开挖前需打入SP-U400×170×15.5钢板桩，桩长L=15m，启闭机室浇筑完成养护后，与现有防洪堤间空隙采用C20素砼填充。左岸直接土石方填筑后在上部建设管理房。</w:t>
            </w:r>
          </w:p>
          <w:p w14:paraId="557C27E6">
            <w:pPr>
              <w:ind w:firstLine="480"/>
            </w:pPr>
            <w:r>
              <w:rPr>
                <w:rFonts w:hint="eastAsia"/>
              </w:rPr>
              <w:t>（2）闸室上游侧设长10m水平防渗铺盖，顶高程340.00m，厚度0.5m，铺盖前端设1.0m深防渗齿槽，铺盖采用C30W4F50钢筋砼浇筑，下设0.1m厚C20砼垫层。铺盖间结构缝、铺盖与闸底板、两侧导墙连接处结构缝均20mm 厚，采用聚乙烯闭孔泡沫板填缝，651型橡胶止水带止水。</w:t>
            </w:r>
          </w:p>
          <w:p w14:paraId="17138158">
            <w:pPr>
              <w:ind w:firstLine="480"/>
            </w:pPr>
            <w:r>
              <w:rPr>
                <w:rFonts w:hint="eastAsia"/>
              </w:rPr>
              <w:t>（3）闸底板下游接20m长护坦，采用1.0m厚C30W4F50钢筋砼浇筑，并设DN75PVC排水管反滤排水孔，间排距2m，梅花型布置。下设0.1m厚C20砼垫层及0.6m厚反滤层：自上而下依次为碎石层厚200mm（d=5~20mm）、豆石层厚200mm（d=1~5mm）、粗砂层厚200mm（d=0.25~1mm）、涤纶针刺非织造土工布（300g/㎡）。护坦末端设3.5m深齿槽，内抛填大块石防冲。</w:t>
            </w:r>
          </w:p>
          <w:p w14:paraId="6255B7D3">
            <w:pPr>
              <w:ind w:firstLine="480"/>
            </w:pPr>
            <w:r>
              <w:rPr>
                <w:rFonts w:hint="eastAsia"/>
              </w:rPr>
              <w:t>（4）水闸左岸上游翼墙顺水流方向长10m，下游长20.85m。下部采用C25W4F50砼衡重式挡墙；墙顶高程346.33m，墙高7.5m，墙顶宽度0.5m，迎水面坡1：0.05，背坡上部坡比1：0.77、下墙坡比均为1：0.25，衡重台宽0.717m，墙底宽3.13m；缝间设止水。挡墙顶部以上为1：2框格梁植草护坡，框格梁断面尺寸300mm×300mm，采用C30钢筋砼浇筑，框格梁净距为2m×2m，内填300mm耕植土，撒播草籽。水闸左岸上游翼墙顺水流方向长10m，下游长20.85m，均采用总高3.96仰斜式挡墙与现有堤防迎水面衔接。仰斜式挡墙迎水侧坡度1：0.75，背水侧为1：0.5，顶宽0.5m，底宽1.49m。</w:t>
            </w:r>
          </w:p>
          <w:p w14:paraId="0D7A15F6">
            <w:pPr>
              <w:ind w:firstLine="482"/>
              <w:rPr>
                <w:b/>
                <w:bCs/>
              </w:rPr>
            </w:pPr>
            <w:r>
              <w:rPr>
                <w:rFonts w:hint="eastAsia"/>
                <w:b/>
                <w:bCs/>
              </w:rPr>
              <w:t>2.2 生态护岸</w:t>
            </w:r>
          </w:p>
          <w:p w14:paraId="1FA93EF5">
            <w:pPr>
              <w:ind w:firstLine="480"/>
            </w:pPr>
            <w:r>
              <w:rPr>
                <w:rFonts w:hint="eastAsia"/>
              </w:rPr>
              <w:t>本次治理生态护岸面积50122.41㎡（6公里），新建驳岸44339㎡，新建驳岸总长5714m，其中，左岸驳岸长3004m（驳KZ0+000-驳KZ2+108（上）、驳KZ2+180-驳KZ3+004），右岸驳岸长2710m（驳KY0+000-驳KY2+710），驳岸顶高程351.50m，对应河道常水位346.00m，河底340.50m、基础底338.50m采用“石笼护脚+植被护坡”工艺，石笼网选用PET链锁笼，内填块石，上部铺设30cm厚耕植土，种植狗牙根、紫穗槐等乡土植被。</w:t>
            </w:r>
          </w:p>
          <w:p w14:paraId="7B77219D">
            <w:pPr>
              <w:ind w:firstLine="482"/>
              <w:rPr>
                <w:b/>
                <w:bCs/>
              </w:rPr>
            </w:pPr>
            <w:r>
              <w:rPr>
                <w:rFonts w:hint="eastAsia"/>
                <w:b/>
                <w:bCs/>
              </w:rPr>
              <w:t>2.</w:t>
            </w:r>
            <w:r>
              <w:rPr>
                <w:rFonts w:hint="eastAsia"/>
                <w:b/>
                <w:bCs/>
                <w:lang w:val="en-US" w:eastAsia="zh-CN"/>
              </w:rPr>
              <w:t>3</w:t>
            </w:r>
            <w:r>
              <w:rPr>
                <w:rFonts w:hint="eastAsia"/>
                <w:b/>
                <w:bCs/>
              </w:rPr>
              <w:t xml:space="preserve"> 生态隔离带</w:t>
            </w:r>
          </w:p>
          <w:p w14:paraId="2451769A">
            <w:pPr>
              <w:ind w:firstLine="480"/>
            </w:pPr>
            <w:r>
              <w:rPr>
                <w:rFonts w:hint="eastAsia"/>
              </w:rPr>
              <w:t>（1）台地草坪场地：根据现状地形高差，布置台地空间，铺装材料以彩色透水混凝土和花岗岩台阶为主。</w:t>
            </w:r>
          </w:p>
          <w:p w14:paraId="643FC171">
            <w:pPr>
              <w:ind w:firstLine="480"/>
            </w:pPr>
            <w:r>
              <w:rPr>
                <w:rFonts w:hint="eastAsia"/>
              </w:rPr>
              <w:t>（2）生态植草沟：于滨水游步道一侧设置生态植草沟</w:t>
            </w:r>
            <w:r>
              <w:t>，宽1米，深20-30公分，底部散铺卵石，种植耐水湿地被植物，通过植被滞留作用降低径流速度，减少地表径流量，实现雨水净化、雨水调控、改善生态环境和生态保育的作用</w:t>
            </w:r>
          </w:p>
          <w:p w14:paraId="7CED0189">
            <w:pPr>
              <w:ind w:firstLine="482"/>
              <w:rPr>
                <w:b/>
                <w:bCs/>
              </w:rPr>
            </w:pPr>
            <w:r>
              <w:rPr>
                <w:rFonts w:hint="eastAsia"/>
                <w:b/>
                <w:bCs/>
              </w:rPr>
              <w:t>2.</w:t>
            </w:r>
            <w:r>
              <w:rPr>
                <w:rFonts w:hint="eastAsia"/>
                <w:b/>
                <w:bCs/>
                <w:lang w:val="en-US" w:eastAsia="zh-CN"/>
              </w:rPr>
              <w:t>4</w:t>
            </w:r>
            <w:r>
              <w:rPr>
                <w:rFonts w:hint="eastAsia"/>
                <w:b/>
                <w:bCs/>
              </w:rPr>
              <w:t xml:space="preserve"> 生态步道及护栏等配套设施</w:t>
            </w:r>
          </w:p>
          <w:p w14:paraId="2B60DDC8">
            <w:pPr>
              <w:ind w:firstLine="480"/>
            </w:pPr>
            <w:r>
              <w:rPr>
                <w:rFonts w:hint="eastAsia"/>
              </w:rPr>
              <w:t>（1）滨水游步道</w:t>
            </w:r>
          </w:p>
          <w:p w14:paraId="3E29029F">
            <w:pPr>
              <w:ind w:firstLine="480"/>
            </w:pPr>
            <w:r>
              <w:t>滨水步道2.5-3.0米宽，采用80厚6mm粒径C25彩色透水混凝土面层，5厚不锈钢板收边。</w:t>
            </w:r>
          </w:p>
          <w:p w14:paraId="465653BF">
            <w:pPr>
              <w:ind w:firstLine="480"/>
            </w:pPr>
            <w:r>
              <w:t>园路采用60厚灰色透水砖面层，100宽预制混凝土平道牙收边。</w:t>
            </w:r>
          </w:p>
          <w:p w14:paraId="78D792E3">
            <w:pPr>
              <w:ind w:firstLine="480"/>
            </w:pPr>
            <w:r>
              <w:rPr>
                <w:rFonts w:hint="eastAsia"/>
              </w:rPr>
              <w:t>（2）铺装场地</w:t>
            </w:r>
          </w:p>
          <w:p w14:paraId="012AF9C4">
            <w:pPr>
              <w:ind w:firstLine="480"/>
            </w:pPr>
            <w:r>
              <w:t>活动场地：铺装材料以彩色透水混凝土、透水砖为主，满足周边居民日常活动需求</w:t>
            </w:r>
            <w:r>
              <w:rPr>
                <w:rFonts w:hint="eastAsia"/>
              </w:rPr>
              <w:t>。</w:t>
            </w:r>
          </w:p>
          <w:p w14:paraId="68BC8BDF">
            <w:pPr>
              <w:ind w:firstLine="480"/>
            </w:pPr>
            <w:r>
              <w:t>运动场地：以彩色塑胶及硅PU铺装材料为主，打造高质量运动场地，包含篮球场、网球场、羽毛球场等。</w:t>
            </w:r>
          </w:p>
          <w:p w14:paraId="244EE8A5">
            <w:pPr>
              <w:ind w:firstLine="480"/>
            </w:pPr>
            <w:r>
              <w:rPr>
                <w:rFonts w:hint="eastAsia"/>
              </w:rPr>
              <w:t>（3）运动场地：充分利用后河桥桥下空间和南侧空闲场地，营造运动休闲为主要功能的活动场地。设置篮球场、羽毛球场、健身器械等，同时布置休憩坐凳等设施，完善基础配套，方便周边居民日常锻炼、休闲活动。</w:t>
            </w:r>
          </w:p>
          <w:p w14:paraId="023FBFD6">
            <w:pPr>
              <w:ind w:firstLine="480"/>
            </w:pPr>
            <w:r>
              <w:rPr>
                <w:rFonts w:hint="eastAsia"/>
              </w:rPr>
              <w:t>（4）</w:t>
            </w:r>
            <w:r>
              <w:t>标识牌：采用三级导览系统，分为一级导览牌，二级指向导览牌，三级方向指引牌，分别布置于主要出入口，场地处，及道路交叉口。</w:t>
            </w:r>
          </w:p>
          <w:p w14:paraId="62AF2991">
            <w:pPr>
              <w:ind w:firstLine="480"/>
            </w:pPr>
            <w:r>
              <w:rPr>
                <w:rFonts w:hint="eastAsia"/>
              </w:rPr>
              <w:t>（5）</w:t>
            </w:r>
            <w:r>
              <w:t>停车场：设置生态停车场3片，停车位共400个，其中包含充电桩100个；停车场为透水混凝土面层。</w:t>
            </w:r>
          </w:p>
          <w:p w14:paraId="74DA7BB0">
            <w:pPr>
              <w:ind w:firstLine="0" w:firstLineChars="0"/>
            </w:pPr>
            <w:r>
              <w:rPr>
                <w:rFonts w:hint="eastAsia"/>
                <w:b/>
                <w:bCs/>
              </w:rPr>
              <w:t>六、工程占地及建设征地与移民安置</w:t>
            </w:r>
          </w:p>
          <w:p w14:paraId="7CC801E0">
            <w:pPr>
              <w:ind w:firstLine="482"/>
            </w:pPr>
            <w:r>
              <w:rPr>
                <w:rFonts w:hint="eastAsia"/>
                <w:b/>
                <w:bCs/>
              </w:rPr>
              <w:t>1、工程占地</w:t>
            </w:r>
          </w:p>
          <w:p w14:paraId="1FFCE0CB">
            <w:pPr>
              <w:ind w:firstLine="480"/>
            </w:pPr>
            <w:r>
              <w:rPr>
                <w:rFonts w:hint="eastAsia"/>
              </w:rPr>
              <w:t>根据《巴中市檬子河流域水环境综合治理项目（一期）水土保持方案报告书》（2026年5月），本项目总用地</w:t>
            </w:r>
            <w:r>
              <w:rPr>
                <w:rFonts w:hint="eastAsia"/>
                <w:lang w:val="en-US" w:eastAsia="zh-CN"/>
              </w:rPr>
              <w:t>20.94</w:t>
            </w:r>
            <w:r>
              <w:rPr>
                <w:rFonts w:hint="eastAsia"/>
              </w:rPr>
              <w:t>hm²，其中，水域面积8.756hm²（临时占地），陆地面积</w:t>
            </w:r>
            <w:r>
              <w:rPr>
                <w:rFonts w:hint="eastAsia"/>
                <w:lang w:val="en-US" w:eastAsia="zh-CN"/>
              </w:rPr>
              <w:t>12.184</w:t>
            </w:r>
            <w:r>
              <w:rPr>
                <w:rFonts w:hint="eastAsia"/>
              </w:rPr>
              <w:t>hm²（永久占地）。其中河道整治工程占地13.31hm²、景观绿化工程占地0.65hm²、附属工程占地2.23hm²</w:t>
            </w:r>
            <w:r>
              <w:rPr>
                <w:rFonts w:hint="eastAsia"/>
                <w:lang w:eastAsia="zh-CN"/>
              </w:rPr>
              <w:t>（</w:t>
            </w:r>
            <w:r>
              <w:rPr>
                <w:rFonts w:hint="eastAsia"/>
                <w:lang w:val="en-US" w:eastAsia="zh-CN"/>
              </w:rPr>
              <w:t>包含</w:t>
            </w:r>
            <w:r>
              <w:rPr>
                <w:rFonts w:hint="eastAsia"/>
                <w:lang w:eastAsia="zh-CN"/>
              </w:rPr>
              <w:t>）</w:t>
            </w:r>
            <w:r>
              <w:rPr>
                <w:rFonts w:hint="eastAsia"/>
              </w:rPr>
              <w:t>，保留区面积4.90hm²</w:t>
            </w:r>
            <w:r>
              <w:rPr>
                <w:rFonts w:hint="eastAsia"/>
                <w:lang w:eastAsia="zh-CN"/>
              </w:rPr>
              <w:t>（秦巴大道桥处至檬子河中桥处进行保留，对该区不进行扰动）</w:t>
            </w:r>
            <w:r>
              <w:rPr>
                <w:rFonts w:hint="eastAsia"/>
              </w:rPr>
              <w:t>，占地类型为耕地、建设用地、其他用地、水域及水利设施用地。本项目不涉及基本农田和公益林。本项目开工前应按相关要求办理用地手续。</w:t>
            </w:r>
          </w:p>
          <w:p w14:paraId="43488D4F">
            <w:pPr>
              <w:ind w:firstLine="482"/>
            </w:pPr>
            <w:r>
              <w:rPr>
                <w:rFonts w:hint="eastAsia"/>
                <w:b/>
                <w:bCs/>
              </w:rPr>
              <w:t>2、建设征地与移民安置</w:t>
            </w:r>
          </w:p>
          <w:p w14:paraId="5161E711">
            <w:pPr>
              <w:ind w:firstLine="480"/>
            </w:pPr>
            <w:r>
              <w:rPr>
                <w:rFonts w:hint="eastAsia"/>
              </w:rPr>
              <w:t>本项目不涉及建设征地与搬迁。</w:t>
            </w:r>
          </w:p>
          <w:p w14:paraId="33EA4913">
            <w:pPr>
              <w:ind w:firstLine="0" w:firstLineChars="0"/>
              <w:rPr>
                <w:b/>
                <w:bCs/>
              </w:rPr>
            </w:pPr>
            <w:r>
              <w:rPr>
                <w:rFonts w:hint="eastAsia"/>
                <w:b/>
                <w:bCs/>
              </w:rPr>
              <w:t>七、土石方</w:t>
            </w:r>
          </w:p>
          <w:p w14:paraId="3E0225D5">
            <w:pPr>
              <w:ind w:firstLine="482"/>
            </w:pPr>
            <w:r>
              <w:rPr>
                <w:rFonts w:hint="eastAsia"/>
                <w:b/>
                <w:bCs/>
              </w:rPr>
              <w:t>（1）土石方平衡</w:t>
            </w:r>
          </w:p>
          <w:p w14:paraId="7372449A">
            <w:pPr>
              <w:ind w:firstLine="480"/>
            </w:pPr>
            <w:r>
              <w:t>本项目一般土石方挖方总量19.0万m³（含表土剥离0.2万m³），填方总量19.0万m³（含表土回覆0.2万m³），挖填平衡，无一般土石方弃方。</w:t>
            </w:r>
          </w:p>
          <w:p w14:paraId="60A0C36C">
            <w:pPr>
              <w:ind w:firstLine="480"/>
              <w:rPr>
                <w:rFonts w:hint="eastAsia"/>
                <w:vertAlign w:val="baseline"/>
                <w:lang w:val="en-US" w:eastAsia="zh-CN"/>
              </w:rPr>
            </w:pPr>
            <w:r>
              <w:rPr>
                <w:rFonts w:hint="eastAsia"/>
                <w:lang w:val="en-US" w:eastAsia="zh-CN"/>
              </w:rPr>
              <w:t>①本项目生态护岸基础开挖、控流导流建设等，共挖土方2.7万m</w:t>
            </w:r>
            <w:r>
              <w:rPr>
                <w:rFonts w:hint="eastAsia"/>
                <w:vertAlign w:val="superscript"/>
                <w:lang w:val="en-US" w:eastAsia="zh-CN"/>
              </w:rPr>
              <w:t>3</w:t>
            </w:r>
            <w:r>
              <w:rPr>
                <w:rFonts w:hint="eastAsia"/>
                <w:vertAlign w:val="baseline"/>
                <w:lang w:val="en-US" w:eastAsia="zh-CN"/>
              </w:rPr>
              <w:t>（含剥离表土0.02万m</w:t>
            </w:r>
            <w:r>
              <w:rPr>
                <w:rFonts w:hint="eastAsia"/>
                <w:vertAlign w:val="superscript"/>
                <w:lang w:val="en-US" w:eastAsia="zh-CN"/>
              </w:rPr>
              <w:t>3</w:t>
            </w:r>
            <w:r>
              <w:rPr>
                <w:rFonts w:hint="eastAsia"/>
                <w:vertAlign w:val="baseline"/>
                <w:lang w:val="en-US" w:eastAsia="zh-CN"/>
              </w:rPr>
              <w:t>），填方2.68万（本区域利用填方2.68万m³），剩余0.02万m³表土用于本项目景观绿化。</w:t>
            </w:r>
          </w:p>
          <w:p w14:paraId="5B651778">
            <w:pPr>
              <w:ind w:firstLine="480"/>
              <w:rPr>
                <w:rFonts w:hint="default" w:eastAsia="宋体"/>
                <w:vertAlign w:val="baseline"/>
                <w:lang w:val="en-US" w:eastAsia="zh-CN"/>
              </w:rPr>
            </w:pPr>
            <w:r>
              <w:rPr>
                <w:rFonts w:hint="eastAsia"/>
                <w:vertAlign w:val="baseline"/>
                <w:lang w:val="en-US" w:eastAsia="zh-CN"/>
              </w:rPr>
              <w:t>②本项目场地平整、建筑物基础开挖、道路开挖回填、运动场地开挖回填等其他附属工程共挖方16.3</w:t>
            </w:r>
            <w:r>
              <w:t>万m³</w:t>
            </w:r>
            <w:r>
              <w:rPr>
                <w:rFonts w:hint="eastAsia"/>
                <w:lang w:eastAsia="zh-CN"/>
              </w:rPr>
              <w:t>（</w:t>
            </w:r>
            <w:r>
              <w:t>含表土剥离</w:t>
            </w:r>
            <w:r>
              <w:rPr>
                <w:rFonts w:hint="eastAsia"/>
                <w:lang w:val="en-US" w:eastAsia="zh-CN"/>
              </w:rPr>
              <w:t>0.18</w:t>
            </w:r>
            <w:r>
              <w:t>万m³</w:t>
            </w:r>
            <w:r>
              <w:rPr>
                <w:rFonts w:hint="eastAsia"/>
                <w:lang w:eastAsia="zh-CN"/>
              </w:rPr>
              <w:t>），</w:t>
            </w:r>
            <w:r>
              <w:rPr>
                <w:rFonts w:hint="eastAsia"/>
                <w:lang w:val="en-US" w:eastAsia="zh-CN"/>
              </w:rPr>
              <w:t>填方1</w:t>
            </w:r>
            <w:r>
              <w:rPr>
                <w:rFonts w:hint="eastAsia"/>
                <w:vertAlign w:val="baseline"/>
                <w:lang w:val="en-US" w:eastAsia="zh-CN"/>
              </w:rPr>
              <w:t>6.3</w:t>
            </w:r>
            <w:r>
              <w:t>万m³</w:t>
            </w:r>
            <w:r>
              <w:rPr>
                <w:rFonts w:hint="eastAsia"/>
                <w:lang w:eastAsia="zh-CN"/>
              </w:rPr>
              <w:t>，</w:t>
            </w:r>
            <w:r>
              <w:rPr>
                <w:rFonts w:hint="eastAsia"/>
                <w:lang w:val="en-US" w:eastAsia="zh-CN"/>
              </w:rPr>
              <w:t>剩余1.18</w:t>
            </w:r>
            <w:r>
              <w:rPr>
                <w:rFonts w:hint="eastAsia"/>
                <w:vertAlign w:val="baseline"/>
                <w:lang w:val="en-US" w:eastAsia="zh-CN"/>
              </w:rPr>
              <w:t>万m³表土用于本项目景观绿化</w:t>
            </w:r>
          </w:p>
          <w:p w14:paraId="01BEBB30">
            <w:pPr>
              <w:ind w:firstLine="482"/>
            </w:pPr>
            <w:r>
              <w:rPr>
                <w:rFonts w:hint="eastAsia"/>
                <w:b/>
                <w:bCs/>
              </w:rPr>
              <w:t>（2）弃渣场</w:t>
            </w:r>
          </w:p>
          <w:p w14:paraId="0D1FE201">
            <w:pPr>
              <w:ind w:firstLine="480"/>
            </w:pPr>
            <w:r>
              <w:rPr>
                <w:rFonts w:hint="eastAsia"/>
              </w:rPr>
              <w:t>本项目土石方平衡，不单独设置弃渣场。</w:t>
            </w:r>
          </w:p>
          <w:p w14:paraId="1B2DF15F">
            <w:pPr>
              <w:ind w:firstLine="0" w:firstLineChars="0"/>
              <w:rPr>
                <w:b/>
                <w:bCs/>
              </w:rPr>
            </w:pPr>
            <w:r>
              <w:rPr>
                <w:rFonts w:hint="eastAsia"/>
                <w:b/>
                <w:bCs/>
              </w:rPr>
              <w:t>九、公用工程</w:t>
            </w:r>
          </w:p>
          <w:p w14:paraId="4C918C0A">
            <w:pPr>
              <w:ind w:firstLine="482"/>
            </w:pPr>
            <w:r>
              <w:rPr>
                <w:b/>
                <w:bCs/>
              </w:rPr>
              <w:t>1、施工供水</w:t>
            </w:r>
          </w:p>
          <w:p w14:paraId="06B6319E">
            <w:pPr>
              <w:ind w:firstLine="480"/>
            </w:pPr>
            <w:r>
              <w:t>本工程施工用水直接提取檬子河河水。施工人员的生活用水采用市政供水。</w:t>
            </w:r>
          </w:p>
          <w:p w14:paraId="169A2B41">
            <w:pPr>
              <w:ind w:firstLine="482"/>
              <w:rPr>
                <w:b/>
                <w:bCs/>
              </w:rPr>
            </w:pPr>
            <w:r>
              <w:rPr>
                <w:b/>
                <w:bCs/>
              </w:rPr>
              <w:t>2、施工供电</w:t>
            </w:r>
          </w:p>
          <w:p w14:paraId="337A2093">
            <w:pPr>
              <w:ind w:firstLine="480"/>
            </w:pPr>
            <w:r>
              <w:t>项目区域内供电条件较好，供电线路已铺设至拟建项目区域内，容量满足项目需要，可直接对项目供电。现场另外配备2台50kW的柴油发电机组作为备用电源。</w:t>
            </w:r>
          </w:p>
          <w:p w14:paraId="6F407793">
            <w:pPr>
              <w:ind w:firstLine="482"/>
            </w:pPr>
            <w:r>
              <w:rPr>
                <w:b/>
                <w:bCs/>
              </w:rPr>
              <w:t>3、施工通讯</w:t>
            </w:r>
          </w:p>
          <w:p w14:paraId="173829E2">
            <w:pPr>
              <w:ind w:firstLine="480"/>
            </w:pPr>
            <w:r>
              <w:t>工程区域已有有线和无线通讯网络覆盖，通讯条件较好，施工期通讯采用有线通讯和无线通讯的结合方式。</w:t>
            </w:r>
          </w:p>
        </w:tc>
      </w:tr>
      <w:tr w14:paraId="1BB9F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14:paraId="2C10A787">
            <w:pPr>
              <w:ind w:firstLine="0" w:firstLineChars="0"/>
              <w:jc w:val="center"/>
            </w:pPr>
            <w:r>
              <w:rPr>
                <w:rFonts w:hint="eastAsia"/>
              </w:rPr>
              <w:t>总平面及现场布置</w:t>
            </w:r>
          </w:p>
        </w:tc>
        <w:tc>
          <w:tcPr>
            <w:tcW w:w="8620" w:type="dxa"/>
          </w:tcPr>
          <w:p w14:paraId="15F7A79C">
            <w:pPr>
              <w:numPr>
                <w:ilvl w:val="0"/>
                <w:numId w:val="5"/>
              </w:numPr>
              <w:ind w:firstLine="0" w:firstLineChars="0"/>
              <w:rPr>
                <w:b/>
                <w:bCs/>
              </w:rPr>
            </w:pPr>
            <w:r>
              <w:rPr>
                <w:rFonts w:hint="eastAsia"/>
                <w:b/>
                <w:bCs/>
              </w:rPr>
              <w:t>施工总布置原则</w:t>
            </w:r>
          </w:p>
          <w:p w14:paraId="58E5BCAC">
            <w:pPr>
              <w:ind w:firstLine="480"/>
            </w:pPr>
            <w:r>
              <w:rPr>
                <w:rFonts w:hint="eastAsia"/>
              </w:rPr>
              <w:t>1、有序原则：便利交通、运输和规范；</w:t>
            </w:r>
          </w:p>
          <w:p w14:paraId="00840AC0">
            <w:pPr>
              <w:ind w:firstLine="480"/>
            </w:pPr>
            <w:r>
              <w:rPr>
                <w:rFonts w:hint="eastAsia"/>
              </w:rPr>
              <w:t>2、安全原则：有施工和运输安全；</w:t>
            </w:r>
          </w:p>
          <w:p w14:paraId="649D0951">
            <w:pPr>
              <w:ind w:firstLine="480"/>
            </w:pPr>
            <w:r>
              <w:rPr>
                <w:rFonts w:hint="eastAsia"/>
              </w:rPr>
              <w:t>3、环保原则：不影响周围环境，不影响行人和附近居民；</w:t>
            </w:r>
          </w:p>
          <w:p w14:paraId="777B50A6">
            <w:pPr>
              <w:ind w:firstLine="480"/>
            </w:pPr>
            <w:r>
              <w:rPr>
                <w:rFonts w:hint="eastAsia"/>
              </w:rPr>
              <w:t>4、形象管理：能表现企业的良好形象和管理水平；</w:t>
            </w:r>
          </w:p>
          <w:p w14:paraId="50D1EF02">
            <w:pPr>
              <w:ind w:firstLine="480"/>
            </w:pPr>
            <w:r>
              <w:rPr>
                <w:rFonts w:hint="eastAsia"/>
              </w:rPr>
              <w:t>5、管理原则：有利于管理和看守；</w:t>
            </w:r>
          </w:p>
          <w:p w14:paraId="20CAFF90">
            <w:pPr>
              <w:ind w:firstLine="480"/>
            </w:pPr>
            <w:r>
              <w:rPr>
                <w:rFonts w:hint="eastAsia"/>
              </w:rPr>
              <w:t>6、符合原则：符合、服从地方管理部门的相关规定。</w:t>
            </w:r>
          </w:p>
          <w:p w14:paraId="26BAF701">
            <w:pPr>
              <w:ind w:firstLine="0" w:firstLineChars="0"/>
              <w:rPr>
                <w:b/>
                <w:bCs/>
              </w:rPr>
            </w:pPr>
            <w:r>
              <w:rPr>
                <w:rFonts w:hint="eastAsia"/>
                <w:b/>
                <w:bCs/>
              </w:rPr>
              <w:t>二、施工分区布置</w:t>
            </w:r>
          </w:p>
          <w:p w14:paraId="6DA2A3F9">
            <w:pPr>
              <w:ind w:firstLine="480"/>
            </w:pPr>
            <w:r>
              <w:rPr>
                <w:rFonts w:hint="eastAsia"/>
              </w:rPr>
              <w:t>本项目施工期具体的施工分区布置情况如下：</w:t>
            </w:r>
          </w:p>
          <w:p w14:paraId="137973A8">
            <w:pPr>
              <w:ind w:firstLine="480"/>
            </w:pPr>
            <w:r>
              <w:rPr>
                <w:rFonts w:hint="eastAsia"/>
              </w:rPr>
              <w:t>1、施工道路</w:t>
            </w:r>
          </w:p>
          <w:p w14:paraId="3556B299">
            <w:pPr>
              <w:ind w:left="480" w:leftChars="200" w:firstLine="0" w:firstLineChars="0"/>
            </w:pPr>
            <w:r>
              <w:rPr>
                <w:rFonts w:hint="eastAsia"/>
              </w:rPr>
              <w:t>（1）场外道路</w:t>
            </w:r>
          </w:p>
          <w:p w14:paraId="5A0E64C2">
            <w:pPr>
              <w:ind w:firstLine="480"/>
            </w:pPr>
            <w:r>
              <w:rPr>
                <w:rFonts w:hint="eastAsia"/>
              </w:rPr>
              <w:t>本项目位于巴州区城区，沿线城市道路发达，项目紧邻巴玉路，周边有晏阳初大道、秦巴大道等城市道路，交通便利，能满足项目交通运输条件。</w:t>
            </w:r>
          </w:p>
          <w:p w14:paraId="753C43C2">
            <w:pPr>
              <w:ind w:left="480" w:leftChars="200" w:firstLine="0" w:firstLineChars="0"/>
              <w:rPr>
                <w:rFonts w:hint="eastAsia" w:eastAsia="宋体"/>
                <w:lang w:eastAsia="zh-CN"/>
              </w:rPr>
            </w:pPr>
            <w:r>
              <w:rPr>
                <w:rFonts w:hint="eastAsia"/>
              </w:rPr>
              <w:t>（2）</w:t>
            </w:r>
            <w:r>
              <w:rPr>
                <w:rFonts w:hint="eastAsia"/>
                <w:lang w:eastAsia="zh-CN"/>
              </w:rPr>
              <w:t>场内道路</w:t>
            </w:r>
          </w:p>
          <w:p w14:paraId="24006F27">
            <w:pPr>
              <w:ind w:firstLine="480"/>
            </w:pPr>
            <w:r>
              <w:rPr>
                <w:rFonts w:hint="eastAsia"/>
              </w:rPr>
              <w:t>本项目主要利用现有城市道路作为施工期公路，接施工场地，项目位于</w:t>
            </w:r>
            <w:r>
              <w:rPr>
                <w:rFonts w:hint="eastAsia"/>
                <w:lang w:eastAsia="zh-CN"/>
              </w:rPr>
              <w:t>生态景观控流闸</w:t>
            </w:r>
            <w:r>
              <w:rPr>
                <w:rFonts w:hint="eastAsia"/>
              </w:rPr>
              <w:t>旁设置了两条施工便道，一处位于河道右侧（1#便道），长50m，一处位于河道左侧（2#便道），长21m，便道为3.5m宽，为厚泥结石路面。</w:t>
            </w:r>
          </w:p>
          <w:p w14:paraId="3FB4E071">
            <w:pPr>
              <w:ind w:firstLine="480"/>
            </w:pPr>
            <w:r>
              <w:rPr>
                <w:rFonts w:hint="eastAsia"/>
              </w:rPr>
              <w:t>2、施工场地</w:t>
            </w:r>
          </w:p>
          <w:p w14:paraId="19132E83">
            <w:pPr>
              <w:ind w:firstLine="480"/>
              <w:rPr>
                <w:rFonts w:hint="eastAsia"/>
              </w:rPr>
            </w:pPr>
            <w:r>
              <w:rPr>
                <w:rFonts w:hint="eastAsia"/>
              </w:rPr>
              <w:t>项目位于控流导流设施处设置了一处施工场地，主要用于材料堆放、机械停放、材料加工等，共占地0.07hm</w:t>
            </w:r>
            <w:r>
              <w:rPr>
                <w:rFonts w:hint="eastAsia"/>
                <w:vertAlign w:val="superscript"/>
              </w:rPr>
              <w:t>2</w:t>
            </w:r>
            <w:r>
              <w:rPr>
                <w:rFonts w:hint="eastAsia"/>
              </w:rPr>
              <w:t>。</w:t>
            </w:r>
          </w:p>
          <w:p w14:paraId="4523D8F9">
            <w:pPr>
              <w:numPr>
                <w:ilvl w:val="0"/>
                <w:numId w:val="6"/>
              </w:numPr>
              <w:ind w:firstLine="480"/>
              <w:rPr>
                <w:rFonts w:hint="eastAsia"/>
                <w:lang w:val="en-US" w:eastAsia="zh-CN"/>
              </w:rPr>
            </w:pPr>
            <w:r>
              <w:rPr>
                <w:rFonts w:hint="eastAsia"/>
                <w:lang w:val="en-US" w:eastAsia="zh-CN"/>
              </w:rPr>
              <w:t>临时堆土场</w:t>
            </w:r>
          </w:p>
          <w:p w14:paraId="385BC4E7">
            <w:pPr>
              <w:bidi w:val="0"/>
              <w:rPr>
                <w:rFonts w:hint="default"/>
                <w:lang w:val="en-US" w:eastAsia="zh-CN"/>
              </w:rPr>
            </w:pPr>
            <w:r>
              <w:rPr>
                <w:rFonts w:hint="eastAsia"/>
                <w:lang w:val="en-US" w:eastAsia="zh-CN"/>
              </w:rPr>
              <w:t>项目设置临时表土堆场2处，占地面积0.12hm²，一处位于休闲广场处，占地0.04hm²，一处位于河湾剧场处，占地0.08hm²。</w:t>
            </w:r>
          </w:p>
          <w:p w14:paraId="0FEC1ACE">
            <w:pPr>
              <w:ind w:firstLine="0" w:firstLineChars="0"/>
              <w:rPr>
                <w:b/>
                <w:bCs/>
              </w:rPr>
            </w:pPr>
            <w:r>
              <w:rPr>
                <w:rFonts w:hint="eastAsia"/>
                <w:b/>
                <w:bCs/>
              </w:rPr>
              <w:t>三、施工总平面布置合理性</w:t>
            </w:r>
          </w:p>
          <w:p w14:paraId="6FCD01B0">
            <w:pPr>
              <w:ind w:firstLine="480"/>
            </w:pPr>
            <w:r>
              <w:rPr>
                <w:rFonts w:hint="eastAsia"/>
              </w:rPr>
              <w:t>根据本工程的布置特点、地形和场地条件，为“方便生活、有利生产”，施工布置按照“集中与分散相结合”的原则进行。</w:t>
            </w:r>
          </w:p>
          <w:p w14:paraId="26C6A743">
            <w:pPr>
              <w:ind w:firstLine="480"/>
            </w:pPr>
            <w:r>
              <w:rPr>
                <w:rFonts w:hint="eastAsia"/>
              </w:rPr>
              <w:t>结合工程施工管理和场地条件，项目施工场地均布设于建设场地内部；就近租赁附近民房作为施工人员办公生活场所作为施工营地，项目在拟建河湾剧场设置一个临时堆土区集中堆放。</w:t>
            </w:r>
          </w:p>
          <w:p w14:paraId="2E0B8597">
            <w:pPr>
              <w:ind w:firstLine="480"/>
            </w:pPr>
            <w:r>
              <w:rPr>
                <w:rFonts w:hint="eastAsia"/>
              </w:rPr>
              <w:t>环评要求项目设置的临时工程及运输路线尽量远离周边敏感点。施工期，在施工单位严格落实施工场地的噪声和大气污染防治措施，并对距离较近的敏感点采取必要的降噪、降尘措施，保障居民的生产生活不受影响后，从环保角度，该处选址合理。为减小临时工程对周围环境的影响，环评要求：①在进场时应首先剥离表土，对场地进行平整、硬化，并在场地周围设置排水沟，在排水沟出口处设置沉砂池使汇水在池中流速减缓、沉淀泥沙。在施工材料堆放时，要用无纺布对料堆和表土进行覆盖防护，防止降水对松散堆方的冲刷和避免产生二次扬尘；②临时工程区域应设置围挡，降低噪声对周围居民的干扰；③临时工程区域应定期洒水，降低扬尘对周围环境的影响；④工程施工结束后，应立即对临时工程设施进行拆除，做好迹地恢复；在做好水土保持措施以及施工场地环保措施的前提下，项目规划的临时工程场地合理可行。</w:t>
            </w:r>
          </w:p>
          <w:p w14:paraId="0B10B9F1">
            <w:pPr>
              <w:ind w:firstLine="480"/>
              <w:rPr>
                <w:b/>
                <w:bCs/>
              </w:rPr>
            </w:pPr>
            <w:r>
              <w:rPr>
                <w:rFonts w:hint="eastAsia"/>
              </w:rPr>
              <w:t>综上可知，本项目临时工程选址合理，与外环境相容。</w:t>
            </w:r>
          </w:p>
        </w:tc>
      </w:tr>
      <w:tr w14:paraId="4E53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14:paraId="4904DD8B">
            <w:pPr>
              <w:ind w:firstLine="0" w:firstLineChars="0"/>
              <w:jc w:val="center"/>
            </w:pPr>
            <w:r>
              <w:rPr>
                <w:rFonts w:hint="eastAsia"/>
              </w:rPr>
              <w:t>施工方案</w:t>
            </w:r>
          </w:p>
        </w:tc>
        <w:tc>
          <w:tcPr>
            <w:tcW w:w="8620" w:type="dxa"/>
          </w:tcPr>
          <w:p w14:paraId="5AB40605">
            <w:pPr>
              <w:ind w:firstLine="0" w:firstLineChars="0"/>
              <w:rPr>
                <w:b/>
                <w:bCs/>
              </w:rPr>
            </w:pPr>
            <w:r>
              <w:rPr>
                <w:rFonts w:hint="eastAsia"/>
                <w:b/>
                <w:bCs/>
              </w:rPr>
              <w:t>一、施工工艺</w:t>
            </w:r>
          </w:p>
          <w:p w14:paraId="4757D691">
            <w:pPr>
              <w:ind w:firstLine="482"/>
            </w:pPr>
            <w:r>
              <w:rPr>
                <w:rFonts w:hint="eastAsia"/>
                <w:b/>
                <w:bCs/>
              </w:rPr>
              <w:t>1、施工技术要求</w:t>
            </w:r>
          </w:p>
          <w:p w14:paraId="0FCF4FF8">
            <w:pPr>
              <w:ind w:firstLine="480"/>
            </w:pPr>
            <w:r>
              <w:t>（1）施工总布置方案应贯彻执行合理利用土地的方针，遵循因地制宜、因时制宜、有利生产、方便生活、节约用地、易于管理、安全可靠、经济合理的原则，在满足工程建设管理要求的前提下，最大限度地减少对当地群众生产生活的不利影响。</w:t>
            </w:r>
          </w:p>
          <w:p w14:paraId="1F3BA806">
            <w:pPr>
              <w:ind w:firstLine="480"/>
            </w:pPr>
            <w:r>
              <w:t>（2）施工总布置规划应符合环境保护和水土保持的有关规定，处理好施工场地布局与环境保护、水土保持的关系。</w:t>
            </w:r>
          </w:p>
          <w:p w14:paraId="4EA9BA3B">
            <w:pPr>
              <w:ind w:firstLine="480"/>
            </w:pPr>
            <w:r>
              <w:t>（3）施工总布置应紧凑合理，节约用地，优先利用荒地、滩地、坡地；不占或少占耕地、林地；应避开文物古迹，避免损坏古树名木。</w:t>
            </w:r>
          </w:p>
          <w:p w14:paraId="605A5148">
            <w:pPr>
              <w:ind w:firstLine="480"/>
            </w:pPr>
            <w:r>
              <w:t>（4）分析各施工临建设施的使用时段，利用时间差重复利用场地；做好土石挖填方平衡，充分利用开挖渣料，合理规划布置渣场，优化弃渣顺序，以减少征地面积。</w:t>
            </w:r>
          </w:p>
          <w:p w14:paraId="03ED2DEC">
            <w:pPr>
              <w:ind w:firstLine="480"/>
            </w:pPr>
            <w:r>
              <w:t>（5）尽量提高工程施工机械化程度，减少劳动力使用量，减少生活福利建筑面积。</w:t>
            </w:r>
          </w:p>
          <w:p w14:paraId="3D076664">
            <w:pPr>
              <w:ind w:firstLine="480"/>
            </w:pPr>
            <w:r>
              <w:t>（6）施工场地布置应与交通运输线路布置相结合，尽量避免物料倒运。</w:t>
            </w:r>
          </w:p>
          <w:p w14:paraId="5FEFD1E2">
            <w:pPr>
              <w:ind w:firstLine="482"/>
              <w:rPr>
                <w:b/>
                <w:bCs/>
              </w:rPr>
            </w:pPr>
            <w:r>
              <w:rPr>
                <w:rFonts w:hint="eastAsia"/>
                <w:b/>
                <w:bCs/>
              </w:rPr>
              <w:t>2、施工期工艺分析</w:t>
            </w:r>
          </w:p>
          <w:p w14:paraId="0E53B6DA">
            <w:pPr>
              <w:ind w:firstLine="480"/>
            </w:pPr>
            <w:r>
              <w:rPr>
                <w:rFonts w:hint="eastAsia"/>
              </w:rPr>
              <w:t>本工程主要包括新建檬生态隔离带30000m</w:t>
            </w:r>
            <w:r>
              <w:rPr>
                <w:rFonts w:hint="eastAsia"/>
                <w:vertAlign w:val="superscript"/>
              </w:rPr>
              <w:t>2</w:t>
            </w:r>
            <w:r>
              <w:rPr>
                <w:rFonts w:hint="eastAsia"/>
              </w:rPr>
              <w:t>，生态护岸50122.41m</w:t>
            </w:r>
            <w:r>
              <w:rPr>
                <w:rFonts w:hint="eastAsia"/>
                <w:vertAlign w:val="superscript"/>
              </w:rPr>
              <w:t>2</w:t>
            </w:r>
            <w:r>
              <w:rPr>
                <w:rFonts w:hint="eastAsia"/>
              </w:rPr>
              <w:t>（6公里），生态步道及护栏3公里等配套基础设施，含新建一座控制导流设施，位于巴河与檬子河交汇处以东300米处。</w:t>
            </w:r>
          </w:p>
          <w:p w14:paraId="3C9A8450">
            <w:pPr>
              <w:ind w:firstLine="480"/>
            </w:pPr>
            <w:r>
              <w:rPr>
                <w:rFonts w:hint="eastAsia"/>
              </w:rPr>
              <w:t>本项目为生态影响类项目，主要为</w:t>
            </w:r>
            <w:r>
              <w:rPr>
                <w:rFonts w:hint="eastAsia"/>
                <w:lang w:eastAsia="zh-CN"/>
              </w:rPr>
              <w:t>防洪除涝</w:t>
            </w:r>
            <w:r>
              <w:rPr>
                <w:rFonts w:hint="eastAsia"/>
              </w:rPr>
              <w:t>工程，运营期主要由人群活动产生的噪声与生活垃圾，通过加强管理、生活垃圾及时收集交由环卫处理，产生的影响较小，因此施工期是本项目评价方案的重点。施工期主要污染为施工扬尘、施工噪声等，其对环境的不利影响是短暂的，将随着施工期的结束而消失。</w:t>
            </w:r>
          </w:p>
          <w:p w14:paraId="0ED2D6F8">
            <w:pPr>
              <w:numPr>
                <w:ilvl w:val="0"/>
                <w:numId w:val="7"/>
              </w:numPr>
              <w:ind w:firstLine="482"/>
              <w:rPr>
                <w:rFonts w:hint="eastAsia"/>
                <w:b/>
                <w:bCs/>
              </w:rPr>
            </w:pPr>
            <w:r>
              <w:rPr>
                <w:rFonts w:hint="eastAsia"/>
                <w:b/>
                <w:bCs/>
              </w:rPr>
              <w:t>控流导流设施（生态景观控流闸）施工工艺流程</w:t>
            </w:r>
          </w:p>
          <w:p w14:paraId="32BFDF72">
            <w:pPr>
              <w:ind w:left="0" w:leftChars="0" w:firstLine="0" w:firstLineChars="0"/>
              <w:jc w:val="center"/>
            </w:pPr>
            <w:r>
              <w:drawing>
                <wp:inline distT="0" distB="0" distL="114300" distR="114300">
                  <wp:extent cx="5219700" cy="3371850"/>
                  <wp:effectExtent l="0" t="0" r="0" b="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15"/>
                          <a:stretch>
                            <a:fillRect/>
                          </a:stretch>
                        </pic:blipFill>
                        <pic:spPr>
                          <a:xfrm>
                            <a:off x="0" y="0"/>
                            <a:ext cx="5219700" cy="3371850"/>
                          </a:xfrm>
                          <a:prstGeom prst="rect">
                            <a:avLst/>
                          </a:prstGeom>
                          <a:noFill/>
                          <a:ln>
                            <a:noFill/>
                          </a:ln>
                        </pic:spPr>
                      </pic:pic>
                    </a:graphicData>
                  </a:graphic>
                </wp:inline>
              </w:drawing>
            </w:r>
          </w:p>
          <w:p w14:paraId="1BF37A38">
            <w:pPr>
              <w:ind w:left="0" w:leftChars="0" w:firstLine="0" w:firstLineChars="0"/>
              <w:jc w:val="center"/>
              <w:rPr>
                <w:rFonts w:hint="default" w:eastAsia="宋体"/>
                <w:lang w:val="en-US" w:eastAsia="zh-CN"/>
              </w:rPr>
            </w:pPr>
            <w:r>
              <w:rPr>
                <w:b/>
                <w:bCs/>
                <w:sz w:val="21"/>
                <w:szCs w:val="21"/>
              </w:rPr>
              <w:t>图2-1</w:t>
            </w:r>
            <w:r>
              <w:rPr>
                <w:rFonts w:hint="eastAsia"/>
                <w:b/>
                <w:bCs/>
                <w:sz w:val="21"/>
                <w:szCs w:val="21"/>
                <w:lang w:val="en-US" w:eastAsia="zh-CN"/>
              </w:rPr>
              <w:t xml:space="preserve">  控流导流设施（生态景观控流闸）施工工艺流程图</w:t>
            </w:r>
          </w:p>
          <w:p w14:paraId="498D9CC5">
            <w:pPr>
              <w:ind w:firstLine="480"/>
            </w:pPr>
            <w:r>
              <w:rPr>
                <w:rFonts w:hint="eastAsia"/>
              </w:rPr>
              <w:t>本项目控流导流设施具体施工工艺流程如下：</w:t>
            </w:r>
          </w:p>
          <w:p w14:paraId="58C3FFA4">
            <w:pPr>
              <w:ind w:firstLine="480"/>
            </w:pPr>
            <w:r>
              <w:rPr>
                <w:rFonts w:hint="eastAsia"/>
              </w:rPr>
              <w:t>控流导流设施主要施工项目包括：基础开挖→控流导流设施混凝土浇筑→两岸链接段填筑等。根据施工导流顺序，本项目先施工</w:t>
            </w:r>
            <w:r>
              <w:rPr>
                <w:rFonts w:ascii="宋体" w:hAnsi="宋体" w:cs="宋体"/>
              </w:rPr>
              <w:t>右岸闸段</w:t>
            </w:r>
            <w:r>
              <w:rPr>
                <w:rFonts w:hint="eastAsia" w:ascii="宋体" w:hAnsi="宋体" w:cs="宋体"/>
              </w:rPr>
              <w:t>，后施工</w:t>
            </w:r>
            <w:r>
              <w:rPr>
                <w:rFonts w:ascii="宋体" w:hAnsi="宋体" w:cs="宋体"/>
              </w:rPr>
              <w:t>左岸闸段</w:t>
            </w:r>
            <w:r>
              <w:rPr>
                <w:rFonts w:hint="eastAsia" w:ascii="宋体" w:hAnsi="宋体" w:cs="宋体"/>
              </w:rPr>
              <w:t>。</w:t>
            </w:r>
          </w:p>
          <w:p w14:paraId="72331AC1">
            <w:pPr>
              <w:ind w:firstLine="480"/>
              <w:rPr>
                <w:rFonts w:hint="eastAsia" w:ascii="宋体" w:hAnsi="宋体" w:cs="宋体"/>
              </w:rPr>
            </w:pPr>
            <w:r>
              <w:rPr>
                <w:rFonts w:hint="eastAsia"/>
              </w:rPr>
              <w:t>施工程序：</w:t>
            </w:r>
            <w:r>
              <w:rPr>
                <w:rFonts w:ascii="宋体" w:hAnsi="宋体" w:cs="宋体"/>
              </w:rPr>
              <w:t>右岸支护开挖→右岸砼及填筑→左岸开挖→左岸砼及填筑→钢坝安装调试</w:t>
            </w:r>
            <w:r>
              <w:rPr>
                <w:rFonts w:hint="eastAsia" w:ascii="宋体" w:hAnsi="宋体" w:cs="宋体"/>
              </w:rPr>
              <w:t>。</w:t>
            </w:r>
          </w:p>
          <w:p w14:paraId="3409572B">
            <w:pPr>
              <w:ind w:firstLine="480"/>
              <w:rPr>
                <w:rFonts w:hint="default" w:ascii="宋体" w:hAnsi="宋体" w:eastAsia="宋体" w:cs="宋体"/>
                <w:b/>
                <w:bCs/>
                <w:lang w:val="en-US" w:eastAsia="zh-CN"/>
              </w:rPr>
            </w:pPr>
            <w:r>
              <w:rPr>
                <w:rFonts w:hint="eastAsia" w:ascii="宋体" w:hAnsi="宋体" w:cs="宋体"/>
                <w:b/>
                <w:bCs/>
                <w:lang w:val="en-US" w:eastAsia="zh-CN"/>
              </w:rPr>
              <w:t>①施工导流</w:t>
            </w:r>
          </w:p>
          <w:p w14:paraId="7F1B9729">
            <w:pPr>
              <w:ind w:firstLine="480"/>
            </w:pPr>
            <w:r>
              <w:rPr>
                <w:rFonts w:hint="eastAsia"/>
              </w:rPr>
              <w:t>1）导流建筑物设计</w:t>
            </w:r>
          </w:p>
          <w:p w14:paraId="25CB5F57">
            <w:pPr>
              <w:ind w:firstLine="480"/>
            </w:pPr>
            <w:r>
              <w:rPr>
                <w:rFonts w:hint="eastAsia"/>
              </w:rPr>
              <w:t>根据主体设计，本工程一期围堰均采用土石料围堰;二期纵向围堰采用编织袋装土石围堰,横向围堰采用土石料围堰。其中土石料围堰迎水面坡度为1:1.5，背水面为1:1.5，采用土工膜防渗,围堰顶宽3.5m,编织袋装土石围堰顶宽2.0m,迎水面、背水面坡度均为1:0.75。</w:t>
            </w:r>
          </w:p>
          <w:p w14:paraId="4A034591">
            <w:pPr>
              <w:ind w:firstLine="480"/>
            </w:pPr>
            <w:r>
              <w:rPr>
                <w:rFonts w:hint="eastAsia"/>
              </w:rPr>
              <w:t>①导流标准</w:t>
            </w:r>
          </w:p>
          <w:p w14:paraId="365BA872">
            <w:pPr>
              <w:ind w:firstLine="480"/>
            </w:pPr>
            <w:r>
              <w:rPr>
                <w:rFonts w:hint="eastAsia"/>
              </w:rPr>
              <w:t>根据《水利水电工程等级划分及洪水标准》(SL252-2017)的规定，临时工程建筑物为5级，对于土石围堰，其导流设计标准为5～10年洪水重现期。本工程选择5年一遇洪水重现期作为枯期导流设计标准。</w:t>
            </w:r>
          </w:p>
          <w:p w14:paraId="0FAA9FFA">
            <w:pPr>
              <w:ind w:firstLine="480"/>
            </w:pPr>
            <w:r>
              <w:rPr>
                <w:rFonts w:hint="eastAsia"/>
              </w:rPr>
              <w:t>②导流时段及导流设计流量</w:t>
            </w:r>
          </w:p>
          <w:p w14:paraId="29CDA211">
            <w:pPr>
              <w:ind w:firstLine="480"/>
            </w:pPr>
            <w:r>
              <w:t>根据水文资料分析，檬子河洪枯期的流量和水位变幅较大，宜采用枯期导流。但由于本工程土建和金属结构安装工程量较大，施工场地有限，且位于城区内，施工限制条件较多，因此考虑利用平水期和枯期进行导流。</w:t>
            </w:r>
          </w:p>
          <w:p w14:paraId="0585616F">
            <w:pPr>
              <w:ind w:firstLine="480"/>
            </w:pPr>
            <w:r>
              <w:t>本闸坝导流工程安排在两个枯期（第一年11月〜第二年3月）施工。本工程采用束窄河床导流方式，一期右岸围堰挡水，左岸束窄河床导流，汛期由全河道断流过流；二期左岸围堰挡水，右岸已建坝段过流。</w:t>
            </w:r>
          </w:p>
          <w:p w14:paraId="54A09058">
            <w:pPr>
              <w:ind w:firstLine="480"/>
            </w:pPr>
            <w:r>
              <w:rPr>
                <w:rFonts w:hint="eastAsia"/>
              </w:rPr>
              <w:t>③导流方式及导流程序</w:t>
            </w:r>
          </w:p>
          <w:p w14:paraId="6B17BF49">
            <w:pPr>
              <w:ind w:firstLine="480"/>
            </w:pPr>
            <w:r>
              <w:t>一期（第一年11月〜第二年1月）施工右岸闸坝段，第一年10月完成施工区地面清理工作以及工厂建设等准备工作；第一年11月进行土石围堰施工，11月～1月中旬进行基坑开挖、底轴旋转液压启闭钢闸坝（BH0+020.00～BH0+046.00段）、消力池、防冲槽、翼墙、防渗刺墙、防渗帷幕等混凝土（块石）施工、闸门安装等。1月下旬拆除上下游围堰以及其它洪水位以上后续施工。</w:t>
            </w:r>
          </w:p>
          <w:p w14:paraId="20990AE8">
            <w:pPr>
              <w:ind w:firstLine="480"/>
            </w:pPr>
            <w:r>
              <w:t>一期围堰导流时段为11月至次年1月，相应5年一遇洪水流量为0.86m³/s，如实际施工时间超出导流时段，施工单位必须采取措施，保证施工安全和河道行洪安全。</w:t>
            </w:r>
          </w:p>
          <w:p w14:paraId="4A649CB5">
            <w:pPr>
              <w:ind w:firstLine="480"/>
            </w:pPr>
            <w:r>
              <w:t xml:space="preserve"> 围堰填筑前应将围堰填筑范围内岸坡弃渣、树木、树根、乱石、坡积物、腐植土等清理干净。围堰黏土压实度不低于90%，压实干容重为1.45~1.6t/m³，防渗系数≤1*10 cm/s；土石填筑相对密实度控制在0.7以上。</w:t>
            </w:r>
          </w:p>
          <w:p w14:paraId="1DC9D17B">
            <w:pPr>
              <w:ind w:firstLine="480"/>
            </w:pPr>
            <w:r>
              <w:t>人工铺贴土工膜。土工膜采用两布一膜基布600g/m².膜厚1.5mm。 土工膜卷在安装展开前要避免受到损坏。受到物理损坏的土工膜卷必须要修复。受严重磨损的土工膜不能使用。任何接触到泄漏化学试剂的土工膜，不允许使用在工程上。</w:t>
            </w:r>
          </w:p>
          <w:p w14:paraId="5446677D">
            <w:pPr>
              <w:ind w:firstLine="480"/>
            </w:pPr>
            <w:r>
              <w:t>围堰迎水面采用袋装土石防护，采用小挖机配合人工进行装袋，袋口应用麻绳或铁丝绑扎，码放整齐，并进行平整。</w:t>
            </w:r>
          </w:p>
          <w:p w14:paraId="072F891C">
            <w:pPr>
              <w:ind w:firstLine="480"/>
            </w:pPr>
            <w:r>
              <w:t>二期（第二年2月〜第二年3月）施工左岸闸坝段，第二年1月完成施工区地面清理工作以及工厂建设等准备工作；第二年2月进行土石围堰施工，2月～3月中旬进行基坑开挖、底轴旋转液压启闭钢闸坝（BH0+000.00～BH0+020.00段）、消力池、防冲槽、翼墙等混凝土（块石）施工、闸门安装等。4月下旬拆除上下游围堰以及其它洪水位以上后续施工。</w:t>
            </w:r>
          </w:p>
          <w:p w14:paraId="41095088">
            <w:pPr>
              <w:ind w:firstLine="480"/>
            </w:pPr>
            <w:r>
              <w:t>二期围堰导流时段为次年2月至次年3月，相应5年一遇洪水流量为1.56m³/s，如实际施工时间超出导流时段，施工单位必须采取措施，保证施工安全和河道行洪安全。围堰填筑前应将围堰填筑范围内岸坡弃渣、树木、树根、乱石、坡积物、腐植土等清理干净。围堰黏土压实度不低于90%，压实干容重为1.45~1.6t/m³，防渗系数≤1*10 cm/s；土石填筑相对密实度控制在0.7以上。人工铺贴土工膜。土工膜采用两布一膜基布600g/m².膜厚1.5mm。 土工膜卷在安装展开前要避免受到损坏。受到物理损坏的土工膜卷必须要修复。受严重磨损的土工膜不能使用。任何接触到泄漏化学试剂的土工膜，不允许使用在工程上。</w:t>
            </w:r>
          </w:p>
          <w:p w14:paraId="69C8495E">
            <w:pPr>
              <w:ind w:firstLine="480"/>
            </w:pPr>
            <w:r>
              <w:t>围堰迎水面采用袋装土石防护，采用小挖机配合人工进行装袋，袋口应用麻绳或铁丝绑扎，码放整齐，并进行平整。</w:t>
            </w:r>
          </w:p>
          <w:p w14:paraId="1EEF0AA6">
            <w:pPr>
              <w:ind w:firstLine="480"/>
            </w:pPr>
            <w:r>
              <w:t>消力池下游防冲槽根据防渗需要，浇筑部分混凝土，避免水流通过防冲槽内块石缝隙流入二期基坑，混凝土宽度1.5m，长度和深度根据现场情况确定。</w:t>
            </w:r>
          </w:p>
          <w:p w14:paraId="47818374">
            <w:pPr>
              <w:ind w:firstLine="480"/>
            </w:pPr>
            <w:r>
              <w:t>一期的消力池的排水孔，采用盖子封堵，防止往二期基坑漏水。</w:t>
            </w:r>
          </w:p>
          <w:p w14:paraId="38287190">
            <w:pPr>
              <w:ind w:firstLine="480"/>
            </w:pPr>
            <w:r>
              <w:rPr>
                <w:rFonts w:hint="eastAsia"/>
              </w:rPr>
              <w:t>2）围堰施工</w:t>
            </w:r>
          </w:p>
          <w:p w14:paraId="3BC03652">
            <w:pPr>
              <w:ind w:firstLine="480"/>
            </w:pPr>
            <w:r>
              <w:rPr>
                <w:rFonts w:hint="eastAsia"/>
              </w:rPr>
              <w:t>①土石围堰填筑</w:t>
            </w:r>
          </w:p>
          <w:p w14:paraId="0F706D05">
            <w:pPr>
              <w:ind w:firstLine="480"/>
            </w:pPr>
            <w:r>
              <w:t>覆盖层开挖：1.0~2.0m</w:t>
            </w:r>
            <w:r>
              <w:rPr>
                <w:rFonts w:hint="eastAsia"/>
                <w:vertAlign w:val="superscript"/>
              </w:rPr>
              <w:t>3</w:t>
            </w:r>
            <w:r>
              <w:t>反铲挖装，10~20t自卸汽车运输至就近围堰处进行填筑。</w:t>
            </w:r>
          </w:p>
          <w:p w14:paraId="454D87F3">
            <w:pPr>
              <w:ind w:firstLine="480"/>
            </w:pPr>
            <w:r>
              <w:t>碎石土料填筑：由1.0~2.0m</w:t>
            </w:r>
            <w:r>
              <w:rPr>
                <w:rFonts w:hint="eastAsia"/>
                <w:vertAlign w:val="superscript"/>
              </w:rPr>
              <w:t>3</w:t>
            </w:r>
            <w:r>
              <w:t>反铲挖装，10~20t自卸汽车运至现场，由74~103kw推土机推平压实。</w:t>
            </w:r>
          </w:p>
          <w:p w14:paraId="2792C494">
            <w:pPr>
              <w:ind w:firstLine="480"/>
            </w:pPr>
            <w:r>
              <w:t>土石料编织袋：土石料由人工装袋，由2t农用车运至现场，人工搬运、安砌。</w:t>
            </w:r>
          </w:p>
          <w:p w14:paraId="3E021A40">
            <w:pPr>
              <w:ind w:firstLine="480"/>
            </w:pPr>
            <w:r>
              <w:t>土工膜：人工铺贴土工膜。土工膜拉伸强度≥14MPa、断裂伸长率≥400%、直角撕裂强度≥50N/mm、碳黑含量≥2%、水蒸气渗透系数≤1.0*10-13g.cm/(cm.s.Pa),尺寸稳定性±3%。施工人员必须穿无钉鞋或胶底鞋，禁止在土工膜上任意踩踏。铺膜后应及时进行防护层施工，防止热收缩引起土工膜变形及紫外线照射引起土工膜老化。禁止接触可引起聚烯烃性能变化的化学物质，以免土工膜发生永久变形。机械不得直接碾压土工膜表面。</w:t>
            </w:r>
          </w:p>
          <w:p w14:paraId="2353368C">
            <w:pPr>
              <w:ind w:firstLine="480"/>
            </w:pPr>
            <w:r>
              <w:rPr>
                <w:rFonts w:hint="eastAsia"/>
              </w:rPr>
              <w:t>3）</w:t>
            </w:r>
            <w:r>
              <w:t>围堰拆除</w:t>
            </w:r>
          </w:p>
          <w:p w14:paraId="4AEC7CFC">
            <w:pPr>
              <w:ind w:firstLine="480"/>
            </w:pPr>
            <w:r>
              <w:t>土石围堰拆除按先下游，后上游的施工程序和河道行洪要求拆除，拆除后不得影响工程永久运行。采用反铲退挖，自卸汽车出渣，围堰拆除石渣料直接运送至公山镇黄金村渣场堆放。</w:t>
            </w:r>
          </w:p>
          <w:p w14:paraId="2D9658B3">
            <w:pPr>
              <w:ind w:firstLine="482"/>
            </w:pPr>
            <w:r>
              <w:rPr>
                <w:rFonts w:hint="eastAsia"/>
                <w:b/>
                <w:bCs/>
                <w:lang w:val="en-US" w:eastAsia="zh-CN"/>
              </w:rPr>
              <w:t>②</w:t>
            </w:r>
            <w:r>
              <w:rPr>
                <w:rFonts w:hint="eastAsia"/>
                <w:b/>
                <w:bCs/>
              </w:rPr>
              <w:t>基础开挖</w:t>
            </w:r>
          </w:p>
          <w:p w14:paraId="7BD584CB">
            <w:pPr>
              <w:ind w:firstLine="480"/>
            </w:pPr>
            <w:r>
              <w:rPr>
                <w:rFonts w:hint="eastAsia"/>
              </w:rPr>
              <w:t>闸址开挖范围：铺盖、闸室、护坦、左右启闭机房、两岸翼墙基础；地层为砂卵石、少量粉质黏土。右岸紧邻现状堤防，基坑开挖前打入15m长SP-U400×170×15.5钢板桩挡土防渗，左岸无原有堤防无需钢板桩。开挖采用2m³液压反铲为主，水下区域搭配长臂挖机，15t自卸汽车外运弃渣；岸坡自上而下分层开挖。</w:t>
            </w:r>
          </w:p>
          <w:p w14:paraId="495461AC">
            <w:pPr>
              <w:ind w:firstLine="482"/>
              <w:rPr>
                <w:b/>
                <w:bCs/>
              </w:rPr>
            </w:pPr>
            <w:r>
              <w:rPr>
                <w:rFonts w:hint="eastAsia"/>
                <w:b/>
                <w:bCs/>
                <w:lang w:val="en-US" w:eastAsia="zh-CN"/>
              </w:rPr>
              <w:t>③</w:t>
            </w:r>
            <w:r>
              <w:rPr>
                <w:rFonts w:hint="eastAsia"/>
                <w:b/>
                <w:bCs/>
              </w:rPr>
              <w:t>土石方回填填筑</w:t>
            </w:r>
          </w:p>
          <w:p w14:paraId="4533DC20">
            <w:pPr>
              <w:ind w:firstLine="480"/>
            </w:pPr>
            <w:r>
              <w:rPr>
                <w:rFonts w:hint="eastAsia"/>
              </w:rPr>
              <w:t>填筑部位：左岸启闭机房后回填、翼墙背侧回填、右岸机房与老堤间隙回填、岸坡覆土。开挖合格砂卵石料由15t自卸汽车运至工作面，74kW推土机摊铺整平，13.5t振动碾碾压6～8遍，边角、墙根部位采用振动平板夯补压；施工前先开展碾压试验确定最优铺厚、碾压参数。右岸启闭机养护完成后，机房与原有堤防空隙采用C20素砼回填封堵。翼墙上部1:2坡比区域回填耕植土，浇筑C30框格梁，填充覆土植草。</w:t>
            </w:r>
          </w:p>
          <w:p w14:paraId="71908CE4">
            <w:pPr>
              <w:ind w:firstLine="482"/>
              <w:rPr>
                <w:b/>
                <w:bCs/>
              </w:rPr>
            </w:pPr>
            <w:r>
              <w:rPr>
                <w:rFonts w:hint="eastAsia"/>
                <w:b/>
                <w:bCs/>
                <w:lang w:val="en-US" w:eastAsia="zh-CN"/>
              </w:rPr>
              <w:t>④</w:t>
            </w:r>
            <w:r>
              <w:rPr>
                <w:rFonts w:hint="eastAsia"/>
                <w:b/>
                <w:bCs/>
              </w:rPr>
              <w:t>混凝土工程</w:t>
            </w:r>
          </w:p>
          <w:p w14:paraId="5179FBCA">
            <w:pPr>
              <w:ind w:firstLine="480"/>
            </w:pPr>
            <w:r>
              <w:rPr>
                <w:rFonts w:hint="eastAsia"/>
              </w:rPr>
              <w:t>浇筑构件含C20基础垫层；C30W4F50防渗铺盖、闸底板、护坦、翼墙、启闭机房主体；闸门预埋二期C40砼；C30框格生态梁。</w:t>
            </w:r>
          </w:p>
          <w:p w14:paraId="4FBD630D">
            <w:pPr>
              <w:ind w:firstLine="480"/>
            </w:pPr>
            <w:r>
              <w:rPr>
                <w:rFonts w:hint="eastAsia"/>
              </w:rPr>
              <w:t>采用商品混凝土罐车运输，混凝土泵入仓，组合钢模、插入式振捣器振捣；结构缝设置651橡胶止水带，聚乙烯闭孔泡沫板填缝。</w:t>
            </w:r>
          </w:p>
          <w:p w14:paraId="2F8DCE6D">
            <w:pPr>
              <w:ind w:firstLine="480"/>
            </w:pPr>
            <w:r>
              <w:rPr>
                <w:rFonts w:hint="eastAsia"/>
              </w:rPr>
              <w:t>下游护坦下部分层铺设土工布、粗砂、豆石、碎石反滤层，梅花形预埋DN75PVC排水孔，护坦末端齿槽抛填大块石防冲。</w:t>
            </w:r>
          </w:p>
          <w:p w14:paraId="6E350A3B">
            <w:pPr>
              <w:ind w:firstLine="482"/>
              <w:rPr>
                <w:b/>
                <w:bCs/>
              </w:rPr>
            </w:pPr>
            <w:r>
              <w:rPr>
                <w:rFonts w:hint="eastAsia"/>
                <w:b/>
                <w:bCs/>
                <w:lang w:val="en-US" w:eastAsia="zh-CN"/>
              </w:rPr>
              <w:t>⑤</w:t>
            </w:r>
            <w:r>
              <w:rPr>
                <w:rFonts w:hint="eastAsia"/>
                <w:b/>
                <w:bCs/>
              </w:rPr>
              <w:t>金属结构及机电设备安装</w:t>
            </w:r>
          </w:p>
          <w:p w14:paraId="03D66316">
            <w:pPr>
              <w:ind w:firstLine="480"/>
            </w:pPr>
            <w:r>
              <w:rPr>
                <w:rFonts w:hint="eastAsia"/>
              </w:rPr>
              <w:t>土建结构（闸底板、启闭机房、翼墙）强度达标后开展安装。</w:t>
            </w:r>
          </w:p>
          <w:p w14:paraId="52A3FAF6">
            <w:pPr>
              <w:ind w:firstLine="480"/>
            </w:pPr>
            <w:r>
              <w:t>施工工序：施工准备→40m底轴旋转钢闸坝吊装就位、底轴与二期砼预埋对接→两侧液压启闭机吊装安装、管路接线布设→闸门启闭调试→止水密封检测→空载、带水试运行验收。</w:t>
            </w:r>
          </w:p>
          <w:p w14:paraId="77DFA381">
            <w:pPr>
              <w:ind w:firstLine="480"/>
            </w:pPr>
            <w:r>
              <w:t>吊装采用20～30t汽车吊，设备转运至闸室检修平台拼装调试。</w:t>
            </w:r>
          </w:p>
          <w:p w14:paraId="52C7CE6C">
            <w:pPr>
              <w:ind w:firstLine="482"/>
            </w:pPr>
            <w:r>
              <w:rPr>
                <w:rFonts w:hint="eastAsia"/>
                <w:b/>
                <w:bCs/>
              </w:rPr>
              <w:t>（2）生态护岸施工工艺流程</w:t>
            </w:r>
          </w:p>
          <w:p w14:paraId="5646D6AE">
            <w:pPr>
              <w:ind w:firstLine="480"/>
            </w:pPr>
            <w:r>
              <w:t>本项目拟根据河岸的实际情况，在项目工程河段两岸，采用</w:t>
            </w:r>
            <w:r>
              <w:rPr>
                <w:rFonts w:hint="eastAsia"/>
              </w:rPr>
              <w:t>“</w:t>
            </w:r>
            <w:r>
              <w:t>石笼护脚+植被护坡</w:t>
            </w:r>
            <w:r>
              <w:rPr>
                <w:rFonts w:hint="eastAsia"/>
              </w:rPr>
              <w:t>”</w:t>
            </w:r>
            <w:r>
              <w:t>工艺</w:t>
            </w:r>
            <w:r>
              <w:rPr>
                <w:rFonts w:hint="eastAsia"/>
              </w:rPr>
              <w:t>。</w:t>
            </w:r>
          </w:p>
          <w:p w14:paraId="76A6BC0E">
            <w:pPr>
              <w:ind w:firstLine="480"/>
            </w:pPr>
            <w:r>
              <w:rPr>
                <w:rFonts w:hint="eastAsia"/>
              </w:rPr>
              <w:t>1）石笼+生态植草护岸</w:t>
            </w:r>
          </w:p>
          <w:p w14:paraId="75896609">
            <w:pPr>
              <w:ind w:firstLine="480"/>
            </w:pPr>
            <w:r>
              <w:rPr>
                <w:rFonts w:hint="eastAsia"/>
              </w:rPr>
              <w:t>①堤型选择</w:t>
            </w:r>
          </w:p>
          <w:p w14:paraId="331C5856">
            <w:pPr>
              <w:ind w:firstLine="480"/>
            </w:pPr>
            <w:r>
              <w:t>生态护岸采用钢筋石笼+镀高尔凡加筋麦克垫护坡，面坡铺填种植土后种植草+灌植物生态带，并根据现状种植土情况采取基质改善措施。根据现场踏勘和业主提供的相关的资料，并结合项目区域周边已有工程的成功经验，本项目采用</w:t>
            </w:r>
            <w:r>
              <w:rPr>
                <w:rFonts w:hint="eastAsia"/>
              </w:rPr>
              <w:t>“</w:t>
            </w:r>
            <w:r>
              <w:t>宾格石笼+生态植草护岸</w:t>
            </w:r>
            <w:r>
              <w:rPr>
                <w:rFonts w:hint="eastAsia"/>
              </w:rPr>
              <w:t>”</w:t>
            </w:r>
            <w:r>
              <w:t>结构形式。</w:t>
            </w:r>
          </w:p>
          <w:p w14:paraId="6175B8D3">
            <w:pPr>
              <w:ind w:firstLine="480"/>
            </w:pPr>
            <w:r>
              <w:rPr>
                <w:rFonts w:hint="eastAsia"/>
              </w:rPr>
              <w:t>②护岸结构设计</w:t>
            </w:r>
          </w:p>
          <w:p w14:paraId="7C4071D5">
            <w:pPr>
              <w:ind w:firstLine="480"/>
            </w:pPr>
            <w:r>
              <w:t>石笼+生态植草护岸底部采用石笼护脚，护脚基础置于覆土深度以下（护岸基础埋深应考虑河道冲刷影响），缓坡段防护高度位于常年洪水位以上，陡坡段防护高度位于10年一遇洪水位以上。护脚以上边坡应缓于1:2，陡于1:2的坡段应进行削坡处理，设计防护高程以下面坡采用镀高尔凡麦克垫防护，底部20cm铺设耕植土，上部根据水位区域依序种植水生草本植物、湿生草本植物、草本植物。</w:t>
            </w:r>
          </w:p>
          <w:p w14:paraId="4F5BE9E5">
            <w:pPr>
              <w:ind w:firstLine="0" w:firstLineChars="0"/>
              <w:jc w:val="center"/>
            </w:pPr>
            <w:r>
              <w:drawing>
                <wp:inline distT="0" distB="0" distL="114300" distR="114300">
                  <wp:extent cx="4461510" cy="1776730"/>
                  <wp:effectExtent l="0" t="0" r="15240" b="1397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6"/>
                          <a:stretch>
                            <a:fillRect/>
                          </a:stretch>
                        </pic:blipFill>
                        <pic:spPr>
                          <a:xfrm>
                            <a:off x="0" y="0"/>
                            <a:ext cx="4461510" cy="1776730"/>
                          </a:xfrm>
                          <a:prstGeom prst="rect">
                            <a:avLst/>
                          </a:prstGeom>
                          <a:noFill/>
                          <a:ln>
                            <a:noFill/>
                          </a:ln>
                        </pic:spPr>
                      </pic:pic>
                    </a:graphicData>
                  </a:graphic>
                </wp:inline>
              </w:drawing>
            </w:r>
          </w:p>
          <w:p w14:paraId="1428D73A">
            <w:pPr>
              <w:ind w:firstLine="422"/>
              <w:jc w:val="center"/>
              <w:rPr>
                <w:b/>
                <w:bCs/>
                <w:sz w:val="21"/>
                <w:szCs w:val="21"/>
              </w:rPr>
            </w:pPr>
            <w:r>
              <w:rPr>
                <w:b/>
                <w:bCs/>
                <w:sz w:val="21"/>
                <w:szCs w:val="21"/>
              </w:rPr>
              <w:t>图2-</w:t>
            </w:r>
            <w:r>
              <w:rPr>
                <w:rFonts w:hint="eastAsia"/>
                <w:b/>
                <w:bCs/>
                <w:sz w:val="21"/>
                <w:szCs w:val="21"/>
                <w:lang w:val="en-US" w:eastAsia="zh-CN"/>
              </w:rPr>
              <w:t>2</w:t>
            </w:r>
            <w:r>
              <w:rPr>
                <w:b/>
                <w:bCs/>
                <w:sz w:val="21"/>
                <w:szCs w:val="21"/>
              </w:rPr>
              <w:t xml:space="preserve">  宾格石笼+生态植草护岸陡坡段标准断面图</w:t>
            </w:r>
          </w:p>
          <w:p w14:paraId="7DD58829">
            <w:pPr>
              <w:ind w:firstLine="0" w:firstLineChars="0"/>
              <w:jc w:val="center"/>
            </w:pPr>
            <w:r>
              <w:drawing>
                <wp:inline distT="0" distB="0" distL="114300" distR="114300">
                  <wp:extent cx="3074670" cy="2670175"/>
                  <wp:effectExtent l="0" t="0" r="11430" b="15875"/>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17"/>
                          <a:stretch>
                            <a:fillRect/>
                          </a:stretch>
                        </pic:blipFill>
                        <pic:spPr>
                          <a:xfrm>
                            <a:off x="0" y="0"/>
                            <a:ext cx="3074670" cy="2670175"/>
                          </a:xfrm>
                          <a:prstGeom prst="rect">
                            <a:avLst/>
                          </a:prstGeom>
                          <a:noFill/>
                          <a:ln>
                            <a:noFill/>
                          </a:ln>
                        </pic:spPr>
                      </pic:pic>
                    </a:graphicData>
                  </a:graphic>
                </wp:inline>
              </w:drawing>
            </w:r>
          </w:p>
          <w:p w14:paraId="03D580AA">
            <w:pPr>
              <w:ind w:firstLine="422"/>
              <w:jc w:val="center"/>
              <w:rPr>
                <w:b/>
                <w:bCs/>
                <w:sz w:val="21"/>
                <w:szCs w:val="21"/>
              </w:rPr>
            </w:pPr>
            <w:r>
              <w:rPr>
                <w:rFonts w:hint="eastAsia"/>
                <w:b/>
                <w:bCs/>
                <w:sz w:val="21"/>
                <w:szCs w:val="21"/>
              </w:rPr>
              <w:t>图2-</w:t>
            </w:r>
            <w:r>
              <w:rPr>
                <w:rFonts w:hint="eastAsia"/>
                <w:b/>
                <w:bCs/>
                <w:sz w:val="21"/>
                <w:szCs w:val="21"/>
                <w:lang w:val="en-US" w:eastAsia="zh-CN"/>
              </w:rPr>
              <w:t>3</w:t>
            </w:r>
            <w:r>
              <w:rPr>
                <w:rFonts w:hint="eastAsia"/>
                <w:b/>
                <w:bCs/>
                <w:sz w:val="21"/>
                <w:szCs w:val="21"/>
              </w:rPr>
              <w:t xml:space="preserve">  石笼大样图</w:t>
            </w:r>
          </w:p>
          <w:p w14:paraId="63DCC526">
            <w:pPr>
              <w:ind w:left="0" w:leftChars="0" w:firstLine="0" w:firstLineChars="0"/>
              <w:jc w:val="center"/>
              <w:rPr>
                <w:rFonts w:hint="eastAsia" w:eastAsia="宋体"/>
                <w:lang w:eastAsia="zh-CN"/>
              </w:rPr>
            </w:pPr>
            <w:r>
              <w:rPr>
                <w:rFonts w:hint="eastAsia" w:eastAsia="宋体"/>
                <w:lang w:eastAsia="zh-CN"/>
              </w:rPr>
              <w:drawing>
                <wp:inline distT="0" distB="0" distL="114300" distR="114300">
                  <wp:extent cx="3550285" cy="3161030"/>
                  <wp:effectExtent l="0" t="0" r="0" b="0"/>
                  <wp:docPr id="21" name="E657119C-6982-421D-8BA7-E74DEB70A7D9-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657119C-6982-421D-8BA7-E74DEB70A7D9-1" descr="wps"/>
                          <pic:cNvPicPr>
                            <a:picLocks noChangeAspect="1"/>
                          </pic:cNvPicPr>
                        </pic:nvPicPr>
                        <pic:blipFill>
                          <a:blip r:embed="rId18"/>
                          <a:stretch>
                            <a:fillRect/>
                          </a:stretch>
                        </pic:blipFill>
                        <pic:spPr>
                          <a:xfrm>
                            <a:off x="0" y="0"/>
                            <a:ext cx="3550285" cy="3161030"/>
                          </a:xfrm>
                          <a:prstGeom prst="rect">
                            <a:avLst/>
                          </a:prstGeom>
                        </pic:spPr>
                      </pic:pic>
                    </a:graphicData>
                  </a:graphic>
                </wp:inline>
              </w:drawing>
            </w:r>
          </w:p>
          <w:p w14:paraId="1B861F49">
            <w:pPr>
              <w:ind w:left="0" w:leftChars="0" w:firstLine="0" w:firstLineChars="0"/>
              <w:jc w:val="center"/>
              <w:rPr>
                <w:rFonts w:hint="default" w:eastAsia="宋体"/>
                <w:b/>
                <w:bCs/>
                <w:sz w:val="21"/>
                <w:szCs w:val="21"/>
                <w:lang w:val="en-US" w:eastAsia="zh-CN"/>
              </w:rPr>
            </w:pPr>
            <w:r>
              <w:rPr>
                <w:rFonts w:hint="eastAsia"/>
                <w:b/>
                <w:bCs/>
                <w:sz w:val="21"/>
                <w:szCs w:val="21"/>
                <w:lang w:val="en-US" w:eastAsia="zh-CN"/>
              </w:rPr>
              <w:t>图2-4  生态护岸施工工艺流程图</w:t>
            </w:r>
          </w:p>
          <w:p w14:paraId="01F9ED53">
            <w:pPr>
              <w:ind w:firstLine="482"/>
              <w:rPr>
                <w:b/>
                <w:bCs/>
              </w:rPr>
            </w:pPr>
            <w:r>
              <w:rPr>
                <w:b/>
                <w:bCs/>
              </w:rPr>
              <w:t>本项目</w:t>
            </w:r>
            <w:r>
              <w:rPr>
                <w:rFonts w:hint="eastAsia"/>
                <w:b/>
                <w:bCs/>
                <w:lang w:val="en-US" w:eastAsia="zh-CN"/>
              </w:rPr>
              <w:t>生态护岸</w:t>
            </w:r>
            <w:r>
              <w:rPr>
                <w:b/>
                <w:bCs/>
              </w:rPr>
              <w:t>具体施工工艺流程如下：</w:t>
            </w:r>
          </w:p>
          <w:p w14:paraId="059D8853">
            <w:pPr>
              <w:ind w:firstLine="482"/>
              <w:rPr>
                <w:rFonts w:hint="default" w:eastAsia="宋体"/>
                <w:b/>
                <w:bCs/>
                <w:lang w:val="en-US" w:eastAsia="zh-CN"/>
              </w:rPr>
            </w:pPr>
            <w:r>
              <w:rPr>
                <w:rFonts w:hint="eastAsia"/>
                <w:b/>
                <w:bCs/>
                <w:lang w:val="en-US" w:eastAsia="zh-CN"/>
              </w:rPr>
              <w:t>①施工导流</w:t>
            </w:r>
          </w:p>
          <w:p w14:paraId="432FDED3">
            <w:pPr>
              <w:ind w:firstLine="480"/>
            </w:pPr>
            <w:r>
              <w:rPr>
                <w:rFonts w:hint="eastAsia"/>
              </w:rPr>
              <w:t>导流标准：施工导流建筑物级别为5级，围堰导流标准为10年一遇。</w:t>
            </w:r>
          </w:p>
          <w:p w14:paraId="56C1E699">
            <w:pPr>
              <w:ind w:firstLine="480"/>
            </w:pPr>
            <w:r>
              <w:rPr>
                <w:rFonts w:hint="eastAsia"/>
              </w:rPr>
              <w:t>导流时段及流量：11月~次年4月。</w:t>
            </w:r>
          </w:p>
          <w:p w14:paraId="63D284CA">
            <w:pPr>
              <w:ind w:firstLine="480"/>
            </w:pPr>
            <w:r>
              <w:rPr>
                <w:rFonts w:hint="eastAsia"/>
              </w:rPr>
              <w:t>导流方式：枯期河道施工，治理段沿河道不均匀发育阶地和滩地，根据水力计算,施工导流方式采用束窄河床，分段围堰导流采用土工膜防渗，,保证堤防工程干地施工。</w:t>
            </w:r>
          </w:p>
          <w:p w14:paraId="22278B62">
            <w:pPr>
              <w:ind w:firstLine="480"/>
            </w:pPr>
            <w:r>
              <w:rPr>
                <w:rFonts w:hint="eastAsia"/>
              </w:rPr>
              <w:t>根据拟定的导流方式，确定导流程序为：</w:t>
            </w:r>
          </w:p>
          <w:p w14:paraId="685365C1">
            <w:pPr>
              <w:ind w:firstLine="480"/>
            </w:pPr>
            <w:r>
              <w:rPr>
                <w:rFonts w:hint="eastAsia"/>
              </w:rPr>
              <w:t>1）第1年10月，进场道路施工。</w:t>
            </w:r>
          </w:p>
          <w:p w14:paraId="02E54751">
            <w:pPr>
              <w:ind w:firstLine="480"/>
            </w:pPr>
            <w:r>
              <w:rPr>
                <w:rFonts w:hint="eastAsia"/>
              </w:rPr>
              <w:t>2）第1年10月底，分期分段围堰填筑。</w:t>
            </w:r>
          </w:p>
          <w:p w14:paraId="144B28AA">
            <w:pPr>
              <w:ind w:firstLine="480"/>
            </w:pPr>
            <w:r>
              <w:rPr>
                <w:rFonts w:hint="eastAsia"/>
              </w:rPr>
              <w:t>3）第1年11月～第2年2月，堤防主体工程施工。</w:t>
            </w:r>
          </w:p>
          <w:p w14:paraId="0BE8B4F0">
            <w:pPr>
              <w:ind w:firstLine="480"/>
            </w:pPr>
            <w:r>
              <w:rPr>
                <w:rFonts w:hint="eastAsia"/>
              </w:rPr>
              <w:t>4）第2年3月，完成附属工程、施工场地清理，临建设施的拆除，资料整理和工程验收，工程竣工。</w:t>
            </w:r>
          </w:p>
          <w:p w14:paraId="69C43AA6">
            <w:pPr>
              <w:ind w:firstLine="480"/>
            </w:pPr>
            <w:r>
              <w:rPr>
                <w:rFonts w:hint="eastAsia"/>
              </w:rPr>
              <w:t>总工期6个月。</w:t>
            </w:r>
          </w:p>
          <w:p w14:paraId="2F199C82">
            <w:pPr>
              <w:ind w:firstLine="480"/>
            </w:pPr>
            <w:r>
              <w:rPr>
                <w:rFonts w:hint="eastAsia"/>
              </w:rPr>
              <w:t>1）导流建筑物设计</w:t>
            </w:r>
          </w:p>
          <w:p w14:paraId="2BE659FD">
            <w:pPr>
              <w:ind w:firstLine="480"/>
            </w:pPr>
            <w:r>
              <w:rPr>
                <w:rFonts w:hint="eastAsia"/>
              </w:rPr>
              <w:t>围堰高程</w:t>
            </w:r>
          </w:p>
          <w:p w14:paraId="749C757C">
            <w:pPr>
              <w:ind w:firstLine="480"/>
            </w:pPr>
            <w:r>
              <w:rPr>
                <w:rFonts w:hint="eastAsia"/>
              </w:rPr>
              <w:t>根据主体设计，</w:t>
            </w:r>
            <w:r>
              <w:t>堰顶安全加高值0.5m，结合工程布置情况、地面高程和围堰布置，左岸布置围堰长900m。</w:t>
            </w:r>
          </w:p>
          <w:p w14:paraId="2C43B707">
            <w:pPr>
              <w:ind w:firstLine="480"/>
            </w:pPr>
            <w:r>
              <w:rPr>
                <w:rFonts w:hint="eastAsia"/>
              </w:rPr>
              <w:t>围堰结构</w:t>
            </w:r>
          </w:p>
          <w:p w14:paraId="5CAED410">
            <w:pPr>
              <w:ind w:firstLine="480"/>
            </w:pPr>
            <w:r>
              <w:rPr>
                <w:rFonts w:hint="eastAsia"/>
              </w:rPr>
              <w:t>根据主体设计，围堰型式采用土石围堰，围堰顶宽1.5m，迎水面边坡为1:2，背水面边坡1:1.5。砂砾石填筑，迎水面铺设复合土工膜，采用编织袋装土石围堰填筑。</w:t>
            </w:r>
          </w:p>
          <w:p w14:paraId="4FA7EA34">
            <w:pPr>
              <w:numPr>
                <w:ilvl w:val="0"/>
                <w:numId w:val="8"/>
              </w:numPr>
              <w:ind w:firstLine="480"/>
            </w:pPr>
            <w:r>
              <w:rPr>
                <w:rFonts w:hint="eastAsia"/>
              </w:rPr>
              <w:t>导流建筑物施工</w:t>
            </w:r>
          </w:p>
          <w:p w14:paraId="06205B1D">
            <w:pPr>
              <w:ind w:firstLine="480"/>
            </w:pPr>
            <w:r>
              <w:rPr>
                <w:rFonts w:hint="eastAsia"/>
              </w:rPr>
              <w:t>围堰填筑：</w:t>
            </w:r>
          </w:p>
          <w:p w14:paraId="7951D23E">
            <w:pPr>
              <w:bidi w:val="0"/>
            </w:pPr>
            <w:r>
              <w:rPr>
                <w:rFonts w:hint="eastAsia"/>
              </w:rPr>
              <w:t>采用1m</w:t>
            </w:r>
            <w:r>
              <w:rPr>
                <w:rFonts w:hint="eastAsia"/>
                <w:vertAlign w:val="superscript"/>
              </w:rPr>
              <w:t>3</w:t>
            </w:r>
            <w:r>
              <w:rPr>
                <w:rFonts w:hint="eastAsia"/>
              </w:rPr>
              <w:t>单斗液压挖掘机开挖，进占法卸料，74kw推土机平料，10t斜坡振动碾振动碾压实。</w:t>
            </w:r>
          </w:p>
          <w:p w14:paraId="4EC89504">
            <w:pPr>
              <w:ind w:firstLine="480"/>
            </w:pPr>
            <w:r>
              <w:rPr>
                <w:rFonts w:hint="eastAsia"/>
              </w:rPr>
              <w:t>编织袋装土围堰：</w:t>
            </w:r>
          </w:p>
          <w:p w14:paraId="2B010625">
            <w:pPr>
              <w:ind w:firstLine="480"/>
            </w:pPr>
            <w:r>
              <w:rPr>
                <w:rFonts w:hint="eastAsia"/>
              </w:rPr>
              <w:t>编织袋装土石料利用工程砂卵石开挖料，采用74kw推土机运土石料，人工装袋堆筑护坡。</w:t>
            </w:r>
          </w:p>
          <w:p w14:paraId="5FE4CD72">
            <w:pPr>
              <w:ind w:firstLine="480"/>
            </w:pPr>
            <w:r>
              <w:rPr>
                <w:rFonts w:hint="eastAsia"/>
              </w:rPr>
              <w:t>复合土工膜施工：</w:t>
            </w:r>
          </w:p>
          <w:p w14:paraId="0BD5D025">
            <w:pPr>
              <w:ind w:firstLine="480"/>
            </w:pPr>
            <w:r>
              <w:rPr>
                <w:rFonts w:hint="eastAsia"/>
              </w:rPr>
              <w:t>复合土工膜在专业加工厂拼成符合设计要求尺寸的块体（尽量宽幅），卷在钢管上，妥善运输至施工现场。人工铺设土工膜。</w:t>
            </w:r>
          </w:p>
          <w:p w14:paraId="0899A2A9">
            <w:pPr>
              <w:ind w:firstLine="480"/>
            </w:pPr>
            <w:r>
              <w:rPr>
                <w:rFonts w:hint="eastAsia"/>
              </w:rPr>
              <w:t>围堰拆除：</w:t>
            </w:r>
          </w:p>
          <w:p w14:paraId="72C85124">
            <w:pPr>
              <w:ind w:firstLine="480"/>
            </w:pPr>
            <w:r>
              <w:rPr>
                <w:rFonts w:hint="eastAsia"/>
              </w:rPr>
              <w:t>采用2m</w:t>
            </w:r>
            <w:r>
              <w:rPr>
                <w:rFonts w:hint="eastAsia"/>
                <w:vertAlign w:val="superscript"/>
              </w:rPr>
              <w:t>3</w:t>
            </w:r>
            <w:r>
              <w:rPr>
                <w:rFonts w:hint="eastAsia"/>
              </w:rPr>
              <w:t>挖掘机开挖，围堰料拆除后就近用于堤脚回填。</w:t>
            </w:r>
          </w:p>
          <w:p w14:paraId="6C12380E">
            <w:pPr>
              <w:ind w:firstLine="480"/>
              <w:rPr>
                <w:rFonts w:hint="default" w:eastAsia="宋体"/>
                <w:b/>
                <w:bCs/>
                <w:lang w:val="en-US" w:eastAsia="zh-CN"/>
              </w:rPr>
            </w:pPr>
            <w:r>
              <w:rPr>
                <w:rFonts w:hint="eastAsia"/>
                <w:b/>
                <w:bCs/>
                <w:lang w:val="en-US" w:eastAsia="zh-CN"/>
              </w:rPr>
              <w:t>②土石方开挖</w:t>
            </w:r>
          </w:p>
          <w:p w14:paraId="668A5067">
            <w:pPr>
              <w:ind w:firstLine="480"/>
              <w:rPr>
                <w:rFonts w:hint="eastAsia"/>
              </w:rPr>
            </w:pPr>
            <w:r>
              <w:rPr>
                <w:rFonts w:hint="eastAsia"/>
              </w:rPr>
              <w:t>本次工程土石方开挖采用0.5~1m</w:t>
            </w:r>
            <w:r>
              <w:rPr>
                <w:rFonts w:hint="eastAsia"/>
                <w:vertAlign w:val="superscript"/>
              </w:rPr>
              <w:t>3</w:t>
            </w:r>
            <w:r>
              <w:rPr>
                <w:rFonts w:hint="eastAsia"/>
              </w:rPr>
              <w:t>反铲开挖，开挖采用分层开挖、自上而下进行，挖时由中心向两侧，先深后宽，边坡处按坡比先挖成台阶状以控制边坡，待挖至设计要求时再进行削坡。横断面方向做到远挖近倒，近挖远倒，先平后高。施工过程中如遇雨天，应派人随时观察开挖后的高边坡稳定情况，发现有坍塌趋势的边坡要采取必要的临时支护措施，以保证边坡的稳定。雨天施工时，施工台阶略向外倾斜，以利排水。</w:t>
            </w:r>
          </w:p>
          <w:p w14:paraId="0BA2F0E3">
            <w:pPr>
              <w:ind w:firstLine="480"/>
              <w:rPr>
                <w:rFonts w:hint="eastAsia"/>
                <w:b/>
                <w:bCs/>
                <w:lang w:val="en-US" w:eastAsia="zh-CN"/>
              </w:rPr>
            </w:pPr>
            <w:r>
              <w:rPr>
                <w:rFonts w:hint="eastAsia"/>
                <w:b/>
                <w:bCs/>
                <w:lang w:val="en-US" w:eastAsia="zh-CN"/>
              </w:rPr>
              <w:t>③护岸建设</w:t>
            </w:r>
          </w:p>
          <w:p w14:paraId="6236C404">
            <w:pPr>
              <w:ind w:firstLine="480"/>
              <w:rPr>
                <w:rFonts w:hint="eastAsia"/>
                <w:b w:val="0"/>
                <w:bCs w:val="0"/>
                <w:lang w:val="en-US" w:eastAsia="zh-CN"/>
              </w:rPr>
            </w:pPr>
            <w:r>
              <w:rPr>
                <w:rFonts w:hint="eastAsia"/>
                <w:b w:val="0"/>
                <w:bCs w:val="0"/>
                <w:lang w:val="en-US" w:eastAsia="zh-CN"/>
              </w:rPr>
              <w:t>本工程所需混凝土外购，由6m</w:t>
            </w:r>
            <w:r>
              <w:rPr>
                <w:rFonts w:hint="eastAsia"/>
                <w:b w:val="0"/>
                <w:bCs w:val="0"/>
                <w:vertAlign w:val="superscript"/>
                <w:lang w:val="en-US" w:eastAsia="zh-CN"/>
              </w:rPr>
              <w:t>3</w:t>
            </w:r>
            <w:r>
              <w:rPr>
                <w:rFonts w:hint="eastAsia"/>
                <w:b w:val="0"/>
                <w:bCs w:val="0"/>
                <w:lang w:val="en-US" w:eastAsia="zh-CN"/>
              </w:rPr>
              <w:t>~10m</w:t>
            </w:r>
            <w:r>
              <w:rPr>
                <w:rFonts w:hint="eastAsia"/>
                <w:b w:val="0"/>
                <w:bCs w:val="0"/>
                <w:vertAlign w:val="superscript"/>
                <w:lang w:val="en-US" w:eastAsia="zh-CN"/>
              </w:rPr>
              <w:t>3</w:t>
            </w:r>
            <w:r>
              <w:rPr>
                <w:rFonts w:hint="eastAsia"/>
                <w:b w:val="0"/>
                <w:bCs w:val="0"/>
                <w:lang w:val="en-US" w:eastAsia="zh-CN"/>
              </w:rPr>
              <w:t>混凝土搅拌运输车运输至工地附近。混凝土雨季施工应及时收集天气预报资料，使混凝土施工尽量避免大风大雨天。尽量缩小施工工作面，逐段、逐片分期施工。基础施工时，防止地面水流入仓内。</w:t>
            </w:r>
          </w:p>
          <w:p w14:paraId="4E6235E3">
            <w:pPr>
              <w:ind w:firstLine="480"/>
              <w:rPr>
                <w:rFonts w:hint="eastAsia"/>
                <w:b w:val="0"/>
                <w:bCs w:val="0"/>
                <w:lang w:val="en-US" w:eastAsia="zh-CN"/>
              </w:rPr>
            </w:pPr>
            <w:r>
              <w:rPr>
                <w:rFonts w:hint="eastAsia"/>
                <w:b w:val="0"/>
                <w:bCs w:val="0"/>
                <w:lang w:val="en-US" w:eastAsia="zh-CN"/>
              </w:rPr>
              <w:t>土石方填筑需先清除表层耕植土、植物根系、建筑垃圾等，清表厚度不低于 30cm，清表完成后应采用机械进行压实，压实后基础承载力不低于 80kpa。清理的表土集中堆放，用于框格梁及堤后的表土回铺。本次利用开挖料及开采的外运石渣料进行堤身填筑，填筑料中不得含垃圾、淤泥、草根、建渣等杂物。</w:t>
            </w:r>
          </w:p>
          <w:p w14:paraId="682480A6">
            <w:pPr>
              <w:ind w:firstLine="480"/>
              <w:rPr>
                <w:rFonts w:hint="eastAsia"/>
                <w:b w:val="0"/>
                <w:bCs w:val="0"/>
                <w:lang w:val="en-US" w:eastAsia="zh-CN"/>
              </w:rPr>
            </w:pPr>
            <w:r>
              <w:rPr>
                <w:rFonts w:hint="eastAsia"/>
                <w:b w:val="0"/>
                <w:bCs w:val="0"/>
                <w:lang w:val="en-US" w:eastAsia="zh-CN"/>
              </w:rPr>
              <w:t>格宾是由特殊防腐处理的低碳钢丝经机器编织成的六边形双绞合钢丝网，在工厂做成符合工程要求的网箱结构，其具有更优于EN10223-3 标准中所述网箱的力学性能。在施工现场用石料填充格宾，用于建造如挡墙、河道固脚以及堤堰等结构，其结构具有柔性、透水性及整体性等特点。填充石料要求采用坚硬、不易风化、不易水解、不易碎的块石，填充石料粒径以 100-300mm 为宜。为了加快绿化效果，宜在格宾面墙台阶上覆盖土层撒草籽，或者布设营养土工包种植适宜的植被，或者通过插枝（根系延伸到回填土）等方式进行绿化。格宾的安装应在专业厂家的指导下进行。其使用寿命不应小于 50年。格宾购买后，人工辅助反铲安装就位。</w:t>
            </w:r>
          </w:p>
          <w:p w14:paraId="6444E12F">
            <w:pPr>
              <w:ind w:firstLine="482"/>
              <w:rPr>
                <w:b/>
                <w:bCs/>
              </w:rPr>
            </w:pPr>
            <w:r>
              <w:rPr>
                <w:rFonts w:hint="eastAsia"/>
                <w:b/>
                <w:bCs/>
              </w:rPr>
              <w:t>（</w:t>
            </w:r>
            <w:r>
              <w:rPr>
                <w:rFonts w:hint="eastAsia"/>
                <w:b/>
                <w:bCs/>
                <w:lang w:val="en-US" w:eastAsia="zh-CN"/>
              </w:rPr>
              <w:t>3</w:t>
            </w:r>
            <w:r>
              <w:rPr>
                <w:rFonts w:hint="eastAsia"/>
                <w:b/>
                <w:bCs/>
              </w:rPr>
              <w:t>）生态隔离带施工工艺流程</w:t>
            </w:r>
          </w:p>
          <w:p w14:paraId="417FB193">
            <w:pPr>
              <w:ind w:firstLine="480"/>
            </w:pPr>
            <w:r>
              <w:t>1）台地草坪场地</w:t>
            </w:r>
          </w:p>
          <w:p w14:paraId="5ACC24A6">
            <w:pPr>
              <w:ind w:firstLine="480"/>
            </w:pPr>
            <w:r>
              <w:t>本项目生态隔离带结合场地原有地形高差设置分级台地草坪空间，采用彩色透水混凝土结合花岗岩台阶作为硬质铺装，整体形成景观缓冲隔离区域。</w:t>
            </w:r>
          </w:p>
          <w:p w14:paraId="64A6E2BF">
            <w:pPr>
              <w:ind w:firstLine="480"/>
            </w:pPr>
            <w:r>
              <w:t>①场地选型</w:t>
            </w:r>
          </w:p>
          <w:p w14:paraId="7155AF8C">
            <w:pPr>
              <w:ind w:firstLine="480"/>
            </w:pPr>
            <w:r>
              <w:t>场地现状存在高低地形差，无完整绿化空间，结合区域雨水管控、景观隔离需求，选用分级台地草坪形式，兼顾透水滞水、绿化隔离双重功能。</w:t>
            </w:r>
          </w:p>
          <w:p w14:paraId="7F3C78DA">
            <w:pPr>
              <w:ind w:firstLine="480"/>
            </w:pPr>
            <w:r>
              <w:t>②台地施工工艺设计</w:t>
            </w:r>
          </w:p>
          <w:p w14:paraId="4DF55215">
            <w:pPr>
              <w:ind w:firstLine="480"/>
            </w:pPr>
            <w:r>
              <w:t>施工放样完成场地清表，对高差区域分层开挖、回填碾压整形形成分级台地；浇筑混凝土台阶基座，安装花岗岩台阶；分层摊铺彩色透水混凝土并做表面防护处理；坡面铺设 20cm 改良种植土，完成草坪铺植后养护成型，台地统一设置排水坡向生态草沟，实现地表径流有序导排。</w:t>
            </w:r>
          </w:p>
          <w:p w14:paraId="575AD874">
            <w:pPr>
              <w:ind w:firstLine="480"/>
            </w:pPr>
            <w:r>
              <w:t>2）生态草沟</w:t>
            </w:r>
          </w:p>
          <w:p w14:paraId="532EB866">
            <w:pPr>
              <w:ind w:firstLine="480"/>
            </w:pPr>
            <w:r>
              <w:t>本项目于滨水游步道单侧配套设置生态草沟，作为隔离带雨水净化设施，全线统一尺寸宽1m、深20~30cm，利用卵石、耐湿植被完成径流削减、雨水净化。</w:t>
            </w:r>
          </w:p>
          <w:p w14:paraId="42650E3A">
            <w:pPr>
              <w:ind w:firstLine="480"/>
            </w:pPr>
            <w:r>
              <w:t>①沟槽选型</w:t>
            </w:r>
          </w:p>
          <w:p w14:paraId="39DF937F">
            <w:pPr>
              <w:ind w:firstLine="480"/>
            </w:pPr>
            <w:r>
              <w:t>场地台地草坪存在地表雨水汇流，无天然排水通道，结合海绵城市设计要求，选用浅式生态草沟替代硬质排水沟，兼顾生态保育与排水功能。</w:t>
            </w:r>
          </w:p>
          <w:p w14:paraId="512A5377">
            <w:pPr>
              <w:ind w:firstLine="480"/>
            </w:pPr>
            <w:r>
              <w:t>②生态草沟施工工艺设计</w:t>
            </w:r>
          </w:p>
          <w:p w14:paraId="5FD0DE63">
            <w:pPr>
              <w:ind w:firstLine="480"/>
            </w:pPr>
            <w:r>
              <w:t>测量放线后分段开挖沟槽，沟底整平夯实；底部满铺散卵石透水垫层；沿沟槽沟底、两侧边坡成片栽植鸢尾、麦冬等耐水湿地被；沟槽整体顺坡连通台地排水坡，完成整形后洒水养护，依靠植被截留减缓径流流速，净化面源雨水。</w:t>
            </w:r>
          </w:p>
          <w:p w14:paraId="6AF053DA">
            <w:pPr>
              <w:ind w:firstLine="480"/>
            </w:pPr>
            <w:r>
              <w:t>3）绿化种植工程（隔离带乔灌草植被）</w:t>
            </w:r>
          </w:p>
          <w:p w14:paraId="20CDD4DF">
            <w:pPr>
              <w:ind w:firstLine="480"/>
            </w:pPr>
            <w:r>
              <w:t>本项目生态隔离带以乡土苗木构建分层绿化隔离带，乔木、灌木、地被搭配栽植，形成连续生态缓冲屏障。</w:t>
            </w:r>
          </w:p>
          <w:p w14:paraId="136C4076">
            <w:pPr>
              <w:ind w:firstLine="480"/>
            </w:pPr>
            <w:r>
              <w:t>①种植选型</w:t>
            </w:r>
          </w:p>
          <w:p w14:paraId="3AF1B35A">
            <w:pPr>
              <w:ind w:firstLine="480"/>
            </w:pPr>
            <w:r>
              <w:t>遵循适地适树、节约易管设计原则，选用香樟、枫杨、榉树等乡土乔木，搭配南天竹、红叶石楠、紫薇等灌木，湿生地被搭配鸢尾、麦冬，构建多层次隔离植被群落。</w:t>
            </w:r>
          </w:p>
          <w:p w14:paraId="657A5E48">
            <w:pPr>
              <w:ind w:firstLine="480"/>
            </w:pPr>
            <w:r>
              <w:t>②种植施工工艺设计</w:t>
            </w:r>
          </w:p>
          <w:p w14:paraId="227FE126">
            <w:pPr>
              <w:ind w:firstLine="480"/>
            </w:pPr>
            <w:r>
              <w:t>场地清理完成种植土改良回填，按苗木点位定点放样；乔木开挖大于土球 30cm 树穴，底部铺设腐熟有机肥，栽植后设立三角支撑、浇灌定根水；灌木带状密植形成隔离绿篱，统一修剪造型；滨水、草沟区域成片栽植湿生地被；完工后定期补水、除草、修剪，保障苗木成活率与隔离景观效果。</w:t>
            </w:r>
          </w:p>
          <w:p w14:paraId="1EED4559">
            <w:pPr>
              <w:numPr>
                <w:ilvl w:val="0"/>
                <w:numId w:val="9"/>
              </w:numPr>
              <w:ind w:firstLineChars="0"/>
              <w:rPr>
                <w:b/>
                <w:bCs/>
              </w:rPr>
            </w:pPr>
            <w:r>
              <w:rPr>
                <w:rFonts w:hint="eastAsia"/>
                <w:b/>
                <w:bCs/>
              </w:rPr>
              <w:t>生态步道及护栏3公里等配套施工工艺流程</w:t>
            </w:r>
          </w:p>
          <w:p w14:paraId="0F8A394F">
            <w:pPr>
              <w:ind w:firstLine="480"/>
            </w:pPr>
            <w:r>
              <w:t>1）滨水生态游步道</w:t>
            </w:r>
          </w:p>
          <w:p w14:paraId="44C5343C">
            <w:pPr>
              <w:ind w:firstLine="480"/>
            </w:pPr>
            <w:r>
              <w:t>本项目河道东岸设置3km滨河生态步道，分为C25彩色透水混凝土主步道、木栈道两类，配套灰色透水砖园路支线，全线透水铺装，结合场地竖向实现雨水下渗，串联运动广场、河湾剧场、台地草坪等活动空间，满足居民休闲通行需求。</w:t>
            </w:r>
          </w:p>
          <w:p w14:paraId="5C71C5E6">
            <w:pPr>
              <w:ind w:firstLine="480"/>
            </w:pPr>
            <w:r>
              <w:t>2）护栏</w:t>
            </w:r>
          </w:p>
          <w:p w14:paraId="13C1FC2C">
            <w:pPr>
              <w:ind w:firstLine="480"/>
            </w:pPr>
            <w:r>
              <w:t>步道临水侧全线设置1.2m高哑光不锈钢立柱+钢索护栏，扶手采用防腐木材质，栏杆内嵌科普标识牌，符合《公园设计规范》GB51192-2016 防护标准，步道、运动广场、河湾剧场临水边界统一配套同款护栏。</w:t>
            </w:r>
          </w:p>
          <w:p w14:paraId="13F3E1E1">
            <w:pPr>
              <w:ind w:firstLine="480"/>
            </w:pPr>
            <w:r>
              <w:t>滨水步道、运动场地外侧、河湾剧场临水边缘连续设置隔离护栏，防止人员跌落；结合生态科普需求，扶手间隔150m设置一组动植物科普标识牌，兼顾安全防护与生态宣教功能。</w:t>
            </w:r>
          </w:p>
          <w:p w14:paraId="0E2D2991">
            <w:pPr>
              <w:ind w:firstLine="480"/>
            </w:pPr>
            <w:r>
              <w:t>3）运动健身广场</w:t>
            </w:r>
          </w:p>
          <w:p w14:paraId="75A05552">
            <w:pPr>
              <w:ind w:firstLine="480"/>
            </w:pPr>
            <w:r>
              <w:t>本项目利用</w:t>
            </w:r>
            <w:r>
              <w:rPr>
                <w:rFonts w:hint="eastAsia"/>
              </w:rPr>
              <w:t>后</w:t>
            </w:r>
            <w:r>
              <w:t>河下闲置空间</w:t>
            </w:r>
            <w:r>
              <w:rPr>
                <w:rFonts w:hint="eastAsia"/>
              </w:rPr>
              <w:t>以及南侧</w:t>
            </w:r>
            <w:r>
              <w:t>设置运动广场，铺设彩色塑胶、硅PU面层，配套篮球场、羽毛球场、健身器械、休憩坐凳，与滨河步道连通。</w:t>
            </w:r>
          </w:p>
          <w:p w14:paraId="22F62D17">
            <w:pPr>
              <w:ind w:firstLine="480"/>
            </w:pPr>
            <w:r>
              <w:t>依托场地闲置开阔地块打造集中活动空间，透水铺装周边绿地承接场地雨水，通过植草沟、线性排水沟完成雨水消纳，适配周边居民日常锻炼、休闲集会。</w:t>
            </w:r>
          </w:p>
          <w:p w14:paraId="592CA066">
            <w:pPr>
              <w:ind w:firstLine="0" w:firstLineChars="0"/>
            </w:pPr>
            <w:r>
              <w:rPr>
                <w:rFonts w:hint="eastAsia"/>
                <w:b/>
                <w:bCs/>
              </w:rPr>
              <w:t>二、施工时序及施工工期</w:t>
            </w:r>
          </w:p>
          <w:p w14:paraId="2012491D">
            <w:pPr>
              <w:pStyle w:val="9"/>
              <w:ind w:firstLine="480"/>
              <w:rPr>
                <w:color w:val="000000"/>
                <w:spacing w:val="0"/>
                <w:szCs w:val="24"/>
              </w:rPr>
            </w:pPr>
            <w:r>
              <w:rPr>
                <w:rFonts w:hint="eastAsia"/>
                <w:color w:val="000000"/>
                <w:spacing w:val="0"/>
                <w:szCs w:val="24"/>
              </w:rPr>
              <w:t>结合施工条件及工程内容，总体施工顺序按照先地下、后地上；先结构、后围护；先主体、后装修；先土建、后专业的总施工顺序原则进行部署。</w:t>
            </w:r>
          </w:p>
          <w:p w14:paraId="788BB220">
            <w:pPr>
              <w:pStyle w:val="9"/>
              <w:ind w:firstLine="480"/>
              <w:rPr>
                <w:color w:val="000000"/>
                <w:spacing w:val="0"/>
                <w:szCs w:val="24"/>
              </w:rPr>
            </w:pPr>
            <w:r>
              <w:rPr>
                <w:rFonts w:hint="eastAsia"/>
                <w:color w:val="000000"/>
                <w:spacing w:val="0"/>
                <w:szCs w:val="24"/>
              </w:rPr>
              <w:t>技术准备：依据批准的技术文件，认真核对测量资料，组织技术人员进行现场勘测与施工调查。</w:t>
            </w:r>
          </w:p>
          <w:p w14:paraId="223D789A">
            <w:pPr>
              <w:pStyle w:val="9"/>
              <w:ind w:firstLine="480"/>
              <w:rPr>
                <w:color w:val="000000"/>
                <w:spacing w:val="0"/>
                <w:szCs w:val="24"/>
              </w:rPr>
            </w:pPr>
            <w:r>
              <w:rPr>
                <w:rFonts w:hint="eastAsia"/>
                <w:color w:val="000000"/>
                <w:spacing w:val="0"/>
                <w:szCs w:val="24"/>
              </w:rPr>
              <w:t>物资准备：备齐施工所需的主要材料、设备，根据工程进度需要安排好各种建筑材料、工程设备的采购及进场，对于重要的原材料和天然建筑材料，现场考虑留置一定数量的储备。</w:t>
            </w:r>
          </w:p>
          <w:p w14:paraId="2B4872E7">
            <w:pPr>
              <w:pStyle w:val="9"/>
              <w:ind w:firstLine="480"/>
              <w:rPr>
                <w:color w:val="000000"/>
                <w:spacing w:val="0"/>
                <w:szCs w:val="24"/>
              </w:rPr>
            </w:pPr>
            <w:r>
              <w:rPr>
                <w:rFonts w:hint="eastAsia"/>
                <w:color w:val="000000"/>
                <w:spacing w:val="0"/>
                <w:szCs w:val="24"/>
              </w:rPr>
              <w:t>施工队伍及机械设备进场：投入本工程的机械设备都是常规设备，重要的水工建筑物必须有具备水利行业相应施工资质的专业施工队伍施工。</w:t>
            </w:r>
          </w:p>
          <w:p w14:paraId="156CE249">
            <w:pPr>
              <w:pStyle w:val="9"/>
              <w:ind w:firstLine="480"/>
              <w:rPr>
                <w:color w:val="000000"/>
                <w:spacing w:val="0"/>
                <w:szCs w:val="24"/>
              </w:rPr>
            </w:pPr>
            <w:r>
              <w:rPr>
                <w:rFonts w:hint="eastAsia"/>
                <w:color w:val="000000"/>
                <w:spacing w:val="0"/>
                <w:szCs w:val="24"/>
              </w:rPr>
              <w:t>施工现场准备：重点做好场地平整，施工场内的便道、生产生活设施以及供电等设施的修建，确保施工现场“三通一平”和临时设施等满足要求。</w:t>
            </w:r>
          </w:p>
          <w:p w14:paraId="0D31C03F">
            <w:pPr>
              <w:ind w:firstLine="480"/>
            </w:pPr>
            <w:r>
              <w:rPr>
                <w:rFonts w:hint="eastAsia"/>
              </w:rPr>
              <w:t>本项目工程施工分为工程准备期、主体工程施工期和工程完建期三个阶段。本工程施工总工期24个月，其中：工程准备期1个月，主体工程施工期22个月（非汛期），工程完建期1个月。</w:t>
            </w:r>
          </w:p>
          <w:p w14:paraId="48A8ED6E">
            <w:pPr>
              <w:ind w:firstLine="0" w:firstLineChars="0"/>
              <w:rPr>
                <w:b/>
                <w:bCs/>
              </w:rPr>
            </w:pPr>
            <w:r>
              <w:rPr>
                <w:rFonts w:hint="eastAsia"/>
                <w:b/>
                <w:bCs/>
              </w:rPr>
              <w:t>三、施工组织</w:t>
            </w:r>
          </w:p>
          <w:p w14:paraId="13A965D0">
            <w:pPr>
              <w:ind w:firstLine="482"/>
            </w:pPr>
            <w:r>
              <w:rPr>
                <w:rFonts w:hint="eastAsia"/>
                <w:b/>
                <w:bCs/>
              </w:rPr>
              <w:t>1、主要施工材料供应</w:t>
            </w:r>
          </w:p>
          <w:p w14:paraId="64B38FA9">
            <w:pPr>
              <w:ind w:firstLine="482"/>
              <w:rPr>
                <w:b/>
                <w:bCs/>
              </w:rPr>
            </w:pPr>
            <w:r>
              <w:rPr>
                <w:rFonts w:hint="eastAsia"/>
                <w:b/>
                <w:bCs/>
              </w:rPr>
              <w:t>（1）天然建筑材料</w:t>
            </w:r>
          </w:p>
          <w:p w14:paraId="579B41F3">
            <w:pPr>
              <w:ind w:firstLine="480"/>
            </w:pPr>
            <w:r>
              <w:rPr>
                <w:rFonts w:hint="eastAsia"/>
              </w:rPr>
              <w:t>本项目所需砼骨料、大卵石料、填筑料均可以当地购买，由公路运输至工地。</w:t>
            </w:r>
          </w:p>
          <w:p w14:paraId="7A3DF545">
            <w:pPr>
              <w:ind w:firstLine="482"/>
              <w:rPr>
                <w:b/>
                <w:bCs/>
              </w:rPr>
            </w:pPr>
            <w:r>
              <w:rPr>
                <w:rFonts w:hint="eastAsia"/>
                <w:b/>
                <w:bCs/>
              </w:rPr>
              <w:t>（2）其他建筑材料供应</w:t>
            </w:r>
          </w:p>
          <w:p w14:paraId="35F74AC8">
            <w:pPr>
              <w:ind w:firstLine="480"/>
            </w:pPr>
            <w:r>
              <w:rPr>
                <w:rFonts w:hint="eastAsia"/>
              </w:rPr>
              <w:t>本项目所需水泥、钢材、木材、混凝土、火工材料、油料、房建材料、生活物质等均可从当地购买，由公路运至工地。</w:t>
            </w:r>
          </w:p>
          <w:p w14:paraId="6AFCB817">
            <w:pPr>
              <w:ind w:firstLine="480"/>
            </w:pPr>
            <w:r>
              <w:rPr>
                <w:rFonts w:hint="eastAsia"/>
              </w:rPr>
              <w:t>2、交通条件</w:t>
            </w:r>
          </w:p>
          <w:p w14:paraId="7C2F3799">
            <w:pPr>
              <w:ind w:firstLine="482"/>
              <w:rPr>
                <w:b/>
                <w:bCs/>
              </w:rPr>
            </w:pPr>
            <w:r>
              <w:rPr>
                <w:rFonts w:hint="eastAsia"/>
                <w:b/>
                <w:bCs/>
              </w:rPr>
              <w:t>（1）场外交通</w:t>
            </w:r>
          </w:p>
          <w:p w14:paraId="3A74E27E">
            <w:pPr>
              <w:ind w:firstLine="480"/>
            </w:pPr>
            <w:r>
              <w:rPr>
                <w:rFonts w:hint="eastAsia"/>
              </w:rPr>
              <w:t>本项目位于巴州区城区，沿线城市道路发达，项目紧邻巴玉路，周边有晏阳初大道、秦巴大道等城市道路，交通便利，能满足项目交通运输条件。</w:t>
            </w:r>
          </w:p>
          <w:p w14:paraId="3121C3A2">
            <w:pPr>
              <w:ind w:firstLine="482"/>
              <w:rPr>
                <w:rFonts w:hint="eastAsia" w:eastAsia="宋体"/>
                <w:b/>
                <w:bCs/>
                <w:lang w:eastAsia="zh-CN"/>
              </w:rPr>
            </w:pPr>
            <w:r>
              <w:rPr>
                <w:rFonts w:hint="eastAsia"/>
                <w:b/>
                <w:bCs/>
              </w:rPr>
              <w:t>（2）</w:t>
            </w:r>
            <w:r>
              <w:rPr>
                <w:rFonts w:hint="eastAsia"/>
                <w:b/>
                <w:bCs/>
                <w:lang w:eastAsia="zh-CN"/>
              </w:rPr>
              <w:t>场内交通</w:t>
            </w:r>
          </w:p>
          <w:p w14:paraId="775AD8BE">
            <w:pPr>
              <w:ind w:firstLine="480"/>
            </w:pPr>
            <w:r>
              <w:rPr>
                <w:rFonts w:hint="eastAsia"/>
              </w:rPr>
              <w:t>本项目主要利用现有城市道路作为施工期公路，接施工场地，项目位于</w:t>
            </w:r>
            <w:r>
              <w:rPr>
                <w:rFonts w:hint="eastAsia"/>
                <w:lang w:eastAsia="zh-CN"/>
              </w:rPr>
              <w:t>生态景观控流闸</w:t>
            </w:r>
            <w:r>
              <w:rPr>
                <w:rFonts w:hint="eastAsia"/>
              </w:rPr>
              <w:t>旁设置了两条施工便道，一处位于河道右侧（1#便道），长50m，一处位于河道左侧（2#便道），长21m。</w:t>
            </w:r>
          </w:p>
          <w:p w14:paraId="7339E862">
            <w:pPr>
              <w:ind w:firstLine="482"/>
            </w:pPr>
            <w:r>
              <w:rPr>
                <w:rFonts w:hint="eastAsia"/>
                <w:b/>
                <w:bCs/>
              </w:rPr>
              <w:t>3、运输组织</w:t>
            </w:r>
          </w:p>
          <w:p w14:paraId="0F94DF15">
            <w:pPr>
              <w:ind w:firstLine="480"/>
            </w:pPr>
            <w:r>
              <w:t>施工期材料运输必须服从统一调度，运输路线应尽量避开人口聚集区，避免对现有交通产生较大影响，按照有关部门的要求和指定路线、时间、方式运输。运输过程严禁超限超载，材料车需用篷布覆盖运输，减少物料洒落，产生扬尘等，不得出现超载、撒漏、不到指定地点清运等现象，途经人口聚集点时降低车速。</w:t>
            </w:r>
          </w:p>
          <w:p w14:paraId="5D3ED642">
            <w:pPr>
              <w:ind w:firstLine="480"/>
            </w:pPr>
            <w:r>
              <w:t>同时，本次评价要求运输车辆还应严格落实以下要求：</w:t>
            </w:r>
          </w:p>
          <w:p w14:paraId="4EAE9391">
            <w:pPr>
              <w:ind w:firstLine="480"/>
            </w:pPr>
            <w:r>
              <w:t>（1）运输车辆在驶离施工现场时，必须清扫车体，清洗轮胎，严禁轮胎带泥上路。</w:t>
            </w:r>
          </w:p>
          <w:p w14:paraId="1A60099B">
            <w:pPr>
              <w:ind w:firstLine="480"/>
            </w:pPr>
            <w:r>
              <w:t>（2）运输车辆装填高度不得超出车厢外缘，必须使用防尘布覆盖或密闭运输。</w:t>
            </w:r>
          </w:p>
          <w:p w14:paraId="715D304F">
            <w:pPr>
              <w:ind w:firstLine="480"/>
            </w:pPr>
            <w:r>
              <w:t>（3）必须保持运输车辆车况良好，车容车貌整洁，车厢完好无损，严禁车厢底板和四周以及缝隙泄漏泥、砂等污物：必须配备后车厢挡板，凡无后车厢挡板的车辆，不准从事运输作业。</w:t>
            </w:r>
          </w:p>
          <w:p w14:paraId="1F133EF6">
            <w:pPr>
              <w:ind w:firstLine="480"/>
            </w:pPr>
            <w:r>
              <w:t>（4）运输车辆不得超载、超宽、超高运输，禁止风速大于4m/s时进行渣土运输作业。</w:t>
            </w:r>
          </w:p>
          <w:p w14:paraId="40632B60">
            <w:pPr>
              <w:ind w:firstLine="482"/>
            </w:pPr>
            <w:r>
              <w:rPr>
                <w:rFonts w:hint="eastAsia"/>
                <w:b/>
                <w:bCs/>
              </w:rPr>
              <w:t>4、工程管理要求</w:t>
            </w:r>
          </w:p>
          <w:p w14:paraId="3783CAB5">
            <w:pPr>
              <w:ind w:firstLine="480"/>
            </w:pPr>
            <w:r>
              <w:t>为确保本项目工程质量和建设工期要求，必须组建精干有效的管理机构，严格控制施工进度和质量。施工单位采用公开招标方式确定，借此可选择资质条件优良的施工队伍，保证工程质量，降低工程造价。施工期应成立建设指挥部及专职的监理部，以便对全段施工计划、财务、外购材料、施工机械设备、施工技术及质量要求、竣工验收及工程决算、环境保护、水土保持等工作进行统一管理，各地方部门参与领导管理，以发挥其优势与积极性。成立专职的监理机构对工程质量进行监督、计量与支会，确保工程质量和工期。</w:t>
            </w:r>
          </w:p>
          <w:p w14:paraId="56044A82">
            <w:pPr>
              <w:ind w:firstLine="480"/>
            </w:pPr>
            <w:r>
              <w:t>工程实施中必须认真贯彻国家有关方针和质量法规，实行项目法人责任制、工程招投标制、监理制和合同管理制，强化质量管理，形成一套行之有效的质量管理体系。全段施工组织应结合区域气候水文特征，充分考虑项目区水系汛期与雨季基本一致的特点，组织施工力量进行施工，施工单位应制定周密的施工进度计划，组织优秀精良的施工队伍，配备先进的施工机械设备，采购充足且质量合格的筑路材料，同时加强各分项工程施工的衔接配合，切实采取有效措施保证施工的顺利推进。</w:t>
            </w:r>
          </w:p>
          <w:p w14:paraId="7DAB4560">
            <w:pPr>
              <w:ind w:firstLine="482"/>
            </w:pPr>
            <w:r>
              <w:rPr>
                <w:rFonts w:hint="eastAsia"/>
                <w:b/>
                <w:bCs/>
              </w:rPr>
              <w:t>5、施工期环保手册</w:t>
            </w:r>
          </w:p>
          <w:p w14:paraId="2E916026">
            <w:pPr>
              <w:ind w:firstLine="480"/>
            </w:pPr>
            <w:r>
              <w:rPr>
                <w:rFonts w:hint="eastAsia"/>
              </w:rPr>
              <w:t>（1）</w:t>
            </w:r>
            <w:r>
              <w:t>组织机构</w:t>
            </w:r>
          </w:p>
          <w:p w14:paraId="1A22576A">
            <w:pPr>
              <w:ind w:firstLine="480"/>
            </w:pPr>
            <w:r>
              <w:t>为切实做到施工过程中对周围环境、水利的保护工作，搞好本工程的环境保护、水土保持等各项工作，将环保、水保工作落实到受控状态，得到可靠的保证。根据《中华人民共和国环境保护法》、国务院《</w:t>
            </w:r>
            <w:r>
              <w:rPr>
                <w:rFonts w:hint="eastAsia"/>
                <w:lang w:eastAsia="zh-CN"/>
              </w:rPr>
              <w:t>建设项目</w:t>
            </w:r>
            <w:bookmarkStart w:id="10" w:name="_GoBack"/>
            <w:bookmarkEnd w:id="10"/>
            <w:r>
              <w:t>环境保护管理条例》、交通部《公路路基路面环保技术规范》和其他有关环保法律、法规，为防止和减少环保事故，保证全体建设者的生命和财产环保，特成立项目环境保护领导小组，并明确机构各级成员的环境保护责任。</w:t>
            </w:r>
          </w:p>
          <w:p w14:paraId="32804D88">
            <w:pPr>
              <w:ind w:firstLine="480"/>
            </w:pPr>
            <w:r>
              <w:t>组长：1名</w:t>
            </w:r>
          </w:p>
          <w:p w14:paraId="7F2B33F1">
            <w:pPr>
              <w:ind w:firstLine="480"/>
            </w:pPr>
            <w:r>
              <w:t>副组长：1名</w:t>
            </w:r>
          </w:p>
          <w:p w14:paraId="3774A714">
            <w:pPr>
              <w:ind w:firstLine="480"/>
            </w:pPr>
            <w:r>
              <w:t>成员：4~5名</w:t>
            </w:r>
          </w:p>
          <w:p w14:paraId="113A6DEE">
            <w:pPr>
              <w:ind w:firstLine="480"/>
            </w:pPr>
            <w:r>
              <w:t>领导小组下设办公室与工程科，负责环境保护日常管理工作，做到认真落实建设项目</w:t>
            </w:r>
            <w:r>
              <w:rPr>
                <w:rFonts w:hint="eastAsia"/>
              </w:rPr>
              <w:t>“</w:t>
            </w:r>
            <w:r>
              <w:t>三同时</w:t>
            </w:r>
            <w:r>
              <w:rPr>
                <w:rFonts w:hint="eastAsia"/>
              </w:rPr>
              <w:t>”</w:t>
            </w:r>
            <w:r>
              <w:t>制度，以确保项目实施顺利进行。</w:t>
            </w:r>
          </w:p>
          <w:p w14:paraId="0997F7C4">
            <w:pPr>
              <w:ind w:left="480" w:leftChars="200" w:firstLine="0" w:firstLineChars="0"/>
            </w:pPr>
            <w:r>
              <w:rPr>
                <w:rFonts w:hint="eastAsia"/>
              </w:rPr>
              <w:t>（2）</w:t>
            </w:r>
            <w:r>
              <w:t>环保程序</w:t>
            </w:r>
          </w:p>
          <w:p w14:paraId="2608C570">
            <w:pPr>
              <w:ind w:firstLine="0" w:firstLineChars="0"/>
              <w:jc w:val="center"/>
            </w:pPr>
            <w:r>
              <w:drawing>
                <wp:inline distT="0" distB="0" distL="114300" distR="114300">
                  <wp:extent cx="4876800" cy="3809365"/>
                  <wp:effectExtent l="0" t="0" r="0" b="63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9"/>
                          <a:stretch>
                            <a:fillRect/>
                          </a:stretch>
                        </pic:blipFill>
                        <pic:spPr>
                          <a:xfrm>
                            <a:off x="0" y="0"/>
                            <a:ext cx="4876800" cy="3809365"/>
                          </a:xfrm>
                          <a:prstGeom prst="rect">
                            <a:avLst/>
                          </a:prstGeom>
                          <a:noFill/>
                          <a:ln>
                            <a:noFill/>
                          </a:ln>
                        </pic:spPr>
                      </pic:pic>
                    </a:graphicData>
                  </a:graphic>
                </wp:inline>
              </w:drawing>
            </w:r>
          </w:p>
          <w:p w14:paraId="398B2C1C">
            <w:pPr>
              <w:ind w:firstLine="422"/>
              <w:jc w:val="center"/>
              <w:rPr>
                <w:b/>
                <w:bCs/>
                <w:sz w:val="21"/>
                <w:szCs w:val="21"/>
              </w:rPr>
            </w:pPr>
            <w:r>
              <w:rPr>
                <w:rFonts w:hint="eastAsia"/>
                <w:b/>
                <w:bCs/>
                <w:sz w:val="21"/>
                <w:szCs w:val="21"/>
              </w:rPr>
              <w:t>图2-2  环境管理程序</w:t>
            </w:r>
          </w:p>
          <w:p w14:paraId="2B280085">
            <w:pPr>
              <w:ind w:firstLine="480"/>
            </w:pPr>
            <w:r>
              <w:rPr>
                <w:rFonts w:hint="eastAsia"/>
              </w:rPr>
              <w:t>（3）施工期管理措施</w:t>
            </w:r>
          </w:p>
          <w:p w14:paraId="38A8B9B2">
            <w:pPr>
              <w:ind w:firstLine="480"/>
            </w:pPr>
            <w:r>
              <w:t>1）人员环保培训及意识教育</w:t>
            </w:r>
          </w:p>
          <w:p w14:paraId="3BE8B12A">
            <w:pPr>
              <w:ind w:firstLine="480"/>
            </w:pPr>
            <w:r>
              <w:t>项目部坚持贯彻国家《环境保护法》、《土地法》及交通部、项目办及地方省市有关环境保护的法规，制定环境保护管理办法和实施细则，并建立奖惩制度，将环保的具体措施落实到人头。环境保护工作领导小组在项目经理、副经理和总工程师指导下，制定环保培训计划，对职工进行环境保护教育，学习环境保护的相关知识，使职工明白环境保护的重大意义，了解环境保护的相关知识。</w:t>
            </w:r>
          </w:p>
          <w:p w14:paraId="68E16761">
            <w:pPr>
              <w:ind w:firstLine="480"/>
            </w:pPr>
            <w:r>
              <w:t>2）环保培训计划</w:t>
            </w:r>
          </w:p>
          <w:p w14:paraId="554189E5">
            <w:pPr>
              <w:ind w:firstLine="480"/>
            </w:pPr>
            <w:r>
              <w:t>施工期环保培训计划包括（但不限于）以下内容：①《环境保护法》及国家和交通部有关环境保护的法规的学习。②本项目可能对环境有影响的因素分析及对策。③本项目的环境管理方案，环境保护职责及相应的奖惩制度的发布。④具体环保措施的落实。⑤环保监察计划的实施及环保控制记录的管理。⑥环保检查评审方案的发布。</w:t>
            </w:r>
          </w:p>
        </w:tc>
      </w:tr>
    </w:tbl>
    <w:p w14:paraId="07067F3E">
      <w:pPr>
        <w:ind w:firstLine="480"/>
        <w:sectPr>
          <w:pgSz w:w="11906" w:h="16838"/>
          <w:pgMar w:top="1800" w:right="1440" w:bottom="1800" w:left="1440" w:header="851" w:footer="992" w:gutter="0"/>
          <w:cols w:space="0" w:num="1"/>
          <w:docGrid w:type="lines" w:linePitch="312" w:charSpace="0"/>
        </w:sectPr>
      </w:pPr>
    </w:p>
    <w:p w14:paraId="1F4C2B1E">
      <w:pPr>
        <w:pStyle w:val="16"/>
        <w:spacing w:before="0" w:beforeAutospacing="0" w:after="0" w:afterAutospacing="0"/>
        <w:ind w:firstLine="600"/>
        <w:jc w:val="center"/>
        <w:outlineLvl w:val="0"/>
        <w:rPr>
          <w:rFonts w:ascii="黑体" w:hAnsi="黑体" w:eastAsia="黑体"/>
          <w:snapToGrid w:val="0"/>
          <w:sz w:val="30"/>
          <w:szCs w:val="30"/>
        </w:rPr>
      </w:pPr>
      <w:bookmarkStart w:id="5" w:name="_Toc13492"/>
      <w:r>
        <w:rPr>
          <w:rFonts w:hint="eastAsia" w:ascii="黑体" w:hAnsi="黑体" w:eastAsia="黑体"/>
          <w:snapToGrid w:val="0"/>
          <w:sz w:val="30"/>
          <w:szCs w:val="30"/>
        </w:rPr>
        <w:t>三、生态环境现状、保护目标及评价标准</w:t>
      </w:r>
      <w:bookmarkEnd w:id="5"/>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8788"/>
      </w:tblGrid>
      <w:tr w14:paraId="4BB8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dxa"/>
            <w:vAlign w:val="center"/>
          </w:tcPr>
          <w:p w14:paraId="481EDD36">
            <w:pPr>
              <w:ind w:firstLine="0" w:firstLineChars="0"/>
              <w:jc w:val="center"/>
            </w:pPr>
            <w:r>
              <w:rPr>
                <w:rFonts w:hint="eastAsia"/>
              </w:rPr>
              <w:t>生态环境现状</w:t>
            </w:r>
          </w:p>
        </w:tc>
        <w:tc>
          <w:tcPr>
            <w:tcW w:w="8788" w:type="dxa"/>
          </w:tcPr>
          <w:p w14:paraId="63194D1D">
            <w:pPr>
              <w:numPr>
                <w:ilvl w:val="0"/>
                <w:numId w:val="10"/>
              </w:numPr>
              <w:ind w:firstLine="0" w:firstLineChars="0"/>
              <w:rPr>
                <w:b/>
                <w:bCs/>
              </w:rPr>
            </w:pPr>
            <w:r>
              <w:rPr>
                <w:rFonts w:hint="eastAsia"/>
                <w:b/>
                <w:bCs/>
              </w:rPr>
              <w:t>生态环境</w:t>
            </w:r>
          </w:p>
          <w:p w14:paraId="5CB02BF9">
            <w:pPr>
              <w:ind w:firstLine="482"/>
            </w:pPr>
            <w:r>
              <w:rPr>
                <w:rFonts w:hint="eastAsia"/>
                <w:b/>
                <w:bCs/>
              </w:rPr>
              <w:t>1、主体功能区划</w:t>
            </w:r>
          </w:p>
          <w:p w14:paraId="6D93D283">
            <w:pPr>
              <w:ind w:firstLine="482"/>
              <w:rPr>
                <w:b/>
                <w:bCs/>
              </w:rPr>
            </w:pPr>
            <w:r>
              <w:rPr>
                <w:rFonts w:hint="eastAsia"/>
                <w:b/>
                <w:bCs/>
              </w:rPr>
              <w:t>（1）全国主体功能区规划</w:t>
            </w:r>
          </w:p>
          <w:p w14:paraId="5AFFCA5F">
            <w:pPr>
              <w:ind w:firstLine="480"/>
            </w:pPr>
            <w:r>
              <w:t>根据《全国主体功能区规划》，本项目位于巴中市，不位于四川天马山国家森林公园，不属于其中的国家重点生态功能区、国家禁止开发区域等区域。</w:t>
            </w:r>
          </w:p>
          <w:p w14:paraId="2203962D">
            <w:pPr>
              <w:ind w:firstLine="480"/>
            </w:pPr>
            <w:r>
              <w:t>因此，本项目符合《全国主体功能区规划》相关要求。</w:t>
            </w:r>
          </w:p>
          <w:p w14:paraId="7EA4F2E4">
            <w:pPr>
              <w:ind w:firstLine="482"/>
              <w:rPr>
                <w:b/>
                <w:bCs/>
              </w:rPr>
            </w:pPr>
            <w:r>
              <w:rPr>
                <w:rFonts w:hint="eastAsia"/>
                <w:b/>
                <w:bCs/>
              </w:rPr>
              <w:t>（2）四川省主体功能区划</w:t>
            </w:r>
          </w:p>
          <w:p w14:paraId="19071E06">
            <w:pPr>
              <w:ind w:firstLine="480"/>
            </w:pPr>
            <w:r>
              <w:t>根据《四川省主体功能区规划》，本项目位于省级层面的重点开发区域，该区域的主体功能定位是：我国西部重要的能源化工基地，农产品深加工基地，红色旅游基地，川渝陕结合部的区域经济中心和交通物流中心，构建连接我国西北、西南地区的新兴经济带。</w:t>
            </w:r>
          </w:p>
          <w:p w14:paraId="41179622">
            <w:pPr>
              <w:ind w:firstLine="480"/>
            </w:pPr>
            <w:r>
              <w:t>——形成以南充、达州、遂宁、广安、广元、巴中等中心城市为依托的城镇群空间开发格局。</w:t>
            </w:r>
          </w:p>
          <w:p w14:paraId="40E77AE8">
            <w:pPr>
              <w:ind w:firstLine="480"/>
            </w:pPr>
            <w:r>
              <w:t>——加快推进区域性中心城市发展，优化城市空间布局，拓展城市发展空间，增强城市综合服务功能，提高人口集聚能力，强化辐射和带动作用。</w:t>
            </w:r>
          </w:p>
          <w:p w14:paraId="0B62E6FC">
            <w:pPr>
              <w:ind w:firstLine="480"/>
            </w:pPr>
            <w:r>
              <w:t>——加快嘉陵江产业带和渠江产业带发展。利用嘉陵江流域和渠江流域丰富的自然资源，加快川东北地区特色优势资源深度开发和加工转化，积极承接产业转移，重点发展清洁能源和石油、天然气化工、农产品加工业，大力发展特色农业和红色旅游。</w:t>
            </w:r>
          </w:p>
          <w:p w14:paraId="6C43F6B5">
            <w:pPr>
              <w:ind w:firstLine="480"/>
            </w:pPr>
            <w:r>
              <w:t>——加强区域合作，大力发展配套产业。加强广安、达州与重庆的协作，建设川渝合作示范区，主动承接重庆的产业转移，加快发展汽车和摩托车配套零部件、轻纺等工业。加强南充、遂宁与成都的产业化协作，承接成都平原地区的产业转移，形成机械加工、轻纺等优势产业。</w:t>
            </w:r>
          </w:p>
          <w:p w14:paraId="065C818E">
            <w:pPr>
              <w:ind w:firstLine="480"/>
            </w:pPr>
            <w:r>
              <w:t>——坚持兴利除害结合，全力推进渠江、嘉陵江流域防洪控制性工程和供水 保障工程建设，增强对江河洪水的调控能力，提高防洪抗旱能力。大力加强生态 环境保护和流域综合整治，构建以嘉陵江、渠江为主体，森林、丘陵、水面、湿</w:t>
            </w:r>
            <w:r>
              <w:rPr>
                <w:spacing w:val="-1"/>
              </w:rPr>
              <w:t>地相连，带状环绕、块状相间的流域生态屏障。</w:t>
            </w:r>
          </w:p>
          <w:p w14:paraId="25E2EB8C">
            <w:pPr>
              <w:ind w:firstLine="0" w:firstLineChars="0"/>
            </w:pPr>
            <w:r>
              <mc:AlternateContent>
                <mc:Choice Requires="wps">
                  <w:drawing>
                    <wp:anchor distT="0" distB="0" distL="114300" distR="114300" simplePos="0" relativeHeight="251661312" behindDoc="0" locked="0" layoutInCell="1" allowOverlap="1">
                      <wp:simplePos x="0" y="0"/>
                      <wp:positionH relativeFrom="column">
                        <wp:posOffset>4415790</wp:posOffset>
                      </wp:positionH>
                      <wp:positionV relativeFrom="paragraph">
                        <wp:posOffset>970280</wp:posOffset>
                      </wp:positionV>
                      <wp:extent cx="694690" cy="263525"/>
                      <wp:effectExtent l="73025" t="6350" r="9525" b="370205"/>
                      <wp:wrapNone/>
                      <wp:docPr id="7" name="矩形标注 7"/>
                      <wp:cNvGraphicFramePr/>
                      <a:graphic xmlns:a="http://schemas.openxmlformats.org/drawingml/2006/main">
                        <a:graphicData uri="http://schemas.microsoft.com/office/word/2010/wordprocessingShape">
                          <wps:wsp>
                            <wps:cNvSpPr/>
                            <wps:spPr>
                              <a:xfrm>
                                <a:off x="0" y="0"/>
                                <a:ext cx="694690" cy="263525"/>
                              </a:xfrm>
                              <a:prstGeom prst="wedgeRectCallout">
                                <a:avLst>
                                  <a:gd name="adj1" fmla="val -57221"/>
                                  <a:gd name="adj2" fmla="val 174337"/>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D70331B">
                                  <w:pPr>
                                    <w:spacing w:line="240" w:lineRule="auto"/>
                                    <w:ind w:firstLine="0" w:firstLineChars="0"/>
                                    <w:rPr>
                                      <w:color w:val="FF0000"/>
                                      <w:sz w:val="21"/>
                                      <w:szCs w:val="21"/>
                                    </w:rPr>
                                  </w:pPr>
                                  <w:r>
                                    <w:rPr>
                                      <w:rFonts w:hint="eastAsia"/>
                                      <w:color w:val="FF0000"/>
                                      <w:sz w:val="21"/>
                                      <w:szCs w:val="21"/>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47.7pt;margin-top:76.4pt;height:20.75pt;width:54.7pt;z-index:251661312;v-text-anchor:middle;mso-width-relative:page;mso-height-relative:page;" filled="f" stroked="t" coordsize="21600,21600" o:gfxdata="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Q05E1NgAAAALAQAADwAAAAAAAAABACAAAAAiAAAAZHJzL2Rvd25y&#10;ZXYueG1sUEsBAhQAFAAAAAgAh07iQKZDEIGpAgAAOgUAAA4AAAAAAAAAAQAgAAAAJwEAAGRycy9l&#10;Mm9Eb2MueG1sUEsFBgAAAAAGAAYAWQEAAEIGAAAAAA==&#10;" adj="-1560,48457">
                      <v:fill on="f" focussize="0,0"/>
                      <v:stroke weight="1pt" color="#FF0000 [2404]" miterlimit="8" joinstyle="miter"/>
                      <v:imagedata o:title=""/>
                      <o:lock v:ext="edit" aspectratio="f"/>
                      <v:textbox>
                        <w:txbxContent>
                          <w:p w14:paraId="3D70331B">
                            <w:pPr>
                              <w:spacing w:line="240" w:lineRule="auto"/>
                              <w:ind w:firstLine="0" w:firstLineChars="0"/>
                              <w:rPr>
                                <w:color w:val="FF0000"/>
                                <w:sz w:val="21"/>
                                <w:szCs w:val="21"/>
                              </w:rPr>
                            </w:pPr>
                            <w:r>
                              <w:rPr>
                                <w:rFonts w:hint="eastAsia"/>
                                <w:color w:val="FF0000"/>
                                <w:sz w:val="21"/>
                                <w:szCs w:val="21"/>
                              </w:rPr>
                              <w:t>本项目</w:t>
                            </w:r>
                          </w:p>
                        </w:txbxContent>
                      </v:textbox>
                    </v:shape>
                  </w:pict>
                </mc:Fallback>
              </mc:AlternateContent>
            </w:r>
            <w:r>
              <w:drawing>
                <wp:inline distT="0" distB="0" distL="114300" distR="114300">
                  <wp:extent cx="5448300" cy="4204335"/>
                  <wp:effectExtent l="12700" t="12700" r="25400" b="1968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0"/>
                          <a:stretch>
                            <a:fillRect/>
                          </a:stretch>
                        </pic:blipFill>
                        <pic:spPr>
                          <a:xfrm>
                            <a:off x="0" y="0"/>
                            <a:ext cx="5448300" cy="4204335"/>
                          </a:xfrm>
                          <a:prstGeom prst="rect">
                            <a:avLst/>
                          </a:prstGeom>
                          <a:noFill/>
                          <a:ln w="12700" cmpd="sng">
                            <a:solidFill>
                              <a:schemeClr val="tx1"/>
                            </a:solidFill>
                            <a:prstDash val="solid"/>
                          </a:ln>
                        </pic:spPr>
                      </pic:pic>
                    </a:graphicData>
                  </a:graphic>
                </wp:inline>
              </w:drawing>
            </w:r>
          </w:p>
          <w:p w14:paraId="0D730DDD">
            <w:pPr>
              <w:ind w:firstLine="422"/>
              <w:jc w:val="center"/>
            </w:pPr>
            <w:r>
              <w:rPr>
                <w:rFonts w:hint="eastAsia"/>
                <w:b/>
                <w:bCs/>
                <w:sz w:val="21"/>
                <w:szCs w:val="21"/>
              </w:rPr>
              <w:t>图3-1  《四川省主体功能区划图》</w:t>
            </w:r>
          </w:p>
          <w:p w14:paraId="11E78D03">
            <w:pPr>
              <w:ind w:firstLine="480"/>
            </w:pPr>
            <w:r>
              <w:rPr>
                <w:rFonts w:hint="eastAsia"/>
              </w:rPr>
              <w:t>由上可知，</w:t>
            </w:r>
            <w:r>
              <w:t>本项目不位于《四川省主体功能区规划》中的限制开发区域、禁止开发区域等区域</w:t>
            </w:r>
            <w:r>
              <w:rPr>
                <w:rFonts w:hint="eastAsia"/>
              </w:rPr>
              <w:t>，本项目控流导流设施建设可实现河道水资源统一调度管控，解决檬子河季节性断流问题，稳定维持河道生态用水，保障河流基本生态流量；工程可提升流域蓄水保供能力，防洪保护范围内规划标准洪水可有效防御，项目不涉及小水电建设，可促进建立覆盖水生态、防洪抗旱、蓄水保供、人居水环境保障的协调管理机制。配套生态护岸、生态隔离带等工程，修复河道水生境，基本实现水资源节约与高效利用，流域水环境质量有效提升。因此，项目与《四川省主体功能区规划》的相关要求基本相符。</w:t>
            </w:r>
          </w:p>
          <w:p w14:paraId="7B1968A1">
            <w:pPr>
              <w:ind w:firstLine="482"/>
              <w:rPr>
                <w:b/>
                <w:bCs/>
              </w:rPr>
            </w:pPr>
            <w:r>
              <w:rPr>
                <w:rFonts w:hint="eastAsia"/>
                <w:b/>
                <w:bCs/>
              </w:rPr>
              <w:t>2、生态功能区划</w:t>
            </w:r>
          </w:p>
          <w:p w14:paraId="18CFDFB4">
            <w:pPr>
              <w:ind w:firstLine="482"/>
            </w:pPr>
            <w:r>
              <w:rPr>
                <w:rFonts w:hint="eastAsia"/>
                <w:b/>
                <w:bCs/>
              </w:rPr>
              <w:t>（1）全国生态功能区划</w:t>
            </w:r>
          </w:p>
          <w:p w14:paraId="79C5AF90">
            <w:pPr>
              <w:widowControl/>
              <w:ind w:firstLine="480"/>
              <w:jc w:val="left"/>
            </w:pPr>
            <w:r>
              <w:rPr>
                <w:rFonts w:hint="eastAsia" w:ascii="宋体" w:hAnsi="宋体" w:cs="宋体"/>
                <w:color w:val="000000"/>
                <w:kern w:val="0"/>
                <w:lang w:bidi="ar"/>
              </w:rPr>
              <w:t>根据《全国生态功能区划（</w:t>
            </w:r>
            <w:r>
              <w:rPr>
                <w:color w:val="000000"/>
                <w:kern w:val="0"/>
                <w:lang w:bidi="ar"/>
              </w:rPr>
              <w:t xml:space="preserve">2015 </w:t>
            </w:r>
            <w:r>
              <w:rPr>
                <w:rFonts w:hint="eastAsia" w:ascii="宋体" w:hAnsi="宋体" w:cs="宋体"/>
                <w:color w:val="000000"/>
                <w:kern w:val="0"/>
                <w:lang w:bidi="ar"/>
              </w:rPr>
              <w:t>年修编版）》，本工程所在区域属于秦岭－大巴山生物多样性保护与水源涵养重要区，该区包括秦岭山地和大巴山地，包含3个功能区：米仓山－大巴山水源涵养功能区、秦岭山地生物多样性保护与水源涵养功能区和豫西南山地水源涵养功能区。行政区主要涉及陕西省的汉中、安康、西安、宝鸡、商洛、渭南，甘肃省的陇南、天水、甘南，四川省的广元、巴中、达州，重庆市的城口、巫溪，湖北省的十堰、襄阳和神农架林区，面积为</w:t>
            </w:r>
            <w:r>
              <w:rPr>
                <w:color w:val="000000"/>
                <w:kern w:val="0"/>
                <w:lang w:bidi="ar"/>
              </w:rPr>
              <w:t>179816</w:t>
            </w:r>
            <w:r>
              <w:rPr>
                <w:rFonts w:hint="eastAsia" w:ascii="宋体" w:hAnsi="宋体" w:cs="宋体"/>
                <w:color w:val="000000"/>
                <w:kern w:val="0"/>
                <w:lang w:bidi="ar"/>
              </w:rPr>
              <w:t>平方公里。该区地处我国亚热带与暖温带的过渡带，发育了以北亚热带为基带（南部）和暖温带为基带（北部）的垂直自然带谱，是我国乃至东南亚地区暖温带与北亚热带地区生物多样性最丰富的地区之一，是我国生物多样性重点保护区域。该区位于渭河南岸诸多支流的发源地和嘉陵江、汉江上游丹江水系的主要水源涵养区，是南水北调中线的水源地。</w:t>
            </w:r>
          </w:p>
          <w:p w14:paraId="2FED29D7">
            <w:pPr>
              <w:widowControl/>
              <w:ind w:firstLine="480"/>
              <w:jc w:val="left"/>
            </w:pPr>
            <w:r>
              <w:rPr>
                <w:rFonts w:hint="eastAsia" w:ascii="宋体" w:hAnsi="宋体" w:cs="宋体"/>
                <w:color w:val="000000"/>
                <w:kern w:val="0"/>
                <w:lang w:bidi="ar"/>
              </w:rPr>
              <w:t>区域主要生态问题：该区森林质量与水源涵养功能较低，水电、矿产等资源开发的生态破坏较严重，地质灾害威胁严重，野生动植物栖息地质量下降、破碎化加剧，生物多样性受到威胁。</w:t>
            </w:r>
          </w:p>
          <w:p w14:paraId="386AE0C4">
            <w:pPr>
              <w:widowControl/>
              <w:ind w:firstLine="480"/>
              <w:jc w:val="left"/>
            </w:pPr>
            <w:r>
              <w:rPr>
                <w:rFonts w:hint="eastAsia" w:ascii="宋体" w:hAnsi="宋体" w:cs="宋体"/>
                <w:color w:val="000000"/>
                <w:kern w:val="0"/>
                <w:lang w:bidi="ar"/>
              </w:rPr>
              <w:t>生态保护主要措施：加强已有自然保护区保护和天然林管护力度；对已破坏的生态系统，要结合有关生态建设工程，做好生态恢复与重建工作，增强生态系统水源涵养和土壤保持功能；停止导致生态功能继续退化的开发活动和其他人为破坏活动；严格矿产资源、水电资源开发的监管；控制人口增长，改变粗放生产经营方式发展生态旅游和特色产业。</w:t>
            </w:r>
          </w:p>
          <w:p w14:paraId="773D99DD">
            <w:pPr>
              <w:ind w:firstLine="480"/>
            </w:pPr>
            <w:r>
              <w:rPr>
                <w:rFonts w:hint="eastAsia"/>
              </w:rPr>
              <w:t>本项目为檬子河流域水环境综合治理公益性工程，不涉及矿产、发电、航运、规模化工矿开发等大规模高强度开发活动，不属于该生态功能区限制、禁止类建设项目。项目通过新建拦河控流闸坝稳定河道常态生态水位，消除河道季节性断流，常态化下泄生态流量保障河流生态基流。</w:t>
            </w:r>
          </w:p>
          <w:p w14:paraId="1144AB40">
            <w:pPr>
              <w:ind w:firstLine="480"/>
            </w:pPr>
            <w:r>
              <w:rPr>
                <w:rFonts w:hint="eastAsia"/>
              </w:rPr>
              <w:t>工程选址不占用高生产力林地、生态保护红线、永久基本农田；施工阶段严格控制扰动范围，留存表层熟土，临时用地完工后及时复垦复绿，施工全过程严禁采伐林木、捕猎野生动物等破坏生态行为。综上，在严格落实各项生态环境保护措施的前提下，本项目建设符合《全国生态功能区划》相关管控要求。</w:t>
            </w:r>
          </w:p>
          <w:p w14:paraId="126A6263">
            <w:pPr>
              <w:ind w:firstLine="482"/>
              <w:rPr>
                <w:b/>
                <w:bCs/>
              </w:rPr>
            </w:pPr>
            <w:r>
              <w:rPr>
                <w:rFonts w:hint="eastAsia"/>
                <w:b/>
                <w:bCs/>
              </w:rPr>
              <w:t>（2）四川省生态功能区划</w:t>
            </w:r>
          </w:p>
          <w:p w14:paraId="164D22EB">
            <w:pPr>
              <w:ind w:firstLine="480"/>
            </w:pPr>
            <w:r>
              <w:t>根据《四川省生态功能区划》和《四川省生态功能区划三级区特征一览表》，四川省生态功能区分为三级，即生态区、生态亚区、生态功能区。</w:t>
            </w:r>
            <w:r>
              <w:rPr>
                <w:rFonts w:hint="eastAsia"/>
              </w:rPr>
              <w:t>本项目位于巴中市巴州区檬子河流域，所在区域属于“I四川盆地亚热带湿润气候生态区——I-2盆中丘陵农林复合生态亚区——I-2-1盆北深丘农林与土壤保持生态功能区”。该生态功能区主要生态特征为：在四川盆地北部，跨广元、巴中、达州市的 11 个县级行政区，面积0.98万km</w:t>
            </w:r>
            <w:r>
              <w:rPr>
                <w:rFonts w:hint="eastAsia"/>
                <w:vertAlign w:val="superscript"/>
              </w:rPr>
              <w:t>2</w:t>
            </w:r>
            <w:r>
              <w:rPr>
                <w:rFonts w:hint="eastAsia"/>
              </w:rPr>
              <w:t>。区域为农田、城市、森林生态系统。主要生态问题为水土流失较严重、易发生滑坡，生物多样性及森林资源保护有待加强。土壤侵蚀高度感，野生动物生境中度敏感。生态服务功能重要性为农林及林业发展，土壤保持。生态保护与发展方向为：发掘历史文化财富，开发人文景观资源，发展旅游观光业及相关产业链。维护森林生态系统和农田生态系统的良性循环，改善水土流失现状；发展中药材产业，做好野生资源保护工作。</w:t>
            </w:r>
          </w:p>
          <w:p w14:paraId="284158A1">
            <w:pPr>
              <w:ind w:firstLine="480"/>
            </w:pPr>
            <w:r>
              <w:t>本项目属于</w:t>
            </w:r>
            <w:r>
              <w:rPr>
                <w:rFonts w:hint="eastAsia"/>
                <w:lang w:eastAsia="zh-CN"/>
              </w:rPr>
              <w:t>防洪除涝</w:t>
            </w:r>
            <w:r>
              <w:t>工程，不会造成生态破坏和地表径流水质污染，且项目建成后，有利于区域地表水环境及沿线自然生态系统的保护，因此，项目与《四川省生态功能区规划》的相关要求相符。</w:t>
            </w:r>
          </w:p>
          <w:p w14:paraId="6DF1E85C">
            <w:pPr>
              <w:ind w:firstLine="0" w:firstLineChars="0"/>
              <w:jc w:val="center"/>
            </w:pPr>
            <w:r>
              <mc:AlternateContent>
                <mc:Choice Requires="wps">
                  <w:drawing>
                    <wp:anchor distT="0" distB="0" distL="114300" distR="114300" simplePos="0" relativeHeight="251662336" behindDoc="0" locked="0" layoutInCell="1" allowOverlap="1">
                      <wp:simplePos x="0" y="0"/>
                      <wp:positionH relativeFrom="column">
                        <wp:posOffset>2581275</wp:posOffset>
                      </wp:positionH>
                      <wp:positionV relativeFrom="paragraph">
                        <wp:posOffset>398145</wp:posOffset>
                      </wp:positionV>
                      <wp:extent cx="687705" cy="263525"/>
                      <wp:effectExtent l="6350" t="6350" r="113665" b="522605"/>
                      <wp:wrapNone/>
                      <wp:docPr id="10" name="矩形标注 10"/>
                      <wp:cNvGraphicFramePr/>
                      <a:graphic xmlns:a="http://schemas.openxmlformats.org/drawingml/2006/main">
                        <a:graphicData uri="http://schemas.microsoft.com/office/word/2010/wordprocessingShape">
                          <wps:wsp>
                            <wps:cNvSpPr/>
                            <wps:spPr>
                              <a:xfrm>
                                <a:off x="0" y="0"/>
                                <a:ext cx="687705" cy="263525"/>
                              </a:xfrm>
                              <a:prstGeom prst="wedgeRectCallout">
                                <a:avLst>
                                  <a:gd name="adj1" fmla="val 61726"/>
                                  <a:gd name="adj2" fmla="val 228795"/>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0A73DC2">
                                  <w:pPr>
                                    <w:spacing w:line="240" w:lineRule="auto"/>
                                    <w:ind w:firstLine="0" w:firstLineChars="0"/>
                                    <w:jc w:val="center"/>
                                    <w:rPr>
                                      <w:color w:val="FF0000"/>
                                      <w:sz w:val="21"/>
                                      <w:szCs w:val="21"/>
                                    </w:rPr>
                                  </w:pPr>
                                  <w:r>
                                    <w:rPr>
                                      <w:rFonts w:hint="eastAsia"/>
                                      <w:color w:val="FF0000"/>
                                      <w:sz w:val="21"/>
                                      <w:szCs w:val="21"/>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03.25pt;margin-top:31.35pt;height:20.75pt;width:54.15pt;z-index:251662336;v-text-anchor:middle;mso-width-relative:page;mso-height-relative:page;" filled="f" stroked="t" coordsize="21600,21600" o:gfxdata="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5OOOINUAAAAKAQAADwAAAAAAAAABACAAAAAiAAAAZHJzL2Rvd25yZXYu&#10;eG1sUEsBAhQAFAAAAAgAh07iQOmEskWpAgAAOwUAAA4AAAAAAAAAAQAgAAAAJAEAAGRycy9lMm9E&#10;b2MueG1sUEsFBgAAAAAGAAYAWQEAAD8GAAAAAA==&#10;" adj="24133,60220">
                      <v:fill on="f" focussize="0,0"/>
                      <v:stroke weight="1pt" color="#FF0000 [2404]" miterlimit="8" joinstyle="miter"/>
                      <v:imagedata o:title=""/>
                      <o:lock v:ext="edit" aspectratio="f"/>
                      <v:textbox>
                        <w:txbxContent>
                          <w:p w14:paraId="10A73DC2">
                            <w:pPr>
                              <w:spacing w:line="240" w:lineRule="auto"/>
                              <w:ind w:firstLine="0" w:firstLineChars="0"/>
                              <w:jc w:val="center"/>
                              <w:rPr>
                                <w:color w:val="FF0000"/>
                                <w:sz w:val="21"/>
                                <w:szCs w:val="21"/>
                              </w:rPr>
                            </w:pPr>
                            <w:r>
                              <w:rPr>
                                <w:rFonts w:hint="eastAsia"/>
                                <w:color w:val="FF0000"/>
                                <w:sz w:val="21"/>
                                <w:szCs w:val="21"/>
                              </w:rPr>
                              <w:t>本项目</w:t>
                            </w:r>
                          </w:p>
                        </w:txbxContent>
                      </v:textbox>
                    </v:shape>
                  </w:pict>
                </mc:Fallback>
              </mc:AlternateContent>
            </w:r>
            <w:r>
              <w:drawing>
                <wp:inline distT="0" distB="0" distL="114300" distR="114300">
                  <wp:extent cx="5384165" cy="3676015"/>
                  <wp:effectExtent l="12700" t="12700" r="13335" b="146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1"/>
                          <a:stretch>
                            <a:fillRect/>
                          </a:stretch>
                        </pic:blipFill>
                        <pic:spPr>
                          <a:xfrm>
                            <a:off x="0" y="0"/>
                            <a:ext cx="5384165" cy="3676015"/>
                          </a:xfrm>
                          <a:prstGeom prst="rect">
                            <a:avLst/>
                          </a:prstGeom>
                          <a:noFill/>
                          <a:ln w="12700">
                            <a:solidFill>
                              <a:schemeClr val="tx1"/>
                            </a:solidFill>
                          </a:ln>
                        </pic:spPr>
                      </pic:pic>
                    </a:graphicData>
                  </a:graphic>
                </wp:inline>
              </w:drawing>
            </w:r>
          </w:p>
          <w:p w14:paraId="746C0363">
            <w:pPr>
              <w:ind w:firstLine="422"/>
              <w:jc w:val="center"/>
              <w:rPr>
                <w:b/>
                <w:bCs/>
                <w:sz w:val="21"/>
                <w:szCs w:val="21"/>
              </w:rPr>
            </w:pPr>
            <w:r>
              <w:rPr>
                <w:rFonts w:hint="eastAsia"/>
                <w:b/>
                <w:bCs/>
                <w:sz w:val="21"/>
                <w:szCs w:val="21"/>
              </w:rPr>
              <w:t>图3-2  《四川省生态功能区划图》</w:t>
            </w:r>
          </w:p>
          <w:p w14:paraId="6ECAD171">
            <w:pPr>
              <w:ind w:firstLine="482"/>
            </w:pPr>
            <w:r>
              <w:rPr>
                <w:rFonts w:hint="eastAsia"/>
                <w:b/>
                <w:bCs/>
              </w:rPr>
              <w:t>（3）巴中市生态功能区划</w:t>
            </w:r>
          </w:p>
          <w:p w14:paraId="75D1CC37">
            <w:pPr>
              <w:ind w:firstLine="480"/>
            </w:pPr>
            <w:r>
              <w:t>根据《巴中市生态功能区划》的函（巴环境函〔2019〕8号），本项目位于Ⅱ 巴南农林复合生态区、Ⅱ-2巴河流域农林复合生态亚区、Ⅱ-2-2巴中-恩阳人居生活保障生态功能区，该区域的生态功能定位是：本区是以人居保障为主导的生态功能区，其次是水源涵养、生物多样性保持，土壤保持以及营养物质保持；该区域 生态功能保护与建设的方向和任务为：</w:t>
            </w:r>
          </w:p>
          <w:p w14:paraId="0C94570A">
            <w:pPr>
              <w:ind w:firstLine="480"/>
            </w:pPr>
            <w:r>
              <w:t>本区主要得宜于其较为平缓的地势，人口密度相对较大；本区生态功能保护与建设的主导方向是生态恢复、污染控制、污染防治和环境美化。重点任务是要治理产业结构及布局型污染破坏为先导，严格控制生产、生活废水排放；全面深入实施污染严重产业迁出转产和清洁生产工程、生活污水和垃圾集中无害化处理工程、环境优美山水城市建设工程、废弃物循环利用工程、城市地质灾害防治工程；大幅度提升环境质量水平。建设青山绿川的生态景观。山脉是生态景观的骨架和主体，是森林植被主要分布地带，具有特殊的生态功能。本区山脉生态屏障的建设要切实保护好每个地区的森林、绿地资源，改善城市生态环境，还要加强 盆周山地建设，构建生态区的外围屏障。河流是区内生态景观的灵魂，也是长江 上游流域生态系统的重要组成部分，河流生态屏障的建设要对长江干支流进行污 染控制，建设区内调节局地气候、减缓污染、连接区内外的</w:t>
            </w:r>
            <w:r>
              <w:rPr>
                <w:rFonts w:hint="eastAsia"/>
              </w:rPr>
              <w:t>“</w:t>
            </w:r>
            <w:r>
              <w:t>生命长廊</w:t>
            </w:r>
            <w:r>
              <w:rPr>
                <w:rFonts w:hint="eastAsia"/>
              </w:rPr>
              <w:t>”</w:t>
            </w:r>
            <w:r>
              <w:t>。矿区（山）是区内生态景观退化的斑块，应对废弃矿区进行综合整治，恢复矿区的生 态功能。国家重点保护野生动物的栖息地及其迁徙廊道，文物保护单位的保护范 围，森林密集区，城市组团隔离带，因保护、恢复生态环境和自然景观需要禁止开发建设的其他区域为禁建区，禁建区应加强保护，严禁任何形式的开发活动。自然保护区的实验区及外围保护地带，风景名胜区的一般景区，饮用水源二级保护区，现有林地、绿地，因保护、恢复生态环境和自然景观需要重点限制开发建设的其他区域为重点控建区，其他因保护生态环境和自然景观需要限制开发建设的区域为一般控建区。在城市规划区内充分利用自然地形和条件，栽植乔、灌木与地被植物，形成面积较大的片状、块状和线状绿地，形成集生态、景观、保健三大功能为一体的城市绿地形态。通过环主城生态林、城市组团绿化隔离带生态 林、城市干道绿化带生态林、都市区中央山脊生态林、城市生态公园、社区生态花园、城市立交桥生态林等城市生态林建设工程。大力发展循环经济和生态型产业。全面推进节能降耗减排工作，把节能降耗减排作为发展循环经济的突破口重点推进节能、节水、节材、节地工作。优化区内工业企业空间布局，逐步建立循环型产业体系，都市区严禁布置对饮用水和大气造成污染的企业，要建立起重大项目的配套加工体系，承接沿海转移的企业，重点控制耗水量大、水污染多的工业企业。完善清洁生产的技术标准体系，加快清洁生产技术创新研发和推广应用。加强废旧物资回收与循环利用，健全垃圾分类收集和分选系统，不断完善再生资源回收利用体系。倡导有利于节约资源和保护环境的消费方式，加强节能建筑、生态住宅建设，创建资源节约型城市和社区。加强自然资源的保护。</w:t>
            </w:r>
          </w:p>
          <w:p w14:paraId="31DBD441">
            <w:pPr>
              <w:ind w:firstLine="0" w:firstLineChars="0"/>
              <w:jc w:val="center"/>
            </w:pPr>
            <w:r>
              <mc:AlternateContent>
                <mc:Choice Requires="wps">
                  <w:drawing>
                    <wp:anchor distT="0" distB="0" distL="114300" distR="114300" simplePos="0" relativeHeight="251663360" behindDoc="0" locked="0" layoutInCell="1" allowOverlap="1">
                      <wp:simplePos x="0" y="0"/>
                      <wp:positionH relativeFrom="column">
                        <wp:posOffset>898525</wp:posOffset>
                      </wp:positionH>
                      <wp:positionV relativeFrom="paragraph">
                        <wp:posOffset>2572385</wp:posOffset>
                      </wp:positionV>
                      <wp:extent cx="687705" cy="263525"/>
                      <wp:effectExtent l="6350" t="6350" r="106045" b="530225"/>
                      <wp:wrapNone/>
                      <wp:docPr id="12" name="矩形标注 12"/>
                      <wp:cNvGraphicFramePr/>
                      <a:graphic xmlns:a="http://schemas.openxmlformats.org/drawingml/2006/main">
                        <a:graphicData uri="http://schemas.microsoft.com/office/word/2010/wordprocessingShape">
                          <wps:wsp>
                            <wps:cNvSpPr/>
                            <wps:spPr>
                              <a:xfrm>
                                <a:off x="0" y="0"/>
                                <a:ext cx="687705" cy="263525"/>
                              </a:xfrm>
                              <a:prstGeom prst="wedgeRectCallout">
                                <a:avLst>
                                  <a:gd name="adj1" fmla="val 61726"/>
                                  <a:gd name="adj2" fmla="val 228795"/>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B7DD21B">
                                  <w:pPr>
                                    <w:spacing w:line="240" w:lineRule="auto"/>
                                    <w:ind w:firstLine="0" w:firstLineChars="0"/>
                                    <w:jc w:val="center"/>
                                    <w:rPr>
                                      <w:color w:val="FF0000"/>
                                      <w:sz w:val="21"/>
                                      <w:szCs w:val="21"/>
                                    </w:rPr>
                                  </w:pPr>
                                  <w:r>
                                    <w:rPr>
                                      <w:rFonts w:hint="eastAsia"/>
                                      <w:color w:val="FF0000"/>
                                      <w:sz w:val="21"/>
                                      <w:szCs w:val="21"/>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70.75pt;margin-top:202.55pt;height:20.75pt;width:54.15pt;z-index:251663360;v-text-anchor:middle;mso-width-relative:page;mso-height-relative:page;" filled="f" stroked="t" coordsize="21600,21600" o:gfxdata="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AiOC2n1wAAAAsBAAAPAAAAAAAAAAEAIAAAACIAAABkcnMvZG93bnJl&#10;di54bWxQSwECFAAUAAAACACHTuJAPV5S4qkCAAA7BQAADgAAAAAAAAABACAAAAAmAQAAZHJzL2Uy&#10;b0RvYy54bWxQSwUGAAAAAAYABgBZAQAAQQYAAAAA&#10;" adj="24133,60220">
                      <v:fill on="f" focussize="0,0"/>
                      <v:stroke weight="1pt" color="#FF0000 [2404]" miterlimit="8" joinstyle="miter"/>
                      <v:imagedata o:title=""/>
                      <o:lock v:ext="edit" aspectratio="f"/>
                      <v:textbox>
                        <w:txbxContent>
                          <w:p w14:paraId="3B7DD21B">
                            <w:pPr>
                              <w:spacing w:line="240" w:lineRule="auto"/>
                              <w:ind w:firstLine="0" w:firstLineChars="0"/>
                              <w:jc w:val="center"/>
                              <w:rPr>
                                <w:color w:val="FF0000"/>
                                <w:sz w:val="21"/>
                                <w:szCs w:val="21"/>
                              </w:rPr>
                            </w:pPr>
                            <w:r>
                              <w:rPr>
                                <w:rFonts w:hint="eastAsia"/>
                                <w:color w:val="FF0000"/>
                                <w:sz w:val="21"/>
                                <w:szCs w:val="21"/>
                              </w:rPr>
                              <w:t>本项目</w:t>
                            </w:r>
                          </w:p>
                        </w:txbxContent>
                      </v:textbox>
                    </v:shape>
                  </w:pict>
                </mc:Fallback>
              </mc:AlternateContent>
            </w:r>
            <w:r>
              <w:drawing>
                <wp:inline distT="0" distB="0" distL="114300" distR="114300">
                  <wp:extent cx="3959225" cy="5301615"/>
                  <wp:effectExtent l="0" t="0" r="3175" b="190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22"/>
                          <a:stretch>
                            <a:fillRect/>
                          </a:stretch>
                        </pic:blipFill>
                        <pic:spPr>
                          <a:xfrm>
                            <a:off x="0" y="0"/>
                            <a:ext cx="3959225" cy="5301615"/>
                          </a:xfrm>
                          <a:prstGeom prst="rect">
                            <a:avLst/>
                          </a:prstGeom>
                          <a:noFill/>
                          <a:ln>
                            <a:noFill/>
                          </a:ln>
                        </pic:spPr>
                      </pic:pic>
                    </a:graphicData>
                  </a:graphic>
                </wp:inline>
              </w:drawing>
            </w:r>
          </w:p>
          <w:p w14:paraId="596A8F3D">
            <w:pPr>
              <w:ind w:firstLine="422"/>
              <w:jc w:val="center"/>
              <w:rPr>
                <w:b/>
                <w:bCs/>
                <w:sz w:val="21"/>
                <w:szCs w:val="21"/>
              </w:rPr>
            </w:pPr>
            <w:r>
              <w:rPr>
                <w:b/>
                <w:bCs/>
                <w:sz w:val="21"/>
                <w:szCs w:val="21"/>
              </w:rPr>
              <w:t xml:space="preserve">图3-3 </w:t>
            </w:r>
            <w:r>
              <w:rPr>
                <w:rFonts w:hint="eastAsia"/>
                <w:b/>
                <w:bCs/>
                <w:sz w:val="21"/>
                <w:szCs w:val="21"/>
              </w:rPr>
              <w:t xml:space="preserve"> </w:t>
            </w:r>
            <w:r>
              <w:rPr>
                <w:b/>
                <w:bCs/>
                <w:sz w:val="21"/>
                <w:szCs w:val="21"/>
              </w:rPr>
              <w:t>巴中市生态功能区划图</w:t>
            </w:r>
          </w:p>
          <w:p w14:paraId="6805F7E4">
            <w:pPr>
              <w:ind w:firstLine="480"/>
            </w:pPr>
            <w:r>
              <w:t>本项目为檬子河流域水环境综合治理工程，建设内容包含</w:t>
            </w:r>
            <w:r>
              <w:rPr>
                <w:rFonts w:hint="eastAsia"/>
              </w:rPr>
              <w:t>控制导流设施（生态景观闸）、生态护岸、配套生态隔离带等，项目建成后可以修复河流生态廊道，基本实现水资源节约与高效利用、流域水环境质量有效提升，为此，本项目工程建设与《巴中市生态功能区划》相关要求相符。</w:t>
            </w:r>
          </w:p>
          <w:p w14:paraId="4803D2C6">
            <w:pPr>
              <w:ind w:firstLine="482"/>
              <w:rPr>
                <w:b/>
                <w:bCs/>
              </w:rPr>
            </w:pPr>
            <w:r>
              <w:rPr>
                <w:rFonts w:hint="eastAsia"/>
                <w:b/>
                <w:bCs/>
              </w:rPr>
              <w:t>3、流域概况及洪水流量设计</w:t>
            </w:r>
          </w:p>
          <w:p w14:paraId="55B9D3D0">
            <w:pPr>
              <w:ind w:firstLine="482"/>
              <w:rPr>
                <w:b/>
                <w:bCs/>
              </w:rPr>
            </w:pPr>
            <w:r>
              <w:rPr>
                <w:rFonts w:hint="eastAsia"/>
                <w:b/>
                <w:bCs/>
              </w:rPr>
              <w:t>（1）流域概况</w:t>
            </w:r>
          </w:p>
          <w:p w14:paraId="54FFC341">
            <w:pPr>
              <w:ind w:firstLine="480"/>
            </w:pPr>
            <w:r>
              <w:rPr>
                <w:rFonts w:hint="eastAsia"/>
              </w:rPr>
              <w:t>渠江流域位于四川、陕西和重庆三省市交界地带、四川盆地东北部，北面及东北面以米仓山、大巴山与汉江分界，是嘉陵江下游左岸最大一级支流。根据流域地形和河道特征，渠江分为上、中、下游。南江县发源地至平昌河段为上游，习惯称南江，全长242km；从平昌至渠县三汇镇河段为中游，习惯称巴河，河长124km；渠县三汇镇至重庆合川渠江咀河段为下游，习惯称渠江干流，河长305.4km。渠江流域面积39220km</w:t>
            </w:r>
            <w:r>
              <w:rPr>
                <w:rFonts w:hint="eastAsia"/>
                <w:vertAlign w:val="superscript"/>
              </w:rPr>
              <w:t>2</w:t>
            </w:r>
            <w:r>
              <w:rPr>
                <w:rFonts w:hint="eastAsia"/>
              </w:rPr>
              <w:t>，约占嘉陵江全流域面积24.5%，河道全长671km,总落差1487m。</w:t>
            </w:r>
          </w:p>
          <w:p w14:paraId="72F275A5">
            <w:pPr>
              <w:ind w:firstLine="480"/>
            </w:pPr>
            <w:r>
              <w:rPr>
                <w:rFonts w:hint="eastAsia"/>
              </w:rPr>
              <w:t>巴河发源于南江县玉泉乡平溪村的铁船山，横切于米仓山至大巴山的中山区，海拔高程 1800m。在南江县境内由东北向西南流，经玉泉、关坝、上两等乡镇，在银杏坝折向南流，经沙滩、桥亭、碾盘、南江县城、小河、沙河、下两、至元潭出南江县，进入巴州区境内，继续南流，经枣林、巴州镇、至三江镇，右纳恩阳河后，始称为巴河，东南流至梁永，折向北东流，至曾口镇复折向东南流，至金碑乡的洪流村出巴州区，进入平昌县境内，向东南蜿蜒曲折流经澌岸、兰草、坦溪、直到平昌县城所在的江口镇，与通江河汇合后，进入巴河干流。</w:t>
            </w:r>
          </w:p>
          <w:p w14:paraId="5A981D65">
            <w:pPr>
              <w:ind w:firstLine="480"/>
            </w:pPr>
            <w:r>
              <w:rPr>
                <w:rFonts w:hint="eastAsia"/>
              </w:rPr>
              <w:t>檬子河流域为巴河左岸一级支流，发源于晒坝梁，河源高程1061.0m，向南流经黄家坝、白石岩、吕家咀，在岩梁与新桥河汇合后称后河，于巴中市城区下游罗家坝注入巴河。檬子河流域地理坐标介于106°21′～107°7′，北纬31°31′～32°04′之间，流域面积81.6km²，河道长19.5km，河道平均比降53.9‰。流域内水系不发育，主要支流有檬子河、新桥河、黄家沟。檬子河流域面积37.5km²，河道长16.0km，河道平均比降73.9‰；新桥河流域面积35.6km²，河道长9.9km，河道平均比降26.8‰。流域内山高林密，河谷深切，水流湍急。河谷多为不规则的“U”型，谷宽多在100.0m～200.0m。河床组成为大小不等的块石为主。</w:t>
            </w:r>
          </w:p>
          <w:p w14:paraId="18AC9F9C">
            <w:pPr>
              <w:ind w:firstLine="482"/>
            </w:pPr>
            <w:r>
              <w:rPr>
                <w:rFonts w:hint="eastAsia"/>
                <w:b/>
                <w:bCs/>
              </w:rPr>
              <w:t>（2）洪水量设计</w:t>
            </w:r>
          </w:p>
          <w:p w14:paraId="3173D713">
            <w:pPr>
              <w:ind w:firstLine="480"/>
            </w:pPr>
            <w:r>
              <w:rPr>
                <w:rFonts w:hint="eastAsia"/>
              </w:rPr>
              <w:t>根据《檬子河水环境综合治理项目（一期）导流控流设施初步设计报告》（2026年6月），工程地处大巴山暴雨区，每年夏秋东南亚海的暖湿气流沿长江河谷而上，至大巴山受阻，由于气团的抬升作用，常降暴雨。大暴雨具有强度大，历时短的特点。据巴中气象站实测资料统计，最大一日暴雨量为263.8mm（1965年），最小为39.3mm（1961年）。一场暴雨连续降雨历时多在18h左右，主雨峰多集中在6h内。</w:t>
            </w:r>
          </w:p>
          <w:p w14:paraId="440EBE9B">
            <w:pPr>
              <w:ind w:firstLine="480"/>
            </w:pPr>
            <w:r>
              <w:t>檬子河流域的洪水由暴雨形成，雨洪关系密切，洪水与暴雨相应，一般发生在5月~9月，7月～9月份最集中，洪水过程具有山区性河流陡涨陡落，峰型尖瘦的特点，一般为单峰，历时1d～3d。</w:t>
            </w:r>
          </w:p>
          <w:p w14:paraId="04B31DD3">
            <w:pPr>
              <w:ind w:firstLine="480"/>
            </w:pPr>
            <w:r>
              <w:t>工程区无实测洪水流量资料系列，本工程设计洪水采用水文比拟法、推理公式法进行计算，最后经合理性分析后选用成果。经综合分析，本阶段推荐采用推理公式法计算的成果作为本工程坝址设计洪水成果。</w:t>
            </w:r>
          </w:p>
          <w:p w14:paraId="668BCF23">
            <w:pPr>
              <w:ind w:firstLine="480"/>
            </w:pPr>
            <w:r>
              <w:t>本工程流域集水面积83.7km²，设计洪水流量（P=5%，20年一遇）为477m³/s，校核洪水流量（P=2%，50年一遇）为589m³/s。</w:t>
            </w:r>
          </w:p>
          <w:p w14:paraId="1C96675B">
            <w:pPr>
              <w:ind w:firstLine="480"/>
            </w:pPr>
            <w:r>
              <w:rPr>
                <w:rFonts w:hint="eastAsia"/>
              </w:rPr>
              <w:t>根据巴中市巴州生态环境局关于“《关于申请核查巴中市檬子河流域水环境综合治理项目（一期）是否涉及‘饮用水水源保护区’情况的函》”的复函以及现场调查</w:t>
            </w:r>
            <w:r>
              <w:t>，本项目评价范围内无饮用水源保护区和饮用水集中取水点。</w:t>
            </w:r>
          </w:p>
          <w:p w14:paraId="5107C847">
            <w:pPr>
              <w:ind w:firstLine="482"/>
            </w:pPr>
            <w:r>
              <w:rPr>
                <w:rFonts w:hint="eastAsia"/>
                <w:b/>
                <w:bCs/>
              </w:rPr>
              <w:t>4、土地利用类型</w:t>
            </w:r>
          </w:p>
          <w:p w14:paraId="329B2ACE">
            <w:pPr>
              <w:ind w:firstLine="480"/>
            </w:pPr>
            <w:r>
              <w:rPr>
                <w:rFonts w:hint="eastAsia"/>
              </w:rPr>
              <w:t>根据《巴中市檬子河流域水环境综合治理项目（一期）水土保持报告书》及批复，项目总用地</w:t>
            </w:r>
            <w:r>
              <w:rPr>
                <w:rFonts w:hint="eastAsia"/>
                <w:lang w:val="en-US" w:eastAsia="zh-CN"/>
              </w:rPr>
              <w:t>20.94</w:t>
            </w:r>
            <w:r>
              <w:rPr>
                <w:rFonts w:hint="eastAsia"/>
              </w:rPr>
              <w:t>hm²，其中，水域面积8.756hm²（临时占地），陆地面积</w:t>
            </w:r>
            <w:r>
              <w:rPr>
                <w:rFonts w:hint="eastAsia"/>
                <w:lang w:val="en-US" w:eastAsia="zh-CN"/>
              </w:rPr>
              <w:t>12.184</w:t>
            </w:r>
            <w:r>
              <w:rPr>
                <w:rFonts w:hint="eastAsia"/>
              </w:rPr>
              <w:t>hm</w:t>
            </w:r>
            <w:r>
              <w:rPr>
                <w:rFonts w:hint="eastAsia"/>
                <w:vertAlign w:val="superscript"/>
              </w:rPr>
              <w:t>2</w:t>
            </w:r>
            <w:r>
              <w:rPr>
                <w:rFonts w:hint="eastAsia"/>
              </w:rPr>
              <w:t>（永久占地）。其中河道整治工程占地13.31hm²、景观绿化工程占地0.65hm²、附属工程占地2.23hm²，保留区面积4.90hm²，占地类型为耕地、建设用地、其他用地、水域及水利设施用地。本工程不涉及基本农田、文物古迹和压覆矿等项目。</w:t>
            </w:r>
          </w:p>
          <w:p w14:paraId="05C5E09B">
            <w:pPr>
              <w:ind w:firstLine="482"/>
            </w:pPr>
            <w:r>
              <w:rPr>
                <w:rFonts w:hint="eastAsia"/>
                <w:b/>
                <w:bCs/>
              </w:rPr>
              <w:t>5、陆生生态环境现状</w:t>
            </w:r>
          </w:p>
          <w:p w14:paraId="13463D87">
            <w:pPr>
              <w:ind w:firstLine="480"/>
            </w:pPr>
            <w:r>
              <w:t>①区域植被状况</w:t>
            </w:r>
          </w:p>
          <w:p w14:paraId="08B325C2">
            <w:pPr>
              <w:ind w:firstLine="480"/>
            </w:pPr>
            <w:r>
              <w:t>巴中市境域植物资源丰富，尤以北部为最。计有乔、灌木308种，草、藤本421种。源于植物的中草药（含家种、野生，根、茎、叶、花、果）1386种、5万立方米。根据植物的生长性能及自然环境，广泛分布在境域各地。乔、灌木林区多分布在北部山地，中部、南部亦零星分布。中药材资源最多的是通江、南江两县； 牧草资源遍及境域。境域中部和南部，森林层次结构不明显，林相单纯，林下伴 生马桑、黄荆、沙棘藤蔓、杜鹃等植物；北部森林成片的较多。</w:t>
            </w:r>
          </w:p>
          <w:p w14:paraId="5BBC426A">
            <w:pPr>
              <w:ind w:firstLine="480"/>
            </w:pPr>
            <w:r>
              <w:t>本项目所在地区主要属于丘陵地区，根据现场踏勘本项目所处区域为城市环 境，植被茂密，主要树种为松树、白杨树、风景树、竹林、杂树等，另有橘子树 等果树。</w:t>
            </w:r>
          </w:p>
          <w:p w14:paraId="604CCC86">
            <w:pPr>
              <w:ind w:firstLine="482"/>
            </w:pPr>
            <w:r>
              <w:rPr>
                <w:b/>
                <w:bCs/>
              </w:rPr>
              <w:t>根据《国家重点保护野生植物名录（第一批）》，在评价区域内未发现珍稀 濒危及国家重点保护的野生植物和古树名木。</w:t>
            </w:r>
          </w:p>
          <w:p w14:paraId="7D4F1FB8">
            <w:pPr>
              <w:ind w:firstLine="480"/>
            </w:pPr>
            <w:r>
              <w:t>②区域动物状况</w:t>
            </w:r>
          </w:p>
          <w:p w14:paraId="5F80DD63">
            <w:pPr>
              <w:ind w:firstLine="480"/>
            </w:pPr>
            <w:r>
              <w:t>巴中市家养动物有生猪、黄牛、水牛、火羊、南江黄羊、各类鸡、各类鸭、鹅、马、驴、蜂、蚕、犬、猫、各类兔等。野生动物多分布在森林密布的北部，中、南部很少。近代，在森林面积的逐年减少、猎杀频繁、酷捞滥捕的情况下，境内动物资源遭到破坏。虎、豹濒于绝迹，珍稀动物遗留不多，其它动物逐年减少。经20世纪80年代调查，境内北部共有野生动物670种。其中鱼类4目、11科、44属、47种；两栖类2目、7科、9属、20种，爬行类3目、7科、14属、21种，鸟类16目、41科、120属、176种，兽类7目、21科、52属、67种，昆虫类50科、170种，其它类169种。中南部地区尚存野生动物290余种，其中兽类22种、禽类49种、水族及两栖爬行类43种，昆虫类170余种。</w:t>
            </w:r>
          </w:p>
          <w:p w14:paraId="6DBA0F6E">
            <w:pPr>
              <w:ind w:firstLine="482"/>
            </w:pPr>
            <w:r>
              <w:rPr>
                <w:b/>
                <w:bCs/>
              </w:rPr>
              <w:t>依据《国家重点保护野生动物名录》、《四川省重点保护野生动物名录》及 《四川省新增重点保护野生动物名录》核实，在评价区域内未发现珍稀濒危及国 家和省重点保护的野生动物，也不涉及鸟类迁徙通道。</w:t>
            </w:r>
          </w:p>
          <w:p w14:paraId="15EEE174">
            <w:pPr>
              <w:ind w:firstLine="480"/>
            </w:pPr>
            <w:r>
              <w:t>③项目周边生态状况</w:t>
            </w:r>
          </w:p>
          <w:p w14:paraId="084BE79A">
            <w:pPr>
              <w:ind w:firstLine="480"/>
            </w:pPr>
            <w:r>
              <w:t>本项目所在区域人类活动频繁，除了野生动物外，还人工饲养动物主要有牛、猪、狗、猫、鸡、鸭等家禽家畜。另外还有常见的小型野生动物动物主要有蛙、燕子、麻雀、田鼠等。主要树种为松树、风景树、竹林、杂树等等。</w:t>
            </w:r>
          </w:p>
          <w:p w14:paraId="6300A4DB">
            <w:pPr>
              <w:ind w:firstLine="482"/>
            </w:pPr>
            <w:r>
              <w:rPr>
                <w:b/>
                <w:bCs/>
              </w:rPr>
              <w:t>综上，项目区域内不涉及珍稀动植物、珍稀鱼类、鱼类三场、自然保护区、生态脆弱区等特殊环境敏感目标。</w:t>
            </w:r>
          </w:p>
          <w:p w14:paraId="2AC16251">
            <w:pPr>
              <w:ind w:firstLine="482"/>
            </w:pPr>
            <w:r>
              <w:rPr>
                <w:rFonts w:hint="eastAsia"/>
                <w:b/>
                <w:bCs/>
              </w:rPr>
              <w:t>6、水生生态环境现状</w:t>
            </w:r>
          </w:p>
          <w:p w14:paraId="57E58176">
            <w:pPr>
              <w:ind w:firstLine="480"/>
            </w:pPr>
            <w:r>
              <w:t>①浮游生物</w:t>
            </w:r>
          </w:p>
          <w:p w14:paraId="1AA46303">
            <w:pPr>
              <w:ind w:firstLine="480"/>
            </w:pPr>
            <w:r>
              <w:t>1）浮游藻类</w:t>
            </w:r>
          </w:p>
          <w:p w14:paraId="2F772715">
            <w:pPr>
              <w:ind w:firstLine="480"/>
            </w:pPr>
            <w:r>
              <w:t>浮游藻类主要属于静水耐污性的种类，诸如绿藻门、蓝藻门和甲藻门等，优势种类小球藻、水网藻、双射盘星藻、小颤藻、大螺旋藻和裸甲藻等；硅藻门的种类较少。</w:t>
            </w:r>
          </w:p>
          <w:p w14:paraId="092324ED">
            <w:pPr>
              <w:ind w:firstLine="480"/>
            </w:pPr>
            <w:r>
              <w:t>2）浮游动物</w:t>
            </w:r>
          </w:p>
          <w:p w14:paraId="244C58D6">
            <w:pPr>
              <w:ind w:firstLine="480"/>
            </w:pPr>
            <w:r>
              <w:t>浮游动物的种类与浮游藻类的种类组成类似，绝大多数属于静水耐污性，诸如轮虫、枝角类、和桡足类，优势种类多肢轮虫、臂尾轮虫、龟甲轮虫和蚤状溞等，而适应水质清新、溶氧高的原生动物种群和数量相对偏少。</w:t>
            </w:r>
          </w:p>
          <w:p w14:paraId="1FF8E130">
            <w:pPr>
              <w:ind w:firstLine="480"/>
            </w:pPr>
            <w:r>
              <w:t>②底栖生物</w:t>
            </w:r>
          </w:p>
          <w:p w14:paraId="29E3A0F1">
            <w:pPr>
              <w:ind w:firstLine="480"/>
            </w:pPr>
            <w:r>
              <w:t>底栖生物的种类组成与浮游生物的种类组成类似，绝大多数属于静水耐污性，诸如水生昆虫、环节动物、软体动物和甲壳动物，优势种类蠓蚊幼虫、大蚊幼虫、淡水单孔蚓和静水椎实螺等。</w:t>
            </w:r>
          </w:p>
          <w:p w14:paraId="1CA2015D">
            <w:pPr>
              <w:ind w:firstLine="480"/>
            </w:pPr>
            <w:r>
              <w:t>鱼类主要为我国常见淡水羊子鱼类，主要分布有鲤鱼、鲫鱼、鲢鳙等。</w:t>
            </w:r>
          </w:p>
          <w:p w14:paraId="0E1B0F06">
            <w:pPr>
              <w:ind w:firstLine="480"/>
            </w:pPr>
            <w:r>
              <w:t>这些鱼类主要属于上层鱼类，中层鱼类、下层底栖鱼类和底层吸附三个类群。 分布鱼类的产卵类型主要包括产粘性卵和漂流性卵两种。</w:t>
            </w:r>
          </w:p>
          <w:p w14:paraId="3F1C2289">
            <w:pPr>
              <w:ind w:firstLine="480"/>
            </w:pPr>
            <w:r>
              <w:rPr>
                <w:rFonts w:hint="eastAsia"/>
              </w:rPr>
              <w:t>根据巴中市农业农村局“关于《</w:t>
            </w:r>
            <w:r>
              <w:t>巴中市檬子河流域水环境综合治理项目（一期）</w:t>
            </w:r>
            <w:r>
              <w:rPr>
                <w:rFonts w:hint="eastAsia"/>
              </w:rPr>
              <w:t>》是否涉及重要水生生物自然保护区、水产种质资源保护区及珍惜鱼类‘</w:t>
            </w:r>
            <w:r>
              <w:rPr>
                <w:rFonts w:hint="eastAsia"/>
                <w:lang w:eastAsia="zh-CN"/>
              </w:rPr>
              <w:t>三场一通道</w:t>
            </w:r>
            <w:r>
              <w:rPr>
                <w:rFonts w:hint="eastAsia"/>
              </w:rPr>
              <w:t>’情况”的复函，本项目不涉及重要水生生物自然保护区、水产种质资源保护区及珍惜鱼类“</w:t>
            </w:r>
            <w:r>
              <w:rPr>
                <w:rFonts w:hint="eastAsia"/>
                <w:lang w:eastAsia="zh-CN"/>
              </w:rPr>
              <w:t>三场一通道</w:t>
            </w:r>
            <w:r>
              <w:rPr>
                <w:rFonts w:hint="eastAsia"/>
              </w:rPr>
              <w:t>”。</w:t>
            </w:r>
          </w:p>
          <w:p w14:paraId="3565B4F1">
            <w:pPr>
              <w:ind w:firstLine="0" w:firstLineChars="0"/>
              <w:rPr>
                <w:b/>
                <w:bCs/>
              </w:rPr>
            </w:pPr>
            <w:r>
              <w:rPr>
                <w:rFonts w:hint="eastAsia"/>
                <w:b/>
                <w:bCs/>
              </w:rPr>
              <w:t>二、区域环境质量现状</w:t>
            </w:r>
          </w:p>
          <w:p w14:paraId="19DB4CDB">
            <w:pPr>
              <w:ind w:firstLine="482"/>
              <w:rPr>
                <w:b/>
                <w:bCs/>
              </w:rPr>
            </w:pPr>
            <w:r>
              <w:rPr>
                <w:rFonts w:hint="eastAsia"/>
                <w:b/>
                <w:bCs/>
              </w:rPr>
              <w:t>1、环境空气环境质量现状</w:t>
            </w:r>
          </w:p>
          <w:p w14:paraId="0D203618">
            <w:pPr>
              <w:ind w:firstLine="480"/>
            </w:pPr>
            <w:r>
              <w:rPr>
                <w:rFonts w:hint="eastAsia"/>
              </w:rPr>
              <w:t>（1）区域环境质量达标情况</w:t>
            </w:r>
          </w:p>
          <w:p w14:paraId="27C7E39A">
            <w:pPr>
              <w:ind w:firstLine="480"/>
            </w:pPr>
            <w:r>
              <w:t>根据《环境影响评价技术导则 大气环境》（HJ2.2-2018），本次评价引用巴中市生态环境局公布的《20</w:t>
            </w:r>
            <w:r>
              <w:rPr>
                <w:rFonts w:hint="eastAsia"/>
                <w:lang w:val="en-US" w:eastAsia="zh-CN"/>
              </w:rPr>
              <w:t>25</w:t>
            </w:r>
            <w:r>
              <w:t>年巴中市生态环境状况公报》中环境空气质量现状数据进行空气质量达标区判定。</w:t>
            </w:r>
          </w:p>
          <w:p w14:paraId="6401E534">
            <w:pPr>
              <w:ind w:firstLine="480"/>
            </w:pPr>
            <w:r>
              <w:rPr>
                <w:rFonts w:hint="eastAsia"/>
              </w:rPr>
              <w:t>2025年，巴城环境空气质量优良率为94.2%</w:t>
            </w:r>
            <w:r>
              <w:rPr>
                <w:rFonts w:hint="eastAsia"/>
                <w:lang w:eastAsia="zh-CN"/>
              </w:rPr>
              <w:t>（</w:t>
            </w:r>
            <w:r>
              <w:rPr>
                <w:rFonts w:hint="eastAsia"/>
              </w:rPr>
              <w:t>未扣除异常沙尘和异常高温低湿臭氧超标影响</w:t>
            </w:r>
            <w:r>
              <w:rPr>
                <w:rFonts w:hint="eastAsia"/>
                <w:lang w:eastAsia="zh-CN"/>
              </w:rPr>
              <w:t>）</w:t>
            </w:r>
            <w:r>
              <w:rPr>
                <w:rFonts w:hint="eastAsia"/>
              </w:rPr>
              <w:t>，同比下降1.4个百分点，污染天数同比增加5天，中度污染增加1天，其中轻度污染增加4天。环境空气六项主要污染物年均浓度全部达到国家环境空气质量二级标准，空气质量综合指数为2.99，同比下降0.16。</w:t>
            </w:r>
            <w:r>
              <w:t>，属达标区。</w:t>
            </w:r>
          </w:p>
          <w:p w14:paraId="37C2EA69">
            <w:pPr>
              <w:ind w:firstLine="480"/>
            </w:pPr>
            <w:r>
              <w:rPr>
                <w:rFonts w:hint="eastAsia"/>
              </w:rPr>
              <w:t>（2）特征污染因子</w:t>
            </w:r>
          </w:p>
          <w:p w14:paraId="4BA794E9">
            <w:pPr>
              <w:ind w:firstLine="480"/>
            </w:pPr>
            <w:r>
              <w:t>为了解本项目所在区域特征污染物TSP环境空气质量现状，</w:t>
            </w:r>
            <w:r>
              <w:rPr>
                <w:rFonts w:hint="eastAsia"/>
              </w:rPr>
              <w:t>项目委托</w:t>
            </w:r>
            <w:r>
              <w:t>达州恒福环境监测服务有限公司</w:t>
            </w:r>
            <w:r>
              <w:rPr>
                <w:rFonts w:hint="eastAsia"/>
              </w:rPr>
              <w:t>开展了监测，监测情况如下：</w:t>
            </w:r>
          </w:p>
          <w:p w14:paraId="77089585">
            <w:pPr>
              <w:ind w:firstLine="480"/>
            </w:pPr>
            <w:r>
              <w:rPr>
                <w:rFonts w:hint="eastAsia"/>
              </w:rPr>
              <w:t>监测点位：布设1个大气环境质量监测点，位于项目下风向约200m处 1#。</w:t>
            </w:r>
          </w:p>
          <w:p w14:paraId="1F5CF838">
            <w:pPr>
              <w:ind w:firstLine="480"/>
            </w:pPr>
            <w:r>
              <w:rPr>
                <w:rFonts w:hint="eastAsia"/>
              </w:rPr>
              <w:t>监测项目：TSP。</w:t>
            </w:r>
          </w:p>
          <w:p w14:paraId="4CAB3B35">
            <w:pPr>
              <w:ind w:firstLine="480"/>
            </w:pPr>
            <w:r>
              <w:rPr>
                <w:rFonts w:hint="eastAsia"/>
              </w:rPr>
              <w:t>监测周期及频率：连续检测7天，检测日均值。</w:t>
            </w:r>
          </w:p>
          <w:p w14:paraId="600B494D">
            <w:pPr>
              <w:ind w:firstLine="480"/>
            </w:pPr>
            <w:r>
              <w:rPr>
                <w:rFonts w:hint="eastAsia"/>
              </w:rPr>
              <w:t>采样和分析方法：采样环境、采样高度的要求按《环境监测技术规范》（大气部分）执行。</w:t>
            </w:r>
          </w:p>
          <w:p w14:paraId="2C080224">
            <w:pPr>
              <w:ind w:firstLine="480"/>
            </w:pPr>
            <w:r>
              <w:rPr>
                <w:rFonts w:hint="eastAsia"/>
              </w:rPr>
              <w:t>监测结果：监测结果见下表：</w:t>
            </w:r>
          </w:p>
          <w:p w14:paraId="4A46D986">
            <w:pPr>
              <w:ind w:firstLine="422"/>
              <w:jc w:val="center"/>
              <w:rPr>
                <w:color w:val="FF0000"/>
              </w:rPr>
            </w:pPr>
            <w:r>
              <w:rPr>
                <w:rFonts w:hint="eastAsia"/>
                <w:b/>
                <w:bCs/>
                <w:sz w:val="21"/>
                <w:szCs w:val="21"/>
              </w:rPr>
              <w:t>表3-2  环境空气（TSP）监测结果</w:t>
            </w:r>
          </w:p>
          <w:tbl>
            <w:tblPr>
              <w:tblStyle w:val="19"/>
              <w:tblW w:w="855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65"/>
              <w:gridCol w:w="2084"/>
              <w:gridCol w:w="1183"/>
              <w:gridCol w:w="2183"/>
              <w:gridCol w:w="1842"/>
            </w:tblGrid>
            <w:tr w14:paraId="3A20C6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jc w:val="center"/>
              </w:trPr>
              <w:tc>
                <w:tcPr>
                  <w:tcW w:w="1265" w:type="dxa"/>
                  <w:tcBorders>
                    <w:tl2br w:val="nil"/>
                    <w:tr2bl w:val="nil"/>
                  </w:tcBorders>
                  <w:vAlign w:val="center"/>
                </w:tcPr>
                <w:p w14:paraId="1B13B73C">
                  <w:pPr>
                    <w:adjustRightInd w:val="0"/>
                    <w:snapToGrid w:val="0"/>
                    <w:spacing w:line="240" w:lineRule="auto"/>
                    <w:ind w:firstLine="0" w:firstLineChars="0"/>
                    <w:jc w:val="center"/>
                    <w:rPr>
                      <w:b/>
                      <w:bCs/>
                      <w:sz w:val="21"/>
                      <w:szCs w:val="21"/>
                    </w:rPr>
                  </w:pPr>
                  <w:r>
                    <w:rPr>
                      <w:rFonts w:hint="eastAsia"/>
                      <w:b/>
                      <w:bCs/>
                      <w:sz w:val="21"/>
                      <w:szCs w:val="21"/>
                    </w:rPr>
                    <w:t>监测点位</w:t>
                  </w:r>
                </w:p>
              </w:tc>
              <w:tc>
                <w:tcPr>
                  <w:tcW w:w="2084" w:type="dxa"/>
                  <w:tcBorders>
                    <w:tl2br w:val="nil"/>
                    <w:tr2bl w:val="nil"/>
                  </w:tcBorders>
                  <w:vAlign w:val="center"/>
                </w:tcPr>
                <w:p w14:paraId="5E692C32">
                  <w:pPr>
                    <w:adjustRightInd w:val="0"/>
                    <w:snapToGrid w:val="0"/>
                    <w:spacing w:line="240" w:lineRule="auto"/>
                    <w:ind w:firstLine="0" w:firstLineChars="0"/>
                    <w:jc w:val="center"/>
                    <w:rPr>
                      <w:b/>
                      <w:bCs/>
                      <w:sz w:val="21"/>
                      <w:szCs w:val="21"/>
                    </w:rPr>
                  </w:pPr>
                  <w:r>
                    <w:rPr>
                      <w:rFonts w:hint="eastAsia"/>
                      <w:b/>
                      <w:bCs/>
                      <w:sz w:val="21"/>
                      <w:szCs w:val="21"/>
                    </w:rPr>
                    <w:t>监测时间</w:t>
                  </w:r>
                </w:p>
              </w:tc>
              <w:tc>
                <w:tcPr>
                  <w:tcW w:w="1183" w:type="dxa"/>
                  <w:tcBorders>
                    <w:tl2br w:val="nil"/>
                    <w:tr2bl w:val="nil"/>
                  </w:tcBorders>
                  <w:vAlign w:val="center"/>
                </w:tcPr>
                <w:p w14:paraId="03D16B3C">
                  <w:pPr>
                    <w:adjustRightInd w:val="0"/>
                    <w:snapToGrid w:val="0"/>
                    <w:spacing w:line="240" w:lineRule="auto"/>
                    <w:ind w:firstLine="0" w:firstLineChars="0"/>
                    <w:jc w:val="center"/>
                    <w:rPr>
                      <w:b/>
                      <w:bCs/>
                      <w:sz w:val="21"/>
                      <w:szCs w:val="21"/>
                    </w:rPr>
                  </w:pPr>
                  <w:r>
                    <w:rPr>
                      <w:rFonts w:hint="eastAsia"/>
                      <w:b/>
                      <w:bCs/>
                      <w:sz w:val="21"/>
                      <w:szCs w:val="21"/>
                    </w:rPr>
                    <w:t>监测内容</w:t>
                  </w:r>
                </w:p>
              </w:tc>
              <w:tc>
                <w:tcPr>
                  <w:tcW w:w="2183" w:type="dxa"/>
                  <w:tcBorders>
                    <w:tl2br w:val="nil"/>
                    <w:tr2bl w:val="nil"/>
                  </w:tcBorders>
                  <w:vAlign w:val="center"/>
                </w:tcPr>
                <w:p w14:paraId="140B93F2">
                  <w:pPr>
                    <w:adjustRightInd w:val="0"/>
                    <w:snapToGrid w:val="0"/>
                    <w:spacing w:line="240" w:lineRule="auto"/>
                    <w:ind w:firstLine="0" w:firstLineChars="0"/>
                    <w:jc w:val="center"/>
                    <w:rPr>
                      <w:b/>
                      <w:bCs/>
                      <w:sz w:val="21"/>
                      <w:szCs w:val="21"/>
                    </w:rPr>
                  </w:pPr>
                  <w:r>
                    <w:rPr>
                      <w:rFonts w:hint="eastAsia"/>
                      <w:b/>
                      <w:bCs/>
                      <w:sz w:val="21"/>
                      <w:szCs w:val="21"/>
                    </w:rPr>
                    <w:t>监测结果（mg</w:t>
                  </w:r>
                  <w:r>
                    <w:rPr>
                      <w:b/>
                      <w:bCs/>
                      <w:sz w:val="21"/>
                      <w:szCs w:val="21"/>
                    </w:rPr>
                    <w:t>/m</w:t>
                  </w:r>
                  <w:r>
                    <w:rPr>
                      <w:b/>
                      <w:bCs/>
                      <w:sz w:val="21"/>
                      <w:szCs w:val="21"/>
                      <w:vertAlign w:val="superscript"/>
                    </w:rPr>
                    <w:t>3</w:t>
                  </w:r>
                  <w:r>
                    <w:rPr>
                      <w:rFonts w:hint="eastAsia"/>
                      <w:b/>
                      <w:bCs/>
                      <w:sz w:val="21"/>
                      <w:szCs w:val="21"/>
                    </w:rPr>
                    <w:t>）</w:t>
                  </w:r>
                </w:p>
              </w:tc>
              <w:tc>
                <w:tcPr>
                  <w:tcW w:w="1842" w:type="dxa"/>
                  <w:tcBorders>
                    <w:tl2br w:val="nil"/>
                    <w:tr2bl w:val="nil"/>
                  </w:tcBorders>
                  <w:vAlign w:val="center"/>
                </w:tcPr>
                <w:p w14:paraId="1B3778C4">
                  <w:pPr>
                    <w:adjustRightInd w:val="0"/>
                    <w:snapToGrid w:val="0"/>
                    <w:spacing w:line="240" w:lineRule="auto"/>
                    <w:ind w:firstLine="0" w:firstLineChars="0"/>
                    <w:jc w:val="center"/>
                    <w:rPr>
                      <w:b/>
                      <w:bCs/>
                      <w:sz w:val="21"/>
                      <w:szCs w:val="21"/>
                    </w:rPr>
                  </w:pPr>
                  <w:r>
                    <w:rPr>
                      <w:rFonts w:hint="eastAsia"/>
                      <w:b/>
                      <w:bCs/>
                      <w:sz w:val="21"/>
                      <w:szCs w:val="21"/>
                    </w:rPr>
                    <w:t>排放限值（</w:t>
                  </w:r>
                  <w:r>
                    <w:rPr>
                      <w:b/>
                      <w:bCs/>
                      <w:sz w:val="21"/>
                      <w:szCs w:val="21"/>
                    </w:rPr>
                    <w:t>μg/m</w:t>
                  </w:r>
                  <w:r>
                    <w:rPr>
                      <w:b/>
                      <w:bCs/>
                      <w:sz w:val="21"/>
                      <w:szCs w:val="21"/>
                      <w:vertAlign w:val="superscript"/>
                    </w:rPr>
                    <w:t>3</w:t>
                  </w:r>
                  <w:r>
                    <w:rPr>
                      <w:rFonts w:hint="eastAsia"/>
                      <w:b/>
                      <w:bCs/>
                      <w:sz w:val="21"/>
                      <w:szCs w:val="21"/>
                    </w:rPr>
                    <w:t>）</w:t>
                  </w:r>
                </w:p>
              </w:tc>
            </w:tr>
            <w:tr w14:paraId="17298C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65" w:type="dxa"/>
                  <w:vMerge w:val="restart"/>
                  <w:tcBorders>
                    <w:tl2br w:val="nil"/>
                    <w:tr2bl w:val="nil"/>
                  </w:tcBorders>
                  <w:vAlign w:val="center"/>
                </w:tcPr>
                <w:p w14:paraId="166B16E8">
                  <w:pPr>
                    <w:adjustRightInd w:val="0"/>
                    <w:snapToGrid w:val="0"/>
                    <w:spacing w:line="240" w:lineRule="auto"/>
                    <w:ind w:firstLine="0" w:firstLineChars="0"/>
                    <w:jc w:val="center"/>
                    <w:rPr>
                      <w:sz w:val="21"/>
                      <w:szCs w:val="21"/>
                    </w:rPr>
                  </w:pPr>
                  <w:r>
                    <w:rPr>
                      <w:rFonts w:hint="eastAsia"/>
                      <w:sz w:val="21"/>
                      <w:szCs w:val="21"/>
                    </w:rPr>
                    <w:t>项目下风向约200m处 1#</w:t>
                  </w:r>
                </w:p>
              </w:tc>
              <w:tc>
                <w:tcPr>
                  <w:tcW w:w="2084" w:type="dxa"/>
                  <w:tcBorders>
                    <w:tl2br w:val="nil"/>
                    <w:tr2bl w:val="nil"/>
                  </w:tcBorders>
                  <w:vAlign w:val="center"/>
                </w:tcPr>
                <w:p w14:paraId="255A7AEE">
                  <w:pPr>
                    <w:adjustRightInd w:val="0"/>
                    <w:snapToGrid w:val="0"/>
                    <w:spacing w:line="240" w:lineRule="auto"/>
                    <w:ind w:firstLine="0" w:firstLineChars="0"/>
                    <w:jc w:val="center"/>
                    <w:rPr>
                      <w:sz w:val="21"/>
                      <w:szCs w:val="21"/>
                    </w:rPr>
                  </w:pPr>
                  <w:r>
                    <w:rPr>
                      <w:rFonts w:hint="eastAsia"/>
                      <w:sz w:val="21"/>
                      <w:szCs w:val="21"/>
                    </w:rPr>
                    <w:t>2026.06.15</w:t>
                  </w:r>
                </w:p>
              </w:tc>
              <w:tc>
                <w:tcPr>
                  <w:tcW w:w="1183" w:type="dxa"/>
                  <w:vMerge w:val="restart"/>
                  <w:tcBorders>
                    <w:tl2br w:val="nil"/>
                    <w:tr2bl w:val="nil"/>
                  </w:tcBorders>
                  <w:vAlign w:val="center"/>
                </w:tcPr>
                <w:p w14:paraId="1B2ABC3A">
                  <w:pPr>
                    <w:adjustRightInd w:val="0"/>
                    <w:snapToGrid w:val="0"/>
                    <w:spacing w:line="240" w:lineRule="auto"/>
                    <w:ind w:firstLine="0" w:firstLineChars="0"/>
                    <w:jc w:val="center"/>
                    <w:rPr>
                      <w:sz w:val="21"/>
                      <w:szCs w:val="21"/>
                    </w:rPr>
                  </w:pPr>
                  <w:r>
                    <w:rPr>
                      <w:sz w:val="21"/>
                      <w:szCs w:val="21"/>
                    </w:rPr>
                    <w:t>总悬浮颗粒物</w:t>
                  </w:r>
                  <w:r>
                    <w:rPr>
                      <w:rFonts w:hint="eastAsia"/>
                      <w:sz w:val="21"/>
                      <w:szCs w:val="21"/>
                    </w:rPr>
                    <w:t>（TSP）</w:t>
                  </w:r>
                </w:p>
              </w:tc>
              <w:tc>
                <w:tcPr>
                  <w:tcW w:w="2183" w:type="dxa"/>
                  <w:tcBorders>
                    <w:tl2br w:val="nil"/>
                    <w:tr2bl w:val="nil"/>
                  </w:tcBorders>
                  <w:vAlign w:val="center"/>
                </w:tcPr>
                <w:p w14:paraId="5183C6A6">
                  <w:pPr>
                    <w:adjustRightInd w:val="0"/>
                    <w:snapToGrid w:val="0"/>
                    <w:spacing w:line="240" w:lineRule="auto"/>
                    <w:ind w:firstLine="0" w:firstLineChars="0"/>
                    <w:jc w:val="center"/>
                    <w:rPr>
                      <w:sz w:val="21"/>
                      <w:szCs w:val="21"/>
                    </w:rPr>
                  </w:pPr>
                  <w:r>
                    <w:rPr>
                      <w:sz w:val="21"/>
                      <w:szCs w:val="21"/>
                    </w:rPr>
                    <w:t>0.131</w:t>
                  </w:r>
                </w:p>
              </w:tc>
              <w:tc>
                <w:tcPr>
                  <w:tcW w:w="1842" w:type="dxa"/>
                  <w:vMerge w:val="restart"/>
                  <w:tcBorders>
                    <w:tl2br w:val="nil"/>
                    <w:tr2bl w:val="nil"/>
                  </w:tcBorders>
                  <w:vAlign w:val="center"/>
                </w:tcPr>
                <w:p w14:paraId="4768B661">
                  <w:pPr>
                    <w:adjustRightInd w:val="0"/>
                    <w:snapToGrid w:val="0"/>
                    <w:spacing w:line="240" w:lineRule="auto"/>
                    <w:ind w:firstLine="0" w:firstLineChars="0"/>
                    <w:jc w:val="center"/>
                    <w:rPr>
                      <w:sz w:val="21"/>
                      <w:szCs w:val="21"/>
                    </w:rPr>
                  </w:pPr>
                  <w:r>
                    <w:rPr>
                      <w:rFonts w:hint="eastAsia"/>
                      <w:sz w:val="21"/>
                      <w:szCs w:val="21"/>
                    </w:rPr>
                    <w:t>0.3</w:t>
                  </w:r>
                </w:p>
              </w:tc>
            </w:tr>
            <w:tr w14:paraId="368BD1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65" w:type="dxa"/>
                  <w:vMerge w:val="continue"/>
                  <w:tcBorders>
                    <w:tl2br w:val="nil"/>
                    <w:tr2bl w:val="nil"/>
                  </w:tcBorders>
                  <w:vAlign w:val="center"/>
                </w:tcPr>
                <w:p w14:paraId="30017A27">
                  <w:pPr>
                    <w:adjustRightInd w:val="0"/>
                    <w:snapToGrid w:val="0"/>
                    <w:spacing w:line="240" w:lineRule="auto"/>
                    <w:ind w:firstLine="0" w:firstLineChars="0"/>
                    <w:jc w:val="center"/>
                    <w:rPr>
                      <w:sz w:val="21"/>
                      <w:szCs w:val="21"/>
                    </w:rPr>
                  </w:pPr>
                </w:p>
              </w:tc>
              <w:tc>
                <w:tcPr>
                  <w:tcW w:w="2084" w:type="dxa"/>
                  <w:tcBorders>
                    <w:tl2br w:val="nil"/>
                    <w:tr2bl w:val="nil"/>
                  </w:tcBorders>
                  <w:vAlign w:val="center"/>
                </w:tcPr>
                <w:p w14:paraId="43B7F2D9">
                  <w:pPr>
                    <w:adjustRightInd w:val="0"/>
                    <w:snapToGrid w:val="0"/>
                    <w:spacing w:line="240" w:lineRule="auto"/>
                    <w:ind w:firstLine="0" w:firstLineChars="0"/>
                    <w:jc w:val="center"/>
                    <w:rPr>
                      <w:sz w:val="21"/>
                      <w:szCs w:val="21"/>
                    </w:rPr>
                  </w:pPr>
                  <w:r>
                    <w:rPr>
                      <w:rFonts w:hint="eastAsia"/>
                      <w:sz w:val="21"/>
                      <w:szCs w:val="21"/>
                    </w:rPr>
                    <w:t>2026.06.16</w:t>
                  </w:r>
                </w:p>
              </w:tc>
              <w:tc>
                <w:tcPr>
                  <w:tcW w:w="1183" w:type="dxa"/>
                  <w:vMerge w:val="continue"/>
                  <w:tcBorders>
                    <w:tl2br w:val="nil"/>
                    <w:tr2bl w:val="nil"/>
                  </w:tcBorders>
                  <w:vAlign w:val="center"/>
                </w:tcPr>
                <w:p w14:paraId="02EC5005">
                  <w:pPr>
                    <w:adjustRightInd w:val="0"/>
                    <w:snapToGrid w:val="0"/>
                    <w:spacing w:line="240" w:lineRule="auto"/>
                    <w:ind w:firstLine="0" w:firstLineChars="0"/>
                    <w:jc w:val="center"/>
                    <w:rPr>
                      <w:sz w:val="21"/>
                      <w:szCs w:val="21"/>
                    </w:rPr>
                  </w:pPr>
                </w:p>
              </w:tc>
              <w:tc>
                <w:tcPr>
                  <w:tcW w:w="2183" w:type="dxa"/>
                  <w:tcBorders>
                    <w:tl2br w:val="nil"/>
                    <w:tr2bl w:val="nil"/>
                  </w:tcBorders>
                  <w:vAlign w:val="center"/>
                </w:tcPr>
                <w:p w14:paraId="3EC6737C">
                  <w:pPr>
                    <w:adjustRightInd w:val="0"/>
                    <w:snapToGrid w:val="0"/>
                    <w:spacing w:line="240" w:lineRule="auto"/>
                    <w:ind w:firstLine="0" w:firstLineChars="0"/>
                    <w:jc w:val="center"/>
                    <w:rPr>
                      <w:sz w:val="21"/>
                      <w:szCs w:val="21"/>
                    </w:rPr>
                  </w:pPr>
                  <w:r>
                    <w:rPr>
                      <w:sz w:val="21"/>
                      <w:szCs w:val="21"/>
                    </w:rPr>
                    <w:t>0.125</w:t>
                  </w:r>
                </w:p>
              </w:tc>
              <w:tc>
                <w:tcPr>
                  <w:tcW w:w="1842" w:type="dxa"/>
                  <w:vMerge w:val="continue"/>
                  <w:tcBorders>
                    <w:tl2br w:val="nil"/>
                    <w:tr2bl w:val="nil"/>
                  </w:tcBorders>
                  <w:vAlign w:val="center"/>
                </w:tcPr>
                <w:p w14:paraId="5E492135">
                  <w:pPr>
                    <w:adjustRightInd w:val="0"/>
                    <w:snapToGrid w:val="0"/>
                    <w:spacing w:line="240" w:lineRule="auto"/>
                    <w:ind w:firstLine="0" w:firstLineChars="0"/>
                    <w:jc w:val="center"/>
                    <w:rPr>
                      <w:sz w:val="21"/>
                      <w:szCs w:val="21"/>
                    </w:rPr>
                  </w:pPr>
                </w:p>
              </w:tc>
            </w:tr>
            <w:tr w14:paraId="270EA6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65" w:type="dxa"/>
                  <w:vMerge w:val="continue"/>
                  <w:tcBorders>
                    <w:tl2br w:val="nil"/>
                    <w:tr2bl w:val="nil"/>
                  </w:tcBorders>
                  <w:vAlign w:val="center"/>
                </w:tcPr>
                <w:p w14:paraId="2CFDC194">
                  <w:pPr>
                    <w:adjustRightInd w:val="0"/>
                    <w:snapToGrid w:val="0"/>
                    <w:spacing w:line="240" w:lineRule="auto"/>
                    <w:ind w:firstLine="0" w:firstLineChars="0"/>
                    <w:jc w:val="center"/>
                    <w:rPr>
                      <w:sz w:val="21"/>
                      <w:szCs w:val="21"/>
                    </w:rPr>
                  </w:pPr>
                </w:p>
              </w:tc>
              <w:tc>
                <w:tcPr>
                  <w:tcW w:w="2084" w:type="dxa"/>
                  <w:tcBorders>
                    <w:tl2br w:val="nil"/>
                    <w:tr2bl w:val="nil"/>
                  </w:tcBorders>
                  <w:vAlign w:val="center"/>
                </w:tcPr>
                <w:p w14:paraId="1DF82582">
                  <w:pPr>
                    <w:adjustRightInd w:val="0"/>
                    <w:snapToGrid w:val="0"/>
                    <w:spacing w:line="240" w:lineRule="auto"/>
                    <w:ind w:firstLine="0" w:firstLineChars="0"/>
                    <w:jc w:val="center"/>
                    <w:rPr>
                      <w:sz w:val="21"/>
                      <w:szCs w:val="21"/>
                    </w:rPr>
                  </w:pPr>
                  <w:r>
                    <w:rPr>
                      <w:rFonts w:hint="eastAsia"/>
                      <w:sz w:val="21"/>
                      <w:szCs w:val="21"/>
                    </w:rPr>
                    <w:t>2026.06.17</w:t>
                  </w:r>
                </w:p>
              </w:tc>
              <w:tc>
                <w:tcPr>
                  <w:tcW w:w="1183" w:type="dxa"/>
                  <w:vMerge w:val="continue"/>
                  <w:tcBorders>
                    <w:tl2br w:val="nil"/>
                    <w:tr2bl w:val="nil"/>
                  </w:tcBorders>
                  <w:vAlign w:val="center"/>
                </w:tcPr>
                <w:p w14:paraId="53C39E6D">
                  <w:pPr>
                    <w:adjustRightInd w:val="0"/>
                    <w:snapToGrid w:val="0"/>
                    <w:spacing w:line="240" w:lineRule="auto"/>
                    <w:ind w:firstLine="0" w:firstLineChars="0"/>
                    <w:jc w:val="center"/>
                    <w:rPr>
                      <w:sz w:val="21"/>
                      <w:szCs w:val="21"/>
                    </w:rPr>
                  </w:pPr>
                </w:p>
              </w:tc>
              <w:tc>
                <w:tcPr>
                  <w:tcW w:w="2183" w:type="dxa"/>
                  <w:tcBorders>
                    <w:tl2br w:val="nil"/>
                    <w:tr2bl w:val="nil"/>
                  </w:tcBorders>
                  <w:vAlign w:val="center"/>
                </w:tcPr>
                <w:p w14:paraId="12A1B044">
                  <w:pPr>
                    <w:adjustRightInd w:val="0"/>
                    <w:snapToGrid w:val="0"/>
                    <w:spacing w:line="240" w:lineRule="auto"/>
                    <w:ind w:firstLine="0" w:firstLineChars="0"/>
                    <w:jc w:val="center"/>
                    <w:rPr>
                      <w:sz w:val="21"/>
                      <w:szCs w:val="21"/>
                    </w:rPr>
                  </w:pPr>
                  <w:r>
                    <w:rPr>
                      <w:sz w:val="21"/>
                      <w:szCs w:val="21"/>
                    </w:rPr>
                    <w:t>0.119</w:t>
                  </w:r>
                </w:p>
              </w:tc>
              <w:tc>
                <w:tcPr>
                  <w:tcW w:w="1842" w:type="dxa"/>
                  <w:vMerge w:val="continue"/>
                  <w:tcBorders>
                    <w:tl2br w:val="nil"/>
                    <w:tr2bl w:val="nil"/>
                  </w:tcBorders>
                  <w:vAlign w:val="center"/>
                </w:tcPr>
                <w:p w14:paraId="5FF3CD0F">
                  <w:pPr>
                    <w:adjustRightInd w:val="0"/>
                    <w:snapToGrid w:val="0"/>
                    <w:spacing w:line="240" w:lineRule="auto"/>
                    <w:ind w:firstLine="0" w:firstLineChars="0"/>
                    <w:jc w:val="center"/>
                    <w:rPr>
                      <w:sz w:val="21"/>
                      <w:szCs w:val="21"/>
                    </w:rPr>
                  </w:pPr>
                </w:p>
              </w:tc>
            </w:tr>
            <w:tr w14:paraId="14E5EB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jc w:val="center"/>
              </w:trPr>
              <w:tc>
                <w:tcPr>
                  <w:tcW w:w="1265" w:type="dxa"/>
                  <w:vMerge w:val="continue"/>
                  <w:tcBorders>
                    <w:tl2br w:val="nil"/>
                    <w:tr2bl w:val="nil"/>
                  </w:tcBorders>
                  <w:vAlign w:val="center"/>
                </w:tcPr>
                <w:p w14:paraId="781CCF60">
                  <w:pPr>
                    <w:adjustRightInd w:val="0"/>
                    <w:snapToGrid w:val="0"/>
                    <w:spacing w:line="240" w:lineRule="auto"/>
                    <w:ind w:firstLine="0" w:firstLineChars="0"/>
                    <w:jc w:val="center"/>
                    <w:rPr>
                      <w:sz w:val="21"/>
                      <w:szCs w:val="21"/>
                    </w:rPr>
                  </w:pPr>
                </w:p>
              </w:tc>
              <w:tc>
                <w:tcPr>
                  <w:tcW w:w="2084" w:type="dxa"/>
                  <w:tcBorders>
                    <w:tl2br w:val="nil"/>
                    <w:tr2bl w:val="nil"/>
                  </w:tcBorders>
                  <w:vAlign w:val="center"/>
                </w:tcPr>
                <w:p w14:paraId="044C8D3D">
                  <w:pPr>
                    <w:adjustRightInd w:val="0"/>
                    <w:snapToGrid w:val="0"/>
                    <w:spacing w:line="240" w:lineRule="auto"/>
                    <w:ind w:firstLine="0" w:firstLineChars="0"/>
                    <w:jc w:val="center"/>
                    <w:rPr>
                      <w:sz w:val="21"/>
                      <w:szCs w:val="21"/>
                    </w:rPr>
                  </w:pPr>
                  <w:r>
                    <w:rPr>
                      <w:rFonts w:hint="eastAsia"/>
                      <w:sz w:val="21"/>
                      <w:szCs w:val="21"/>
                    </w:rPr>
                    <w:t>2026.06.18</w:t>
                  </w:r>
                </w:p>
              </w:tc>
              <w:tc>
                <w:tcPr>
                  <w:tcW w:w="1183" w:type="dxa"/>
                  <w:vMerge w:val="continue"/>
                  <w:tcBorders>
                    <w:tl2br w:val="nil"/>
                    <w:tr2bl w:val="nil"/>
                  </w:tcBorders>
                  <w:vAlign w:val="center"/>
                </w:tcPr>
                <w:p w14:paraId="07D31E47">
                  <w:pPr>
                    <w:adjustRightInd w:val="0"/>
                    <w:snapToGrid w:val="0"/>
                    <w:spacing w:line="240" w:lineRule="auto"/>
                    <w:ind w:firstLine="0" w:firstLineChars="0"/>
                    <w:jc w:val="center"/>
                    <w:rPr>
                      <w:sz w:val="21"/>
                      <w:szCs w:val="21"/>
                    </w:rPr>
                  </w:pPr>
                </w:p>
              </w:tc>
              <w:tc>
                <w:tcPr>
                  <w:tcW w:w="2183" w:type="dxa"/>
                  <w:tcBorders>
                    <w:tl2br w:val="nil"/>
                    <w:tr2bl w:val="nil"/>
                  </w:tcBorders>
                  <w:vAlign w:val="center"/>
                </w:tcPr>
                <w:p w14:paraId="493D3759">
                  <w:pPr>
                    <w:adjustRightInd w:val="0"/>
                    <w:snapToGrid w:val="0"/>
                    <w:spacing w:line="240" w:lineRule="auto"/>
                    <w:ind w:firstLine="0" w:firstLineChars="0"/>
                    <w:jc w:val="center"/>
                    <w:rPr>
                      <w:sz w:val="21"/>
                      <w:szCs w:val="21"/>
                    </w:rPr>
                  </w:pPr>
                  <w:r>
                    <w:rPr>
                      <w:sz w:val="21"/>
                      <w:szCs w:val="21"/>
                    </w:rPr>
                    <w:t>0.121</w:t>
                  </w:r>
                </w:p>
              </w:tc>
              <w:tc>
                <w:tcPr>
                  <w:tcW w:w="1842" w:type="dxa"/>
                  <w:vMerge w:val="continue"/>
                  <w:tcBorders>
                    <w:tl2br w:val="nil"/>
                    <w:tr2bl w:val="nil"/>
                  </w:tcBorders>
                  <w:vAlign w:val="center"/>
                </w:tcPr>
                <w:p w14:paraId="4C813BF4">
                  <w:pPr>
                    <w:adjustRightInd w:val="0"/>
                    <w:snapToGrid w:val="0"/>
                    <w:spacing w:line="240" w:lineRule="auto"/>
                    <w:ind w:firstLine="0" w:firstLineChars="0"/>
                    <w:jc w:val="center"/>
                    <w:rPr>
                      <w:sz w:val="21"/>
                      <w:szCs w:val="21"/>
                    </w:rPr>
                  </w:pPr>
                </w:p>
              </w:tc>
            </w:tr>
            <w:tr w14:paraId="4C985A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jc w:val="center"/>
              </w:trPr>
              <w:tc>
                <w:tcPr>
                  <w:tcW w:w="1265" w:type="dxa"/>
                  <w:vMerge w:val="continue"/>
                  <w:tcBorders>
                    <w:tl2br w:val="nil"/>
                    <w:tr2bl w:val="nil"/>
                  </w:tcBorders>
                  <w:vAlign w:val="center"/>
                </w:tcPr>
                <w:p w14:paraId="538F95EE">
                  <w:pPr>
                    <w:adjustRightInd w:val="0"/>
                    <w:snapToGrid w:val="0"/>
                    <w:spacing w:line="240" w:lineRule="auto"/>
                    <w:ind w:firstLine="0" w:firstLineChars="0"/>
                    <w:jc w:val="center"/>
                    <w:rPr>
                      <w:sz w:val="21"/>
                      <w:szCs w:val="21"/>
                    </w:rPr>
                  </w:pPr>
                </w:p>
              </w:tc>
              <w:tc>
                <w:tcPr>
                  <w:tcW w:w="2084" w:type="dxa"/>
                  <w:tcBorders>
                    <w:tl2br w:val="nil"/>
                    <w:tr2bl w:val="nil"/>
                  </w:tcBorders>
                  <w:vAlign w:val="center"/>
                </w:tcPr>
                <w:p w14:paraId="4677A0E1">
                  <w:pPr>
                    <w:adjustRightInd w:val="0"/>
                    <w:snapToGrid w:val="0"/>
                    <w:spacing w:line="240" w:lineRule="auto"/>
                    <w:ind w:firstLine="0" w:firstLineChars="0"/>
                    <w:jc w:val="center"/>
                    <w:rPr>
                      <w:sz w:val="21"/>
                      <w:szCs w:val="21"/>
                    </w:rPr>
                  </w:pPr>
                  <w:r>
                    <w:rPr>
                      <w:rFonts w:hint="eastAsia"/>
                      <w:sz w:val="21"/>
                      <w:szCs w:val="21"/>
                    </w:rPr>
                    <w:t>2026.06.19</w:t>
                  </w:r>
                </w:p>
              </w:tc>
              <w:tc>
                <w:tcPr>
                  <w:tcW w:w="1183" w:type="dxa"/>
                  <w:vMerge w:val="continue"/>
                  <w:tcBorders>
                    <w:tl2br w:val="nil"/>
                    <w:tr2bl w:val="nil"/>
                  </w:tcBorders>
                  <w:vAlign w:val="center"/>
                </w:tcPr>
                <w:p w14:paraId="7663B446">
                  <w:pPr>
                    <w:adjustRightInd w:val="0"/>
                    <w:snapToGrid w:val="0"/>
                    <w:spacing w:line="240" w:lineRule="auto"/>
                    <w:ind w:firstLine="0" w:firstLineChars="0"/>
                    <w:jc w:val="center"/>
                    <w:rPr>
                      <w:sz w:val="21"/>
                      <w:szCs w:val="21"/>
                    </w:rPr>
                  </w:pPr>
                </w:p>
              </w:tc>
              <w:tc>
                <w:tcPr>
                  <w:tcW w:w="2183" w:type="dxa"/>
                  <w:tcBorders>
                    <w:tl2br w:val="nil"/>
                    <w:tr2bl w:val="nil"/>
                  </w:tcBorders>
                  <w:vAlign w:val="center"/>
                </w:tcPr>
                <w:p w14:paraId="6A07C7C8">
                  <w:pPr>
                    <w:adjustRightInd w:val="0"/>
                    <w:snapToGrid w:val="0"/>
                    <w:spacing w:line="240" w:lineRule="auto"/>
                    <w:ind w:firstLine="0" w:firstLineChars="0"/>
                    <w:jc w:val="center"/>
                    <w:rPr>
                      <w:sz w:val="21"/>
                      <w:szCs w:val="21"/>
                    </w:rPr>
                  </w:pPr>
                  <w:r>
                    <w:rPr>
                      <w:sz w:val="21"/>
                      <w:szCs w:val="21"/>
                    </w:rPr>
                    <w:t>0.128</w:t>
                  </w:r>
                </w:p>
              </w:tc>
              <w:tc>
                <w:tcPr>
                  <w:tcW w:w="1842" w:type="dxa"/>
                  <w:vMerge w:val="continue"/>
                  <w:tcBorders>
                    <w:tl2br w:val="nil"/>
                    <w:tr2bl w:val="nil"/>
                  </w:tcBorders>
                  <w:vAlign w:val="center"/>
                </w:tcPr>
                <w:p w14:paraId="4788224A">
                  <w:pPr>
                    <w:adjustRightInd w:val="0"/>
                    <w:snapToGrid w:val="0"/>
                    <w:spacing w:line="240" w:lineRule="auto"/>
                    <w:ind w:firstLine="0" w:firstLineChars="0"/>
                    <w:jc w:val="center"/>
                    <w:rPr>
                      <w:sz w:val="21"/>
                      <w:szCs w:val="21"/>
                    </w:rPr>
                  </w:pPr>
                </w:p>
              </w:tc>
            </w:tr>
            <w:tr w14:paraId="13A004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jc w:val="center"/>
              </w:trPr>
              <w:tc>
                <w:tcPr>
                  <w:tcW w:w="1265" w:type="dxa"/>
                  <w:vMerge w:val="continue"/>
                  <w:tcBorders>
                    <w:tl2br w:val="nil"/>
                    <w:tr2bl w:val="nil"/>
                  </w:tcBorders>
                  <w:vAlign w:val="center"/>
                </w:tcPr>
                <w:p w14:paraId="0BD5F198">
                  <w:pPr>
                    <w:adjustRightInd w:val="0"/>
                    <w:snapToGrid w:val="0"/>
                    <w:spacing w:line="240" w:lineRule="auto"/>
                    <w:ind w:firstLine="0" w:firstLineChars="0"/>
                    <w:jc w:val="center"/>
                    <w:rPr>
                      <w:sz w:val="21"/>
                      <w:szCs w:val="21"/>
                    </w:rPr>
                  </w:pPr>
                </w:p>
              </w:tc>
              <w:tc>
                <w:tcPr>
                  <w:tcW w:w="2084" w:type="dxa"/>
                  <w:tcBorders>
                    <w:tl2br w:val="nil"/>
                    <w:tr2bl w:val="nil"/>
                  </w:tcBorders>
                  <w:vAlign w:val="center"/>
                </w:tcPr>
                <w:p w14:paraId="29A2140F">
                  <w:pPr>
                    <w:adjustRightInd w:val="0"/>
                    <w:snapToGrid w:val="0"/>
                    <w:spacing w:line="240" w:lineRule="auto"/>
                    <w:ind w:firstLine="0" w:firstLineChars="0"/>
                    <w:jc w:val="center"/>
                    <w:rPr>
                      <w:sz w:val="21"/>
                      <w:szCs w:val="21"/>
                    </w:rPr>
                  </w:pPr>
                  <w:r>
                    <w:rPr>
                      <w:rFonts w:hint="eastAsia"/>
                      <w:sz w:val="21"/>
                      <w:szCs w:val="21"/>
                    </w:rPr>
                    <w:t>2026.06.20</w:t>
                  </w:r>
                </w:p>
              </w:tc>
              <w:tc>
                <w:tcPr>
                  <w:tcW w:w="1183" w:type="dxa"/>
                  <w:vMerge w:val="continue"/>
                  <w:tcBorders>
                    <w:tl2br w:val="nil"/>
                    <w:tr2bl w:val="nil"/>
                  </w:tcBorders>
                  <w:vAlign w:val="center"/>
                </w:tcPr>
                <w:p w14:paraId="49E853FF">
                  <w:pPr>
                    <w:adjustRightInd w:val="0"/>
                    <w:snapToGrid w:val="0"/>
                    <w:spacing w:line="240" w:lineRule="auto"/>
                    <w:ind w:firstLine="0" w:firstLineChars="0"/>
                    <w:jc w:val="center"/>
                    <w:rPr>
                      <w:sz w:val="21"/>
                      <w:szCs w:val="21"/>
                    </w:rPr>
                  </w:pPr>
                </w:p>
              </w:tc>
              <w:tc>
                <w:tcPr>
                  <w:tcW w:w="2183" w:type="dxa"/>
                  <w:tcBorders>
                    <w:tl2br w:val="nil"/>
                    <w:tr2bl w:val="nil"/>
                  </w:tcBorders>
                  <w:vAlign w:val="center"/>
                </w:tcPr>
                <w:p w14:paraId="70EB4197">
                  <w:pPr>
                    <w:adjustRightInd w:val="0"/>
                    <w:snapToGrid w:val="0"/>
                    <w:spacing w:line="240" w:lineRule="auto"/>
                    <w:ind w:firstLine="0" w:firstLineChars="0"/>
                    <w:jc w:val="center"/>
                    <w:rPr>
                      <w:sz w:val="21"/>
                      <w:szCs w:val="21"/>
                    </w:rPr>
                  </w:pPr>
                  <w:r>
                    <w:rPr>
                      <w:sz w:val="21"/>
                      <w:szCs w:val="21"/>
                    </w:rPr>
                    <w:t>0.116</w:t>
                  </w:r>
                </w:p>
              </w:tc>
              <w:tc>
                <w:tcPr>
                  <w:tcW w:w="1842" w:type="dxa"/>
                  <w:vMerge w:val="continue"/>
                  <w:tcBorders>
                    <w:tl2br w:val="nil"/>
                    <w:tr2bl w:val="nil"/>
                  </w:tcBorders>
                  <w:vAlign w:val="center"/>
                </w:tcPr>
                <w:p w14:paraId="0C402389">
                  <w:pPr>
                    <w:adjustRightInd w:val="0"/>
                    <w:snapToGrid w:val="0"/>
                    <w:spacing w:line="240" w:lineRule="auto"/>
                    <w:ind w:firstLine="0" w:firstLineChars="0"/>
                    <w:jc w:val="center"/>
                    <w:rPr>
                      <w:sz w:val="21"/>
                      <w:szCs w:val="21"/>
                    </w:rPr>
                  </w:pPr>
                </w:p>
              </w:tc>
            </w:tr>
            <w:tr w14:paraId="3DD641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jc w:val="center"/>
              </w:trPr>
              <w:tc>
                <w:tcPr>
                  <w:tcW w:w="1265" w:type="dxa"/>
                  <w:vMerge w:val="continue"/>
                  <w:tcBorders>
                    <w:tl2br w:val="nil"/>
                    <w:tr2bl w:val="nil"/>
                  </w:tcBorders>
                  <w:vAlign w:val="center"/>
                </w:tcPr>
                <w:p w14:paraId="7CEBCC39">
                  <w:pPr>
                    <w:adjustRightInd w:val="0"/>
                    <w:snapToGrid w:val="0"/>
                    <w:spacing w:line="240" w:lineRule="auto"/>
                    <w:ind w:firstLine="0" w:firstLineChars="0"/>
                    <w:jc w:val="center"/>
                    <w:rPr>
                      <w:sz w:val="21"/>
                      <w:szCs w:val="21"/>
                    </w:rPr>
                  </w:pPr>
                </w:p>
              </w:tc>
              <w:tc>
                <w:tcPr>
                  <w:tcW w:w="2084" w:type="dxa"/>
                  <w:tcBorders>
                    <w:tl2br w:val="nil"/>
                    <w:tr2bl w:val="nil"/>
                  </w:tcBorders>
                  <w:vAlign w:val="center"/>
                </w:tcPr>
                <w:p w14:paraId="7D06AC00">
                  <w:pPr>
                    <w:adjustRightInd w:val="0"/>
                    <w:snapToGrid w:val="0"/>
                    <w:spacing w:line="240" w:lineRule="auto"/>
                    <w:ind w:firstLine="0" w:firstLineChars="0"/>
                    <w:jc w:val="center"/>
                    <w:rPr>
                      <w:sz w:val="21"/>
                      <w:szCs w:val="21"/>
                    </w:rPr>
                  </w:pPr>
                  <w:r>
                    <w:rPr>
                      <w:rFonts w:hint="eastAsia"/>
                      <w:sz w:val="21"/>
                      <w:szCs w:val="21"/>
                    </w:rPr>
                    <w:t>2026.06.21</w:t>
                  </w:r>
                </w:p>
              </w:tc>
              <w:tc>
                <w:tcPr>
                  <w:tcW w:w="1183" w:type="dxa"/>
                  <w:vMerge w:val="continue"/>
                  <w:tcBorders>
                    <w:tl2br w:val="nil"/>
                    <w:tr2bl w:val="nil"/>
                  </w:tcBorders>
                  <w:vAlign w:val="center"/>
                </w:tcPr>
                <w:p w14:paraId="0401819A">
                  <w:pPr>
                    <w:adjustRightInd w:val="0"/>
                    <w:snapToGrid w:val="0"/>
                    <w:spacing w:line="240" w:lineRule="auto"/>
                    <w:ind w:firstLine="0" w:firstLineChars="0"/>
                    <w:jc w:val="center"/>
                    <w:rPr>
                      <w:sz w:val="21"/>
                      <w:szCs w:val="21"/>
                    </w:rPr>
                  </w:pPr>
                </w:p>
              </w:tc>
              <w:tc>
                <w:tcPr>
                  <w:tcW w:w="2183" w:type="dxa"/>
                  <w:tcBorders>
                    <w:tl2br w:val="nil"/>
                    <w:tr2bl w:val="nil"/>
                  </w:tcBorders>
                  <w:vAlign w:val="center"/>
                </w:tcPr>
                <w:p w14:paraId="48D59F53">
                  <w:pPr>
                    <w:adjustRightInd w:val="0"/>
                    <w:snapToGrid w:val="0"/>
                    <w:spacing w:line="240" w:lineRule="auto"/>
                    <w:ind w:firstLine="0" w:firstLineChars="0"/>
                    <w:jc w:val="center"/>
                    <w:rPr>
                      <w:sz w:val="21"/>
                      <w:szCs w:val="21"/>
                    </w:rPr>
                  </w:pPr>
                  <w:r>
                    <w:rPr>
                      <w:sz w:val="21"/>
                      <w:szCs w:val="21"/>
                    </w:rPr>
                    <w:t>0.127</w:t>
                  </w:r>
                </w:p>
              </w:tc>
              <w:tc>
                <w:tcPr>
                  <w:tcW w:w="1842" w:type="dxa"/>
                  <w:vMerge w:val="continue"/>
                  <w:tcBorders>
                    <w:tl2br w:val="nil"/>
                    <w:tr2bl w:val="nil"/>
                  </w:tcBorders>
                  <w:vAlign w:val="center"/>
                </w:tcPr>
                <w:p w14:paraId="464E1DB3">
                  <w:pPr>
                    <w:adjustRightInd w:val="0"/>
                    <w:snapToGrid w:val="0"/>
                    <w:spacing w:line="240" w:lineRule="auto"/>
                    <w:ind w:firstLine="0" w:firstLineChars="0"/>
                    <w:jc w:val="center"/>
                    <w:rPr>
                      <w:sz w:val="21"/>
                      <w:szCs w:val="21"/>
                    </w:rPr>
                  </w:pPr>
                </w:p>
              </w:tc>
            </w:tr>
          </w:tbl>
          <w:p w14:paraId="5F8C83EB">
            <w:pPr>
              <w:ind w:firstLine="480"/>
            </w:pPr>
            <w:r>
              <w:rPr>
                <w:rFonts w:hint="eastAsia"/>
              </w:rPr>
              <w:t>根据上表可知，项目区域TSP现状浓度满足《环境空气质量标准》（GB3095-202026）过度阶段二级标准限值要求。</w:t>
            </w:r>
          </w:p>
          <w:p w14:paraId="2CADC9C8">
            <w:pPr>
              <w:ind w:firstLine="0" w:firstLineChars="0"/>
              <w:rPr>
                <w:b/>
                <w:bCs/>
              </w:rPr>
            </w:pPr>
            <w:r>
              <w:rPr>
                <w:rFonts w:hint="eastAsia"/>
                <w:b/>
                <w:bCs/>
              </w:rPr>
              <w:t>2、地表水环境质量现状</w:t>
            </w:r>
          </w:p>
          <w:p w14:paraId="2222B75A">
            <w:pPr>
              <w:ind w:firstLine="480"/>
            </w:pPr>
            <w:r>
              <w:rPr>
                <w:rFonts w:hint="eastAsia"/>
              </w:rPr>
              <w:t>（1）区域环境质量现状</w:t>
            </w:r>
          </w:p>
          <w:p w14:paraId="28E0CC4B">
            <w:pPr>
              <w:ind w:firstLine="480"/>
            </w:pPr>
            <w:r>
              <w:rPr>
                <w:rFonts w:hint="eastAsia"/>
              </w:rPr>
              <w:t>2025年，巴河总体水质为优，10个国省控断面和2个入境断面均达到或优于类水质。6个国控断面I-Il类水质占比100%，4个省控断面I-Il类水质占比75%，仅徐家河断面水质为</w:t>
            </w:r>
            <w:r>
              <w:t>Ⅲ</w:t>
            </w:r>
            <w:r>
              <w:rPr>
                <w:rFonts w:hint="eastAsia"/>
              </w:rPr>
              <w:t>类。</w:t>
            </w:r>
          </w:p>
          <w:p w14:paraId="530A0F7E">
            <w:pPr>
              <w:ind w:firstLine="480"/>
            </w:pPr>
            <w:r>
              <w:rPr>
                <w:rFonts w:hint="eastAsia"/>
              </w:rPr>
              <w:t>（2）现状监测</w:t>
            </w:r>
          </w:p>
          <w:p w14:paraId="44014218">
            <w:pPr>
              <w:ind w:firstLine="480"/>
            </w:pPr>
            <w:r>
              <w:t>为了解项目区域水环境质量现状，本次评价委托达州恒福环境监测服务有限公司</w:t>
            </w:r>
            <w:r>
              <w:rPr>
                <w:rFonts w:hint="eastAsia"/>
              </w:rPr>
              <w:t>于2026年6月15日-2026年6月17日对项目所在地檬子河和巴河进行了现状监测，监测结果如下所示。</w:t>
            </w:r>
          </w:p>
          <w:p w14:paraId="7F516D14">
            <w:pPr>
              <w:ind w:firstLine="472"/>
            </w:pPr>
            <w:r>
              <w:rPr>
                <w:spacing w:val="-2"/>
              </w:rPr>
              <w:t>监测因子：</w:t>
            </w:r>
            <w:r>
              <w:t>pH、悬浮物、氨氮、总磷、总氮、化学需氧量、五日生化需氧量、高锰酸盐指数、透明度、叶绿素a</w:t>
            </w:r>
          </w:p>
          <w:p w14:paraId="71D29AB7">
            <w:pPr>
              <w:ind w:firstLine="480"/>
            </w:pPr>
            <w:r>
              <w:rPr>
                <w:rFonts w:hint="eastAsia"/>
              </w:rPr>
              <w:t>监测点位：共设3个监测断面，详见表3-3。</w:t>
            </w:r>
          </w:p>
          <w:p w14:paraId="37864176">
            <w:pPr>
              <w:ind w:firstLine="422"/>
              <w:jc w:val="center"/>
              <w:rPr>
                <w:b/>
                <w:bCs/>
                <w:sz w:val="21"/>
                <w:szCs w:val="21"/>
              </w:rPr>
            </w:pPr>
            <w:r>
              <w:rPr>
                <w:rFonts w:hint="eastAsia"/>
                <w:b/>
                <w:bCs/>
                <w:sz w:val="21"/>
                <w:szCs w:val="21"/>
              </w:rPr>
              <w:t>表3-3  地表水环境监测点位设置一览表</w:t>
            </w:r>
          </w:p>
          <w:tbl>
            <w:tblPr>
              <w:tblStyle w:val="19"/>
              <w:tblW w:w="8572"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67"/>
              <w:gridCol w:w="3234"/>
              <w:gridCol w:w="1300"/>
              <w:gridCol w:w="3071"/>
            </w:tblGrid>
            <w:tr w14:paraId="77130A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7" w:type="dxa"/>
                  <w:tcBorders>
                    <w:tl2br w:val="nil"/>
                    <w:tr2bl w:val="nil"/>
                  </w:tcBorders>
                  <w:vAlign w:val="center"/>
                </w:tcPr>
                <w:p w14:paraId="348A23C2">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类别</w:t>
                  </w:r>
                </w:p>
              </w:tc>
              <w:tc>
                <w:tcPr>
                  <w:tcW w:w="3234" w:type="dxa"/>
                  <w:tcBorders>
                    <w:tl2br w:val="nil"/>
                    <w:tr2bl w:val="nil"/>
                  </w:tcBorders>
                  <w:vAlign w:val="center"/>
                </w:tcPr>
                <w:p w14:paraId="328AA5CA">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点位</w:t>
                  </w:r>
                  <w:r>
                    <w:rPr>
                      <w:snapToGrid w:val="0"/>
                      <w:kern w:val="0"/>
                      <w:sz w:val="21"/>
                      <w:szCs w:val="21"/>
                    </w:rPr>
                    <w:t>编号及位置</w:t>
                  </w:r>
                </w:p>
              </w:tc>
              <w:tc>
                <w:tcPr>
                  <w:tcW w:w="1300" w:type="dxa"/>
                  <w:tcBorders>
                    <w:tl2br w:val="nil"/>
                    <w:tr2bl w:val="nil"/>
                  </w:tcBorders>
                  <w:vAlign w:val="center"/>
                </w:tcPr>
                <w:p w14:paraId="0C0707D5">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检测频率</w:t>
                  </w:r>
                </w:p>
              </w:tc>
              <w:tc>
                <w:tcPr>
                  <w:tcW w:w="3071" w:type="dxa"/>
                  <w:tcBorders>
                    <w:tl2br w:val="nil"/>
                    <w:tr2bl w:val="nil"/>
                  </w:tcBorders>
                  <w:vAlign w:val="center"/>
                </w:tcPr>
                <w:p w14:paraId="04C43ADE">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执行标准</w:t>
                  </w:r>
                </w:p>
              </w:tc>
            </w:tr>
            <w:tr w14:paraId="56589D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7" w:type="dxa"/>
                  <w:vMerge w:val="restart"/>
                  <w:tcBorders>
                    <w:tl2br w:val="nil"/>
                    <w:tr2bl w:val="nil"/>
                  </w:tcBorders>
                  <w:vAlign w:val="center"/>
                </w:tcPr>
                <w:p w14:paraId="3094FE01">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地表水</w:t>
                  </w:r>
                </w:p>
              </w:tc>
              <w:tc>
                <w:tcPr>
                  <w:tcW w:w="3234" w:type="dxa"/>
                  <w:tcBorders>
                    <w:tl2br w:val="nil"/>
                    <w:tr2bl w:val="nil"/>
                  </w:tcBorders>
                  <w:vAlign w:val="center"/>
                </w:tcPr>
                <w:p w14:paraId="5EE142E7">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DBS1#，项目起点上游约300米处</w:t>
                  </w:r>
                </w:p>
              </w:tc>
              <w:tc>
                <w:tcPr>
                  <w:tcW w:w="1300" w:type="dxa"/>
                  <w:vMerge w:val="restart"/>
                  <w:tcBorders>
                    <w:tl2br w:val="nil"/>
                    <w:tr2bl w:val="nil"/>
                  </w:tcBorders>
                  <w:vAlign w:val="center"/>
                </w:tcPr>
                <w:p w14:paraId="02D09042">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监测3天，</w:t>
                  </w:r>
                </w:p>
                <w:p w14:paraId="163ADC84">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每天检测1次</w:t>
                  </w:r>
                </w:p>
              </w:tc>
              <w:tc>
                <w:tcPr>
                  <w:tcW w:w="3071" w:type="dxa"/>
                  <w:vMerge w:val="restart"/>
                  <w:tcBorders>
                    <w:tl2br w:val="nil"/>
                    <w:tr2bl w:val="nil"/>
                  </w:tcBorders>
                  <w:vAlign w:val="center"/>
                </w:tcPr>
                <w:p w14:paraId="6B2A71B2">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z w:val="21"/>
                      <w:szCs w:val="21"/>
                    </w:rPr>
                    <w:t>《地表水环境质量标准》（GB3838-2002）Ⅲ类标准限值</w:t>
                  </w:r>
                </w:p>
              </w:tc>
            </w:tr>
            <w:tr w14:paraId="392822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7" w:type="dxa"/>
                  <w:vMerge w:val="continue"/>
                  <w:tcBorders>
                    <w:tl2br w:val="nil"/>
                    <w:tr2bl w:val="nil"/>
                  </w:tcBorders>
                  <w:vAlign w:val="center"/>
                </w:tcPr>
                <w:p w14:paraId="20AF1BB6">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3234" w:type="dxa"/>
                  <w:tcBorders>
                    <w:tl2br w:val="nil"/>
                    <w:tr2bl w:val="nil"/>
                  </w:tcBorders>
                  <w:vAlign w:val="center"/>
                </w:tcPr>
                <w:p w14:paraId="78C6D8B3">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DBS2#，檬子河与巴河汇入口</w:t>
                  </w:r>
                </w:p>
              </w:tc>
              <w:tc>
                <w:tcPr>
                  <w:tcW w:w="1300" w:type="dxa"/>
                  <w:vMerge w:val="continue"/>
                  <w:tcBorders>
                    <w:tl2br w:val="nil"/>
                    <w:tr2bl w:val="nil"/>
                  </w:tcBorders>
                  <w:vAlign w:val="center"/>
                </w:tcPr>
                <w:p w14:paraId="7F744515">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3071" w:type="dxa"/>
                  <w:vMerge w:val="continue"/>
                  <w:tcBorders>
                    <w:tl2br w:val="nil"/>
                    <w:tr2bl w:val="nil"/>
                  </w:tcBorders>
                  <w:vAlign w:val="center"/>
                </w:tcPr>
                <w:p w14:paraId="2A8B32C9">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r>
            <w:tr w14:paraId="7AA72D9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7" w:type="dxa"/>
                  <w:vMerge w:val="continue"/>
                  <w:tcBorders>
                    <w:tl2br w:val="nil"/>
                    <w:tr2bl w:val="nil"/>
                  </w:tcBorders>
                  <w:vAlign w:val="center"/>
                </w:tcPr>
                <w:p w14:paraId="53B164E3">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3234" w:type="dxa"/>
                  <w:tcBorders>
                    <w:tl2br w:val="nil"/>
                    <w:tr2bl w:val="nil"/>
                  </w:tcBorders>
                  <w:vAlign w:val="center"/>
                </w:tcPr>
                <w:p w14:paraId="577834B3">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DBS3#，檬子河与巴河汇入口下游约500m处</w:t>
                  </w:r>
                </w:p>
              </w:tc>
              <w:tc>
                <w:tcPr>
                  <w:tcW w:w="1300" w:type="dxa"/>
                  <w:vMerge w:val="continue"/>
                  <w:tcBorders>
                    <w:tl2br w:val="nil"/>
                    <w:tr2bl w:val="nil"/>
                  </w:tcBorders>
                  <w:vAlign w:val="center"/>
                </w:tcPr>
                <w:p w14:paraId="398AA7DF">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3071" w:type="dxa"/>
                  <w:tcBorders>
                    <w:tl2br w:val="nil"/>
                    <w:tr2bl w:val="nil"/>
                  </w:tcBorders>
                  <w:vAlign w:val="center"/>
                </w:tcPr>
                <w:p w14:paraId="1756DE9F">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z w:val="21"/>
                      <w:szCs w:val="21"/>
                    </w:rPr>
                    <w:t>《地表水环境质量标准》（GB3838-2002）Ⅱ类标准限值</w:t>
                  </w:r>
                </w:p>
              </w:tc>
            </w:tr>
          </w:tbl>
          <w:p w14:paraId="7A8DAE2F">
            <w:pPr>
              <w:ind w:firstLine="480"/>
            </w:pPr>
            <w:r>
              <w:rPr>
                <w:rFonts w:hint="eastAsia"/>
              </w:rPr>
              <w:t>监测结果：如下所示。</w:t>
            </w:r>
          </w:p>
          <w:p w14:paraId="28602C4C">
            <w:pPr>
              <w:ind w:firstLine="422"/>
              <w:jc w:val="center"/>
              <w:rPr>
                <w:b/>
                <w:bCs/>
                <w:sz w:val="21"/>
                <w:szCs w:val="21"/>
              </w:rPr>
            </w:pPr>
            <w:r>
              <w:rPr>
                <w:rFonts w:hint="eastAsia"/>
                <w:b/>
                <w:bCs/>
                <w:sz w:val="21"/>
                <w:szCs w:val="21"/>
              </w:rPr>
              <w:t>表3-4  地表水环境监测结果一览表           单位：ml</w:t>
            </w:r>
          </w:p>
          <w:tbl>
            <w:tblPr>
              <w:tblStyle w:val="19"/>
              <w:tblW w:w="8526"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744"/>
              <w:gridCol w:w="1312"/>
              <w:gridCol w:w="1219"/>
              <w:gridCol w:w="1594"/>
              <w:gridCol w:w="919"/>
              <w:gridCol w:w="918"/>
            </w:tblGrid>
            <w:tr w14:paraId="2A7231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3" w:hRule="atLeast"/>
              </w:trPr>
              <w:tc>
                <w:tcPr>
                  <w:tcW w:w="820" w:type="dxa"/>
                  <w:vMerge w:val="restart"/>
                  <w:tcBorders>
                    <w:tl2br w:val="nil"/>
                    <w:tr2bl w:val="nil"/>
                  </w:tcBorders>
                  <w:vAlign w:val="center"/>
                </w:tcPr>
                <w:p w14:paraId="0C9036C1">
                  <w:pPr>
                    <w:widowControl/>
                    <w:autoSpaceDE w:val="0"/>
                    <w:autoSpaceDN w:val="0"/>
                    <w:adjustRightInd w:val="0"/>
                    <w:snapToGrid w:val="0"/>
                    <w:spacing w:line="240" w:lineRule="auto"/>
                    <w:ind w:firstLine="0" w:firstLineChars="0"/>
                    <w:jc w:val="center"/>
                    <w:textAlignment w:val="baseline"/>
                    <w:rPr>
                      <w:b/>
                      <w:bCs/>
                      <w:snapToGrid w:val="0"/>
                      <w:kern w:val="0"/>
                      <w:sz w:val="21"/>
                      <w:szCs w:val="21"/>
                    </w:rPr>
                  </w:pPr>
                  <w:r>
                    <w:rPr>
                      <w:rFonts w:hint="eastAsia"/>
                      <w:b/>
                      <w:bCs/>
                      <w:snapToGrid w:val="0"/>
                      <w:kern w:val="0"/>
                      <w:sz w:val="21"/>
                      <w:szCs w:val="21"/>
                    </w:rPr>
                    <w:t>采样日期</w:t>
                  </w:r>
                </w:p>
              </w:tc>
              <w:tc>
                <w:tcPr>
                  <w:tcW w:w="1744" w:type="dxa"/>
                  <w:vMerge w:val="restart"/>
                  <w:tcBorders>
                    <w:tl2br w:val="nil"/>
                    <w:tr2bl w:val="nil"/>
                  </w:tcBorders>
                  <w:vAlign w:val="center"/>
                </w:tcPr>
                <w:p w14:paraId="1391471C">
                  <w:pPr>
                    <w:widowControl/>
                    <w:autoSpaceDE w:val="0"/>
                    <w:autoSpaceDN w:val="0"/>
                    <w:adjustRightInd w:val="0"/>
                    <w:snapToGrid w:val="0"/>
                    <w:spacing w:line="240" w:lineRule="auto"/>
                    <w:ind w:firstLine="0" w:firstLineChars="0"/>
                    <w:jc w:val="center"/>
                    <w:textAlignment w:val="baseline"/>
                    <w:rPr>
                      <w:b/>
                      <w:bCs/>
                      <w:snapToGrid w:val="0"/>
                      <w:kern w:val="0"/>
                      <w:sz w:val="21"/>
                      <w:szCs w:val="21"/>
                    </w:rPr>
                  </w:pPr>
                  <w:r>
                    <w:rPr>
                      <w:rFonts w:hint="eastAsia"/>
                      <w:b/>
                      <w:bCs/>
                      <w:snapToGrid w:val="0"/>
                      <w:kern w:val="0"/>
                      <w:sz w:val="21"/>
                      <w:szCs w:val="21"/>
                    </w:rPr>
                    <w:t>监测因子</w:t>
                  </w:r>
                </w:p>
              </w:tc>
              <w:tc>
                <w:tcPr>
                  <w:tcW w:w="4125" w:type="dxa"/>
                  <w:gridSpan w:val="3"/>
                  <w:tcBorders>
                    <w:tl2br w:val="nil"/>
                    <w:tr2bl w:val="nil"/>
                  </w:tcBorders>
                  <w:vAlign w:val="center"/>
                </w:tcPr>
                <w:p w14:paraId="4761AB1A">
                  <w:pPr>
                    <w:widowControl/>
                    <w:autoSpaceDE w:val="0"/>
                    <w:autoSpaceDN w:val="0"/>
                    <w:adjustRightInd w:val="0"/>
                    <w:snapToGrid w:val="0"/>
                    <w:spacing w:line="240" w:lineRule="auto"/>
                    <w:ind w:firstLine="0" w:firstLineChars="0"/>
                    <w:jc w:val="center"/>
                    <w:textAlignment w:val="baseline"/>
                    <w:rPr>
                      <w:b/>
                      <w:bCs/>
                      <w:snapToGrid w:val="0"/>
                      <w:kern w:val="0"/>
                      <w:sz w:val="21"/>
                      <w:szCs w:val="21"/>
                    </w:rPr>
                  </w:pPr>
                  <w:r>
                    <w:rPr>
                      <w:rFonts w:hint="eastAsia"/>
                      <w:b/>
                      <w:bCs/>
                      <w:snapToGrid w:val="0"/>
                      <w:kern w:val="0"/>
                      <w:sz w:val="21"/>
                      <w:szCs w:val="21"/>
                    </w:rPr>
                    <w:t>监测点位及监测结果</w:t>
                  </w:r>
                </w:p>
              </w:tc>
              <w:tc>
                <w:tcPr>
                  <w:tcW w:w="1837" w:type="dxa"/>
                  <w:gridSpan w:val="2"/>
                  <w:tcBorders>
                    <w:tl2br w:val="nil"/>
                    <w:tr2bl w:val="nil"/>
                  </w:tcBorders>
                  <w:vAlign w:val="center"/>
                </w:tcPr>
                <w:p w14:paraId="08EDEB8D">
                  <w:pPr>
                    <w:widowControl/>
                    <w:autoSpaceDE w:val="0"/>
                    <w:autoSpaceDN w:val="0"/>
                    <w:adjustRightInd w:val="0"/>
                    <w:snapToGrid w:val="0"/>
                    <w:spacing w:line="240" w:lineRule="auto"/>
                    <w:ind w:firstLine="0" w:firstLineChars="0"/>
                    <w:jc w:val="center"/>
                    <w:textAlignment w:val="baseline"/>
                    <w:rPr>
                      <w:b/>
                      <w:bCs/>
                      <w:snapToGrid w:val="0"/>
                      <w:kern w:val="0"/>
                      <w:sz w:val="21"/>
                      <w:szCs w:val="21"/>
                    </w:rPr>
                  </w:pPr>
                  <w:r>
                    <w:rPr>
                      <w:rFonts w:hint="eastAsia"/>
                      <w:b/>
                      <w:bCs/>
                      <w:snapToGrid w:val="0"/>
                      <w:kern w:val="0"/>
                      <w:sz w:val="21"/>
                      <w:szCs w:val="21"/>
                    </w:rPr>
                    <w:t>标准限值</w:t>
                  </w:r>
                </w:p>
              </w:tc>
            </w:tr>
            <w:tr w14:paraId="4CCA23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79DA2FD6">
                  <w:pPr>
                    <w:widowControl/>
                    <w:autoSpaceDE w:val="0"/>
                    <w:autoSpaceDN w:val="0"/>
                    <w:adjustRightInd w:val="0"/>
                    <w:snapToGrid w:val="0"/>
                    <w:spacing w:line="240" w:lineRule="auto"/>
                    <w:ind w:firstLine="0" w:firstLineChars="0"/>
                    <w:jc w:val="center"/>
                    <w:textAlignment w:val="baseline"/>
                    <w:rPr>
                      <w:b/>
                      <w:bCs/>
                      <w:snapToGrid w:val="0"/>
                      <w:kern w:val="0"/>
                      <w:sz w:val="21"/>
                      <w:szCs w:val="21"/>
                    </w:rPr>
                  </w:pPr>
                </w:p>
              </w:tc>
              <w:tc>
                <w:tcPr>
                  <w:tcW w:w="1744" w:type="dxa"/>
                  <w:vMerge w:val="continue"/>
                  <w:tcBorders>
                    <w:tl2br w:val="nil"/>
                    <w:tr2bl w:val="nil"/>
                  </w:tcBorders>
                  <w:vAlign w:val="center"/>
                </w:tcPr>
                <w:p w14:paraId="426A0EEA">
                  <w:pPr>
                    <w:widowControl/>
                    <w:autoSpaceDE w:val="0"/>
                    <w:autoSpaceDN w:val="0"/>
                    <w:adjustRightInd w:val="0"/>
                    <w:snapToGrid w:val="0"/>
                    <w:spacing w:line="240" w:lineRule="auto"/>
                    <w:ind w:firstLine="0" w:firstLineChars="0"/>
                    <w:jc w:val="center"/>
                    <w:textAlignment w:val="baseline"/>
                    <w:rPr>
                      <w:b/>
                      <w:bCs/>
                      <w:snapToGrid w:val="0"/>
                      <w:kern w:val="0"/>
                      <w:sz w:val="21"/>
                      <w:szCs w:val="21"/>
                    </w:rPr>
                  </w:pPr>
                </w:p>
              </w:tc>
              <w:tc>
                <w:tcPr>
                  <w:tcW w:w="1312" w:type="dxa"/>
                  <w:tcBorders>
                    <w:tl2br w:val="nil"/>
                    <w:tr2bl w:val="nil"/>
                  </w:tcBorders>
                  <w:vAlign w:val="center"/>
                </w:tcPr>
                <w:p w14:paraId="79CB0FAE">
                  <w:pPr>
                    <w:widowControl/>
                    <w:autoSpaceDE w:val="0"/>
                    <w:autoSpaceDN w:val="0"/>
                    <w:adjustRightInd w:val="0"/>
                    <w:snapToGrid w:val="0"/>
                    <w:spacing w:line="240" w:lineRule="auto"/>
                    <w:ind w:firstLine="0" w:firstLineChars="0"/>
                    <w:jc w:val="center"/>
                    <w:textAlignment w:val="baseline"/>
                    <w:rPr>
                      <w:b/>
                      <w:bCs/>
                      <w:snapToGrid w:val="0"/>
                      <w:kern w:val="0"/>
                      <w:sz w:val="21"/>
                      <w:szCs w:val="21"/>
                    </w:rPr>
                  </w:pPr>
                  <w:r>
                    <w:rPr>
                      <w:b/>
                      <w:bCs/>
                      <w:snapToGrid w:val="0"/>
                      <w:kern w:val="0"/>
                      <w:sz w:val="21"/>
                      <w:szCs w:val="21"/>
                    </w:rPr>
                    <w:t>DBS1#，项目起点上游约300米处</w:t>
                  </w:r>
                </w:p>
              </w:tc>
              <w:tc>
                <w:tcPr>
                  <w:tcW w:w="1219" w:type="dxa"/>
                  <w:tcBorders>
                    <w:tl2br w:val="nil"/>
                    <w:tr2bl w:val="nil"/>
                  </w:tcBorders>
                  <w:vAlign w:val="center"/>
                </w:tcPr>
                <w:p w14:paraId="7E257CE5">
                  <w:pPr>
                    <w:widowControl/>
                    <w:autoSpaceDE w:val="0"/>
                    <w:autoSpaceDN w:val="0"/>
                    <w:adjustRightInd w:val="0"/>
                    <w:snapToGrid w:val="0"/>
                    <w:spacing w:line="240" w:lineRule="auto"/>
                    <w:ind w:firstLine="0" w:firstLineChars="0"/>
                    <w:jc w:val="center"/>
                    <w:textAlignment w:val="baseline"/>
                    <w:rPr>
                      <w:b/>
                      <w:bCs/>
                      <w:snapToGrid w:val="0"/>
                      <w:kern w:val="0"/>
                      <w:sz w:val="21"/>
                      <w:szCs w:val="21"/>
                    </w:rPr>
                  </w:pPr>
                  <w:r>
                    <w:rPr>
                      <w:b/>
                      <w:bCs/>
                      <w:snapToGrid w:val="0"/>
                      <w:kern w:val="0"/>
                      <w:sz w:val="21"/>
                      <w:szCs w:val="21"/>
                    </w:rPr>
                    <w:t>DBS2#，檬子河与巴河汇入口</w:t>
                  </w:r>
                </w:p>
              </w:tc>
              <w:tc>
                <w:tcPr>
                  <w:tcW w:w="1594" w:type="dxa"/>
                  <w:tcBorders>
                    <w:tl2br w:val="nil"/>
                    <w:tr2bl w:val="nil"/>
                  </w:tcBorders>
                  <w:vAlign w:val="center"/>
                </w:tcPr>
                <w:p w14:paraId="7F35529A">
                  <w:pPr>
                    <w:widowControl/>
                    <w:autoSpaceDE w:val="0"/>
                    <w:autoSpaceDN w:val="0"/>
                    <w:adjustRightInd w:val="0"/>
                    <w:snapToGrid w:val="0"/>
                    <w:spacing w:line="240" w:lineRule="auto"/>
                    <w:ind w:firstLine="0" w:firstLineChars="0"/>
                    <w:jc w:val="center"/>
                    <w:textAlignment w:val="baseline"/>
                    <w:rPr>
                      <w:b/>
                      <w:bCs/>
                      <w:snapToGrid w:val="0"/>
                      <w:kern w:val="0"/>
                      <w:sz w:val="21"/>
                      <w:szCs w:val="21"/>
                    </w:rPr>
                  </w:pPr>
                  <w:r>
                    <w:rPr>
                      <w:b/>
                      <w:bCs/>
                      <w:snapToGrid w:val="0"/>
                      <w:kern w:val="0"/>
                      <w:sz w:val="21"/>
                      <w:szCs w:val="21"/>
                    </w:rPr>
                    <w:t>DBS3#，檬子河与巴河汇入口下游约500m处</w:t>
                  </w:r>
                </w:p>
              </w:tc>
              <w:tc>
                <w:tcPr>
                  <w:tcW w:w="919" w:type="dxa"/>
                  <w:tcBorders>
                    <w:tl2br w:val="nil"/>
                    <w:tr2bl w:val="nil"/>
                  </w:tcBorders>
                  <w:vAlign w:val="center"/>
                </w:tcPr>
                <w:p w14:paraId="3BAED010">
                  <w:pPr>
                    <w:widowControl/>
                    <w:autoSpaceDE w:val="0"/>
                    <w:autoSpaceDN w:val="0"/>
                    <w:adjustRightInd w:val="0"/>
                    <w:snapToGrid w:val="0"/>
                    <w:spacing w:line="240" w:lineRule="auto"/>
                    <w:ind w:firstLine="0" w:firstLineChars="0"/>
                    <w:jc w:val="center"/>
                    <w:textAlignment w:val="baseline"/>
                    <w:rPr>
                      <w:b/>
                      <w:bCs/>
                      <w:snapToGrid w:val="0"/>
                      <w:kern w:val="0"/>
                      <w:sz w:val="21"/>
                      <w:szCs w:val="21"/>
                    </w:rPr>
                  </w:pPr>
                  <w:r>
                    <w:rPr>
                      <w:b/>
                      <w:bCs/>
                      <w:snapToGrid w:val="0"/>
                      <w:kern w:val="0"/>
                      <w:sz w:val="21"/>
                      <w:szCs w:val="21"/>
                    </w:rPr>
                    <w:t>Ⅱ类</w:t>
                  </w:r>
                </w:p>
              </w:tc>
              <w:tc>
                <w:tcPr>
                  <w:tcW w:w="918" w:type="dxa"/>
                  <w:tcBorders>
                    <w:tl2br w:val="nil"/>
                    <w:tr2bl w:val="nil"/>
                  </w:tcBorders>
                  <w:vAlign w:val="center"/>
                </w:tcPr>
                <w:p w14:paraId="3C70C1DE">
                  <w:pPr>
                    <w:widowControl/>
                    <w:autoSpaceDE w:val="0"/>
                    <w:autoSpaceDN w:val="0"/>
                    <w:adjustRightInd w:val="0"/>
                    <w:snapToGrid w:val="0"/>
                    <w:spacing w:line="240" w:lineRule="auto"/>
                    <w:ind w:firstLine="0" w:firstLineChars="0"/>
                    <w:jc w:val="center"/>
                    <w:textAlignment w:val="baseline"/>
                    <w:rPr>
                      <w:b/>
                      <w:bCs/>
                      <w:snapToGrid w:val="0"/>
                      <w:kern w:val="0"/>
                      <w:sz w:val="21"/>
                      <w:szCs w:val="21"/>
                    </w:rPr>
                  </w:pPr>
                  <w:r>
                    <w:rPr>
                      <w:b/>
                      <w:bCs/>
                      <w:snapToGrid w:val="0"/>
                      <w:kern w:val="0"/>
                      <w:sz w:val="21"/>
                      <w:szCs w:val="21"/>
                    </w:rPr>
                    <w:t>Ⅲ类</w:t>
                  </w:r>
                </w:p>
              </w:tc>
            </w:tr>
            <w:tr w14:paraId="7C0047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restart"/>
                  <w:tcBorders>
                    <w:tl2br w:val="nil"/>
                    <w:tr2bl w:val="nil"/>
                  </w:tcBorders>
                  <w:vAlign w:val="center"/>
                </w:tcPr>
                <w:p w14:paraId="01B2C61E">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2026.06.15</w:t>
                  </w:r>
                </w:p>
              </w:tc>
              <w:tc>
                <w:tcPr>
                  <w:tcW w:w="1744" w:type="dxa"/>
                  <w:tcBorders>
                    <w:tl2br w:val="nil"/>
                    <w:tr2bl w:val="nil"/>
                  </w:tcBorders>
                  <w:shd w:val="clear" w:color="auto" w:fill="auto"/>
                  <w:vAlign w:val="center"/>
                </w:tcPr>
                <w:p w14:paraId="42671C8E">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pH（无量纲）</w:t>
                  </w:r>
                </w:p>
              </w:tc>
              <w:tc>
                <w:tcPr>
                  <w:tcW w:w="1312" w:type="dxa"/>
                  <w:tcBorders>
                    <w:tl2br w:val="nil"/>
                    <w:tr2bl w:val="nil"/>
                  </w:tcBorders>
                  <w:shd w:val="clear" w:color="auto" w:fill="auto"/>
                  <w:vAlign w:val="center"/>
                </w:tcPr>
                <w:p w14:paraId="08BF3B2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7.6</w:t>
                  </w:r>
                </w:p>
              </w:tc>
              <w:tc>
                <w:tcPr>
                  <w:tcW w:w="1219" w:type="dxa"/>
                  <w:tcBorders>
                    <w:tl2br w:val="nil"/>
                    <w:tr2bl w:val="nil"/>
                  </w:tcBorders>
                  <w:shd w:val="clear" w:color="auto" w:fill="auto"/>
                  <w:vAlign w:val="center"/>
                </w:tcPr>
                <w:p w14:paraId="2B4CD6D4">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7.8</w:t>
                  </w:r>
                </w:p>
              </w:tc>
              <w:tc>
                <w:tcPr>
                  <w:tcW w:w="1594" w:type="dxa"/>
                  <w:tcBorders>
                    <w:tl2br w:val="nil"/>
                    <w:tr2bl w:val="nil"/>
                  </w:tcBorders>
                  <w:shd w:val="clear" w:color="auto" w:fill="auto"/>
                  <w:vAlign w:val="center"/>
                </w:tcPr>
                <w:p w14:paraId="3DDA5B6E">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8.1</w:t>
                  </w:r>
                </w:p>
              </w:tc>
              <w:tc>
                <w:tcPr>
                  <w:tcW w:w="1837" w:type="dxa"/>
                  <w:gridSpan w:val="2"/>
                  <w:tcBorders>
                    <w:tl2br w:val="nil"/>
                    <w:tr2bl w:val="nil"/>
                  </w:tcBorders>
                  <w:shd w:val="clear" w:color="auto" w:fill="auto"/>
                  <w:vAlign w:val="center"/>
                </w:tcPr>
                <w:p w14:paraId="7CF271AF">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6~9</w:t>
                  </w:r>
                </w:p>
              </w:tc>
            </w:tr>
            <w:tr w14:paraId="58C3C0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31D3302D">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0DEBFE4D">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化学需氧量</w:t>
                  </w:r>
                </w:p>
              </w:tc>
              <w:tc>
                <w:tcPr>
                  <w:tcW w:w="1312" w:type="dxa"/>
                  <w:tcBorders>
                    <w:tl2br w:val="nil"/>
                    <w:tr2bl w:val="nil"/>
                  </w:tcBorders>
                  <w:shd w:val="clear" w:color="auto" w:fill="auto"/>
                  <w:vAlign w:val="center"/>
                </w:tcPr>
                <w:p w14:paraId="31877C2E">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18</w:t>
                  </w:r>
                </w:p>
              </w:tc>
              <w:tc>
                <w:tcPr>
                  <w:tcW w:w="1219" w:type="dxa"/>
                  <w:tcBorders>
                    <w:tl2br w:val="nil"/>
                    <w:tr2bl w:val="nil"/>
                  </w:tcBorders>
                  <w:shd w:val="clear" w:color="auto" w:fill="auto"/>
                  <w:vAlign w:val="center"/>
                </w:tcPr>
                <w:p w14:paraId="35B3D0FF">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13</w:t>
                  </w:r>
                </w:p>
              </w:tc>
              <w:tc>
                <w:tcPr>
                  <w:tcW w:w="1594" w:type="dxa"/>
                  <w:tcBorders>
                    <w:tl2br w:val="nil"/>
                    <w:tr2bl w:val="nil"/>
                  </w:tcBorders>
                  <w:shd w:val="clear" w:color="auto" w:fill="auto"/>
                  <w:vAlign w:val="center"/>
                </w:tcPr>
                <w:p w14:paraId="4E6589C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6</w:t>
                  </w:r>
                </w:p>
              </w:tc>
              <w:tc>
                <w:tcPr>
                  <w:tcW w:w="919" w:type="dxa"/>
                  <w:tcBorders>
                    <w:tl2br w:val="nil"/>
                    <w:tr2bl w:val="nil"/>
                  </w:tcBorders>
                  <w:shd w:val="clear" w:color="auto" w:fill="auto"/>
                  <w:vAlign w:val="center"/>
                </w:tcPr>
                <w:p w14:paraId="2863412E">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20</w:t>
                  </w:r>
                </w:p>
              </w:tc>
              <w:tc>
                <w:tcPr>
                  <w:tcW w:w="918" w:type="dxa"/>
                  <w:tcBorders>
                    <w:tl2br w:val="nil"/>
                    <w:tr2bl w:val="nil"/>
                  </w:tcBorders>
                  <w:shd w:val="clear" w:color="auto" w:fill="auto"/>
                  <w:vAlign w:val="center"/>
                </w:tcPr>
                <w:p w14:paraId="02C849CC">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30</w:t>
                  </w:r>
                </w:p>
              </w:tc>
            </w:tr>
            <w:tr w14:paraId="6C24BA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68BE7F7E">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6F2E044D">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五日生化需氧量</w:t>
                  </w:r>
                </w:p>
              </w:tc>
              <w:tc>
                <w:tcPr>
                  <w:tcW w:w="1312" w:type="dxa"/>
                  <w:tcBorders>
                    <w:tl2br w:val="nil"/>
                    <w:tr2bl w:val="nil"/>
                  </w:tcBorders>
                  <w:shd w:val="clear" w:color="auto" w:fill="auto"/>
                  <w:vAlign w:val="center"/>
                </w:tcPr>
                <w:p w14:paraId="5367DDA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3.7</w:t>
                  </w:r>
                </w:p>
              </w:tc>
              <w:tc>
                <w:tcPr>
                  <w:tcW w:w="1219" w:type="dxa"/>
                  <w:tcBorders>
                    <w:tl2br w:val="nil"/>
                    <w:tr2bl w:val="nil"/>
                  </w:tcBorders>
                  <w:shd w:val="clear" w:color="auto" w:fill="auto"/>
                  <w:vAlign w:val="center"/>
                </w:tcPr>
                <w:p w14:paraId="52AF4E39">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3.3</w:t>
                  </w:r>
                </w:p>
              </w:tc>
              <w:tc>
                <w:tcPr>
                  <w:tcW w:w="1594" w:type="dxa"/>
                  <w:tcBorders>
                    <w:tl2br w:val="nil"/>
                    <w:tr2bl w:val="nil"/>
                  </w:tcBorders>
                  <w:shd w:val="clear" w:color="auto" w:fill="auto"/>
                  <w:vAlign w:val="center"/>
                </w:tcPr>
                <w:p w14:paraId="2A58B28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1.7</w:t>
                  </w:r>
                </w:p>
              </w:tc>
              <w:tc>
                <w:tcPr>
                  <w:tcW w:w="919" w:type="dxa"/>
                  <w:tcBorders>
                    <w:tl2br w:val="nil"/>
                    <w:tr2bl w:val="nil"/>
                  </w:tcBorders>
                  <w:shd w:val="clear" w:color="auto" w:fill="auto"/>
                  <w:vAlign w:val="center"/>
                </w:tcPr>
                <w:p w14:paraId="27C5CC5F">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4</w:t>
                  </w:r>
                </w:p>
              </w:tc>
              <w:tc>
                <w:tcPr>
                  <w:tcW w:w="918" w:type="dxa"/>
                  <w:tcBorders>
                    <w:tl2br w:val="nil"/>
                    <w:tr2bl w:val="nil"/>
                  </w:tcBorders>
                  <w:shd w:val="clear" w:color="auto" w:fill="auto"/>
                  <w:vAlign w:val="center"/>
                </w:tcPr>
                <w:p w14:paraId="6A3E1E7E">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6</w:t>
                  </w:r>
                </w:p>
              </w:tc>
            </w:tr>
            <w:tr w14:paraId="588600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5818EA83">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4EE981A0">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悬浮物</w:t>
                  </w:r>
                </w:p>
              </w:tc>
              <w:tc>
                <w:tcPr>
                  <w:tcW w:w="1312" w:type="dxa"/>
                  <w:tcBorders>
                    <w:tl2br w:val="nil"/>
                    <w:tr2bl w:val="nil"/>
                  </w:tcBorders>
                  <w:shd w:val="clear" w:color="auto" w:fill="auto"/>
                  <w:vAlign w:val="center"/>
                </w:tcPr>
                <w:p w14:paraId="6F1EAF63">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12</w:t>
                  </w:r>
                </w:p>
              </w:tc>
              <w:tc>
                <w:tcPr>
                  <w:tcW w:w="1219" w:type="dxa"/>
                  <w:tcBorders>
                    <w:tl2br w:val="nil"/>
                    <w:tr2bl w:val="nil"/>
                  </w:tcBorders>
                  <w:shd w:val="clear" w:color="auto" w:fill="auto"/>
                  <w:vAlign w:val="center"/>
                </w:tcPr>
                <w:p w14:paraId="073B681F">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6</w:t>
                  </w:r>
                </w:p>
              </w:tc>
              <w:tc>
                <w:tcPr>
                  <w:tcW w:w="1594" w:type="dxa"/>
                  <w:tcBorders>
                    <w:tl2br w:val="nil"/>
                    <w:tr2bl w:val="nil"/>
                  </w:tcBorders>
                  <w:shd w:val="clear" w:color="auto" w:fill="auto"/>
                  <w:vAlign w:val="center"/>
                </w:tcPr>
                <w:p w14:paraId="0D162A2F">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5</w:t>
                  </w:r>
                </w:p>
              </w:tc>
              <w:tc>
                <w:tcPr>
                  <w:tcW w:w="919" w:type="dxa"/>
                  <w:tcBorders>
                    <w:tl2br w:val="nil"/>
                    <w:tr2bl w:val="nil"/>
                  </w:tcBorders>
                  <w:shd w:val="clear" w:color="auto" w:fill="auto"/>
                  <w:vAlign w:val="center"/>
                </w:tcPr>
                <w:p w14:paraId="265CF40A">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c>
                <w:tcPr>
                  <w:tcW w:w="918" w:type="dxa"/>
                  <w:tcBorders>
                    <w:tl2br w:val="nil"/>
                    <w:tr2bl w:val="nil"/>
                  </w:tcBorders>
                  <w:shd w:val="clear" w:color="auto" w:fill="auto"/>
                  <w:vAlign w:val="center"/>
                </w:tcPr>
                <w:p w14:paraId="570AE87E">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r>
            <w:tr w14:paraId="6C874B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820" w:type="dxa"/>
                  <w:vMerge w:val="continue"/>
                  <w:tcBorders>
                    <w:tl2br w:val="nil"/>
                    <w:tr2bl w:val="nil"/>
                  </w:tcBorders>
                  <w:vAlign w:val="center"/>
                </w:tcPr>
                <w:p w14:paraId="27DB147E">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1AADFE31">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氨氮</w:t>
                  </w:r>
                </w:p>
              </w:tc>
              <w:tc>
                <w:tcPr>
                  <w:tcW w:w="1312" w:type="dxa"/>
                  <w:tcBorders>
                    <w:tl2br w:val="nil"/>
                    <w:tr2bl w:val="nil"/>
                  </w:tcBorders>
                  <w:shd w:val="clear" w:color="auto" w:fill="auto"/>
                  <w:vAlign w:val="center"/>
                </w:tcPr>
                <w:p w14:paraId="1FFD5E2B">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0.747</w:t>
                  </w:r>
                </w:p>
              </w:tc>
              <w:tc>
                <w:tcPr>
                  <w:tcW w:w="1219" w:type="dxa"/>
                  <w:tcBorders>
                    <w:tl2br w:val="nil"/>
                    <w:tr2bl w:val="nil"/>
                  </w:tcBorders>
                  <w:shd w:val="clear" w:color="auto" w:fill="auto"/>
                  <w:vAlign w:val="center"/>
                </w:tcPr>
                <w:p w14:paraId="56124C3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0.305</w:t>
                  </w:r>
                </w:p>
              </w:tc>
              <w:tc>
                <w:tcPr>
                  <w:tcW w:w="1594" w:type="dxa"/>
                  <w:tcBorders>
                    <w:tl2br w:val="nil"/>
                    <w:tr2bl w:val="nil"/>
                  </w:tcBorders>
                  <w:shd w:val="clear" w:color="auto" w:fill="auto"/>
                  <w:vAlign w:val="center"/>
                </w:tcPr>
                <w:p w14:paraId="1702EDD1">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0.174</w:t>
                  </w:r>
                </w:p>
              </w:tc>
              <w:tc>
                <w:tcPr>
                  <w:tcW w:w="919" w:type="dxa"/>
                  <w:tcBorders>
                    <w:tl2br w:val="nil"/>
                    <w:tr2bl w:val="nil"/>
                  </w:tcBorders>
                  <w:shd w:val="clear" w:color="auto" w:fill="auto"/>
                  <w:vAlign w:val="center"/>
                </w:tcPr>
                <w:p w14:paraId="666A2CDC">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1.0</w:t>
                  </w:r>
                </w:p>
              </w:tc>
              <w:tc>
                <w:tcPr>
                  <w:tcW w:w="918" w:type="dxa"/>
                  <w:tcBorders>
                    <w:tl2br w:val="nil"/>
                    <w:tr2bl w:val="nil"/>
                  </w:tcBorders>
                  <w:shd w:val="clear" w:color="auto" w:fill="auto"/>
                  <w:vAlign w:val="center"/>
                </w:tcPr>
                <w:p w14:paraId="1247EE22">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1.5</w:t>
                  </w:r>
                </w:p>
              </w:tc>
            </w:tr>
            <w:tr w14:paraId="7CAFC8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1D6DC2C0">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16D4F015">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总氮</w:t>
                  </w:r>
                </w:p>
              </w:tc>
              <w:tc>
                <w:tcPr>
                  <w:tcW w:w="1312" w:type="dxa"/>
                  <w:tcBorders>
                    <w:tl2br w:val="nil"/>
                    <w:tr2bl w:val="nil"/>
                  </w:tcBorders>
                  <w:shd w:val="clear" w:color="auto" w:fill="auto"/>
                  <w:vAlign w:val="center"/>
                </w:tcPr>
                <w:p w14:paraId="020B0F2E">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0.83</w:t>
                  </w:r>
                </w:p>
              </w:tc>
              <w:tc>
                <w:tcPr>
                  <w:tcW w:w="1219" w:type="dxa"/>
                  <w:tcBorders>
                    <w:tl2br w:val="nil"/>
                    <w:tr2bl w:val="nil"/>
                  </w:tcBorders>
                  <w:shd w:val="clear" w:color="auto" w:fill="auto"/>
                  <w:vAlign w:val="center"/>
                </w:tcPr>
                <w:p w14:paraId="7D51F800">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0.80</w:t>
                  </w:r>
                </w:p>
              </w:tc>
              <w:tc>
                <w:tcPr>
                  <w:tcW w:w="1594" w:type="dxa"/>
                  <w:tcBorders>
                    <w:tl2br w:val="nil"/>
                    <w:tr2bl w:val="nil"/>
                  </w:tcBorders>
                  <w:shd w:val="clear" w:color="auto" w:fill="auto"/>
                  <w:vAlign w:val="center"/>
                </w:tcPr>
                <w:p w14:paraId="4CA4233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0.35</w:t>
                  </w:r>
                </w:p>
              </w:tc>
              <w:tc>
                <w:tcPr>
                  <w:tcW w:w="919" w:type="dxa"/>
                  <w:tcBorders>
                    <w:tl2br w:val="nil"/>
                    <w:tr2bl w:val="nil"/>
                  </w:tcBorders>
                  <w:shd w:val="clear" w:color="auto" w:fill="auto"/>
                  <w:vAlign w:val="center"/>
                </w:tcPr>
                <w:p w14:paraId="4FE7F8A1">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1.0</w:t>
                  </w:r>
                </w:p>
              </w:tc>
              <w:tc>
                <w:tcPr>
                  <w:tcW w:w="918" w:type="dxa"/>
                  <w:tcBorders>
                    <w:tl2br w:val="nil"/>
                    <w:tr2bl w:val="nil"/>
                  </w:tcBorders>
                  <w:shd w:val="clear" w:color="auto" w:fill="auto"/>
                  <w:vAlign w:val="center"/>
                </w:tcPr>
                <w:p w14:paraId="113A17CD">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1.5</w:t>
                  </w:r>
                </w:p>
              </w:tc>
            </w:tr>
            <w:tr w14:paraId="473439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7EB526D8">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06A01632">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总磷</w:t>
                  </w:r>
                </w:p>
              </w:tc>
              <w:tc>
                <w:tcPr>
                  <w:tcW w:w="1312" w:type="dxa"/>
                  <w:tcBorders>
                    <w:tl2br w:val="nil"/>
                    <w:tr2bl w:val="nil"/>
                  </w:tcBorders>
                  <w:shd w:val="clear" w:color="auto" w:fill="auto"/>
                  <w:vAlign w:val="center"/>
                </w:tcPr>
                <w:p w14:paraId="46803B07">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0.13</w:t>
                  </w:r>
                </w:p>
              </w:tc>
              <w:tc>
                <w:tcPr>
                  <w:tcW w:w="1219" w:type="dxa"/>
                  <w:tcBorders>
                    <w:tl2br w:val="nil"/>
                    <w:tr2bl w:val="nil"/>
                  </w:tcBorders>
                  <w:shd w:val="clear" w:color="auto" w:fill="auto"/>
                  <w:vAlign w:val="center"/>
                </w:tcPr>
                <w:p w14:paraId="4065649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0.05</w:t>
                  </w:r>
                </w:p>
              </w:tc>
              <w:tc>
                <w:tcPr>
                  <w:tcW w:w="1594" w:type="dxa"/>
                  <w:tcBorders>
                    <w:tl2br w:val="nil"/>
                    <w:tr2bl w:val="nil"/>
                  </w:tcBorders>
                  <w:shd w:val="clear" w:color="auto" w:fill="auto"/>
                  <w:vAlign w:val="center"/>
                </w:tcPr>
                <w:p w14:paraId="0CD0E80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0.07</w:t>
                  </w:r>
                </w:p>
              </w:tc>
              <w:tc>
                <w:tcPr>
                  <w:tcW w:w="919" w:type="dxa"/>
                  <w:tcBorders>
                    <w:tl2br w:val="nil"/>
                    <w:tr2bl w:val="nil"/>
                  </w:tcBorders>
                  <w:shd w:val="clear" w:color="auto" w:fill="auto"/>
                  <w:vAlign w:val="center"/>
                </w:tcPr>
                <w:p w14:paraId="4561E8A0">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0.2</w:t>
                  </w:r>
                </w:p>
              </w:tc>
              <w:tc>
                <w:tcPr>
                  <w:tcW w:w="918" w:type="dxa"/>
                  <w:tcBorders>
                    <w:tl2br w:val="nil"/>
                    <w:tr2bl w:val="nil"/>
                  </w:tcBorders>
                  <w:shd w:val="clear" w:color="auto" w:fill="auto"/>
                  <w:vAlign w:val="center"/>
                </w:tcPr>
                <w:p w14:paraId="58260FAD">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0.3</w:t>
                  </w:r>
                </w:p>
              </w:tc>
            </w:tr>
            <w:tr w14:paraId="0C62A6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399306BD">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58765E2B">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高锰酸盐指数</w:t>
                  </w:r>
                </w:p>
              </w:tc>
              <w:tc>
                <w:tcPr>
                  <w:tcW w:w="1312" w:type="dxa"/>
                  <w:tcBorders>
                    <w:tl2br w:val="nil"/>
                    <w:tr2bl w:val="nil"/>
                  </w:tcBorders>
                  <w:shd w:val="clear" w:color="auto" w:fill="auto"/>
                  <w:vAlign w:val="center"/>
                </w:tcPr>
                <w:p w14:paraId="50078BD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3.2</w:t>
                  </w:r>
                </w:p>
              </w:tc>
              <w:tc>
                <w:tcPr>
                  <w:tcW w:w="1219" w:type="dxa"/>
                  <w:tcBorders>
                    <w:tl2br w:val="nil"/>
                    <w:tr2bl w:val="nil"/>
                  </w:tcBorders>
                  <w:shd w:val="clear" w:color="auto" w:fill="auto"/>
                  <w:vAlign w:val="center"/>
                </w:tcPr>
                <w:p w14:paraId="4C8C6004">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2.6</w:t>
                  </w:r>
                </w:p>
              </w:tc>
              <w:tc>
                <w:tcPr>
                  <w:tcW w:w="1594" w:type="dxa"/>
                  <w:tcBorders>
                    <w:tl2br w:val="nil"/>
                    <w:tr2bl w:val="nil"/>
                  </w:tcBorders>
                  <w:shd w:val="clear" w:color="auto" w:fill="auto"/>
                  <w:vAlign w:val="center"/>
                </w:tcPr>
                <w:p w14:paraId="404C5A09">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2.8</w:t>
                  </w:r>
                </w:p>
              </w:tc>
              <w:tc>
                <w:tcPr>
                  <w:tcW w:w="919" w:type="dxa"/>
                  <w:tcBorders>
                    <w:tl2br w:val="nil"/>
                    <w:tr2bl w:val="nil"/>
                  </w:tcBorders>
                  <w:shd w:val="clear" w:color="auto" w:fill="auto"/>
                  <w:vAlign w:val="center"/>
                </w:tcPr>
                <w:p w14:paraId="4C26EA47">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6</w:t>
                  </w:r>
                </w:p>
              </w:tc>
              <w:tc>
                <w:tcPr>
                  <w:tcW w:w="918" w:type="dxa"/>
                  <w:tcBorders>
                    <w:tl2br w:val="nil"/>
                    <w:tr2bl w:val="nil"/>
                  </w:tcBorders>
                  <w:shd w:val="clear" w:color="auto" w:fill="auto"/>
                  <w:vAlign w:val="center"/>
                </w:tcPr>
                <w:p w14:paraId="0BF68BEC">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10</w:t>
                  </w:r>
                </w:p>
              </w:tc>
            </w:tr>
            <w:tr w14:paraId="2187D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3F933323">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0D1DAB05">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透明度</w:t>
                  </w:r>
                  <w:r>
                    <w:rPr>
                      <w:rFonts w:hint="eastAsia"/>
                      <w:snapToGrid w:val="0"/>
                      <w:kern w:val="0"/>
                      <w:sz w:val="21"/>
                      <w:szCs w:val="21"/>
                    </w:rPr>
                    <w:t>（cm）</w:t>
                  </w:r>
                </w:p>
              </w:tc>
              <w:tc>
                <w:tcPr>
                  <w:tcW w:w="1312" w:type="dxa"/>
                  <w:tcBorders>
                    <w:tl2br w:val="nil"/>
                    <w:tr2bl w:val="nil"/>
                  </w:tcBorders>
                  <w:shd w:val="clear" w:color="auto" w:fill="auto"/>
                  <w:vAlign w:val="center"/>
                </w:tcPr>
                <w:p w14:paraId="4636A879">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50</w:t>
                  </w:r>
                </w:p>
              </w:tc>
              <w:tc>
                <w:tcPr>
                  <w:tcW w:w="1219" w:type="dxa"/>
                  <w:tcBorders>
                    <w:tl2br w:val="nil"/>
                    <w:tr2bl w:val="nil"/>
                  </w:tcBorders>
                  <w:shd w:val="clear" w:color="auto" w:fill="auto"/>
                  <w:vAlign w:val="center"/>
                </w:tcPr>
                <w:p w14:paraId="39E9F2A3">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30</w:t>
                  </w:r>
                </w:p>
              </w:tc>
              <w:tc>
                <w:tcPr>
                  <w:tcW w:w="1594" w:type="dxa"/>
                  <w:tcBorders>
                    <w:tl2br w:val="nil"/>
                    <w:tr2bl w:val="nil"/>
                  </w:tcBorders>
                  <w:shd w:val="clear" w:color="auto" w:fill="auto"/>
                  <w:vAlign w:val="center"/>
                </w:tcPr>
                <w:p w14:paraId="5F0E3865">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80</w:t>
                  </w:r>
                </w:p>
              </w:tc>
              <w:tc>
                <w:tcPr>
                  <w:tcW w:w="919" w:type="dxa"/>
                  <w:tcBorders>
                    <w:tl2br w:val="nil"/>
                    <w:tr2bl w:val="nil"/>
                  </w:tcBorders>
                  <w:shd w:val="clear" w:color="auto" w:fill="auto"/>
                  <w:vAlign w:val="center"/>
                </w:tcPr>
                <w:p w14:paraId="3F966B1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c>
                <w:tcPr>
                  <w:tcW w:w="918" w:type="dxa"/>
                  <w:tcBorders>
                    <w:tl2br w:val="nil"/>
                    <w:tr2bl w:val="nil"/>
                  </w:tcBorders>
                  <w:shd w:val="clear" w:color="auto" w:fill="auto"/>
                  <w:vAlign w:val="center"/>
                </w:tcPr>
                <w:p w14:paraId="0896F02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r>
            <w:tr w14:paraId="23A8B5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72F96F49">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662F43CB">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叶绿素a</w:t>
                  </w:r>
                </w:p>
              </w:tc>
              <w:tc>
                <w:tcPr>
                  <w:tcW w:w="1312" w:type="dxa"/>
                  <w:tcBorders>
                    <w:tl2br w:val="nil"/>
                    <w:tr2bl w:val="nil"/>
                  </w:tcBorders>
                  <w:shd w:val="clear" w:color="auto" w:fill="auto"/>
                  <w:vAlign w:val="center"/>
                </w:tcPr>
                <w:p w14:paraId="3E48C1C0">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0.0</w:t>
                  </w:r>
                  <w:r>
                    <w:rPr>
                      <w:snapToGrid w:val="0"/>
                      <w:kern w:val="0"/>
                      <w:sz w:val="21"/>
                      <w:szCs w:val="21"/>
                    </w:rPr>
                    <w:t>14</w:t>
                  </w:r>
                </w:p>
              </w:tc>
              <w:tc>
                <w:tcPr>
                  <w:tcW w:w="1219" w:type="dxa"/>
                  <w:tcBorders>
                    <w:tl2br w:val="nil"/>
                    <w:tr2bl w:val="nil"/>
                  </w:tcBorders>
                  <w:shd w:val="clear" w:color="auto" w:fill="auto"/>
                  <w:vAlign w:val="center"/>
                </w:tcPr>
                <w:p w14:paraId="083DB80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0.0</w:t>
                  </w:r>
                  <w:r>
                    <w:rPr>
                      <w:snapToGrid w:val="0"/>
                      <w:kern w:val="0"/>
                      <w:sz w:val="21"/>
                      <w:szCs w:val="21"/>
                    </w:rPr>
                    <w:t>12</w:t>
                  </w:r>
                </w:p>
              </w:tc>
              <w:tc>
                <w:tcPr>
                  <w:tcW w:w="1594" w:type="dxa"/>
                  <w:tcBorders>
                    <w:tl2br w:val="nil"/>
                    <w:tr2bl w:val="nil"/>
                  </w:tcBorders>
                  <w:shd w:val="clear" w:color="auto" w:fill="auto"/>
                  <w:vAlign w:val="center"/>
                </w:tcPr>
                <w:p w14:paraId="42C9666B">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0.0</w:t>
                  </w:r>
                  <w:r>
                    <w:rPr>
                      <w:snapToGrid w:val="0"/>
                      <w:kern w:val="0"/>
                      <w:sz w:val="21"/>
                      <w:szCs w:val="21"/>
                    </w:rPr>
                    <w:t>11</w:t>
                  </w:r>
                </w:p>
              </w:tc>
              <w:tc>
                <w:tcPr>
                  <w:tcW w:w="919" w:type="dxa"/>
                  <w:tcBorders>
                    <w:tl2br w:val="nil"/>
                    <w:tr2bl w:val="nil"/>
                  </w:tcBorders>
                  <w:shd w:val="clear" w:color="auto" w:fill="auto"/>
                  <w:vAlign w:val="center"/>
                </w:tcPr>
                <w:p w14:paraId="436ADF1A">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c>
                <w:tcPr>
                  <w:tcW w:w="918" w:type="dxa"/>
                  <w:tcBorders>
                    <w:tl2br w:val="nil"/>
                    <w:tr2bl w:val="nil"/>
                  </w:tcBorders>
                  <w:shd w:val="clear" w:color="auto" w:fill="auto"/>
                  <w:vAlign w:val="center"/>
                </w:tcPr>
                <w:p w14:paraId="75FDC62D">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r>
            <w:tr w14:paraId="09F8BA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0" w:type="dxa"/>
                  <w:vMerge w:val="restart"/>
                  <w:tcBorders>
                    <w:tl2br w:val="nil"/>
                    <w:tr2bl w:val="nil"/>
                  </w:tcBorders>
                  <w:vAlign w:val="center"/>
                </w:tcPr>
                <w:p w14:paraId="1A467FA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2026.06.1</w:t>
                  </w:r>
                  <w:r>
                    <w:rPr>
                      <w:rFonts w:hint="eastAsia"/>
                      <w:snapToGrid w:val="0"/>
                      <w:kern w:val="0"/>
                      <w:sz w:val="21"/>
                      <w:szCs w:val="21"/>
                    </w:rPr>
                    <w:t>6</w:t>
                  </w:r>
                </w:p>
              </w:tc>
              <w:tc>
                <w:tcPr>
                  <w:tcW w:w="1744" w:type="dxa"/>
                  <w:tcBorders>
                    <w:tl2br w:val="nil"/>
                    <w:tr2bl w:val="nil"/>
                  </w:tcBorders>
                  <w:shd w:val="clear" w:color="auto" w:fill="auto"/>
                  <w:vAlign w:val="center"/>
                </w:tcPr>
                <w:p w14:paraId="1D9C1950">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pH（无量纲）</w:t>
                  </w:r>
                </w:p>
              </w:tc>
              <w:tc>
                <w:tcPr>
                  <w:tcW w:w="1312" w:type="dxa"/>
                  <w:tcBorders>
                    <w:tl2br w:val="nil"/>
                    <w:tr2bl w:val="nil"/>
                  </w:tcBorders>
                  <w:shd w:val="clear" w:color="auto" w:fill="auto"/>
                  <w:vAlign w:val="center"/>
                </w:tcPr>
                <w:p w14:paraId="0883DE45">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8.0</w:t>
                  </w:r>
                </w:p>
              </w:tc>
              <w:tc>
                <w:tcPr>
                  <w:tcW w:w="1219" w:type="dxa"/>
                  <w:tcBorders>
                    <w:tl2br w:val="nil"/>
                    <w:tr2bl w:val="nil"/>
                  </w:tcBorders>
                  <w:shd w:val="clear" w:color="auto" w:fill="auto"/>
                  <w:vAlign w:val="center"/>
                </w:tcPr>
                <w:p w14:paraId="45F2A621">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7.8</w:t>
                  </w:r>
                </w:p>
              </w:tc>
              <w:tc>
                <w:tcPr>
                  <w:tcW w:w="1594" w:type="dxa"/>
                  <w:tcBorders>
                    <w:tl2br w:val="nil"/>
                    <w:tr2bl w:val="nil"/>
                  </w:tcBorders>
                  <w:shd w:val="clear" w:color="auto" w:fill="auto"/>
                  <w:vAlign w:val="center"/>
                </w:tcPr>
                <w:p w14:paraId="08DC082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7.9</w:t>
                  </w:r>
                </w:p>
              </w:tc>
              <w:tc>
                <w:tcPr>
                  <w:tcW w:w="1837" w:type="dxa"/>
                  <w:gridSpan w:val="2"/>
                  <w:tcBorders>
                    <w:tl2br w:val="nil"/>
                    <w:tr2bl w:val="nil"/>
                  </w:tcBorders>
                  <w:shd w:val="clear" w:color="auto" w:fill="auto"/>
                  <w:vAlign w:val="center"/>
                </w:tcPr>
                <w:p w14:paraId="7C314A34">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6~9</w:t>
                  </w:r>
                </w:p>
              </w:tc>
            </w:tr>
            <w:tr w14:paraId="7507BE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26096CF7">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52A60590">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化学需氧量</w:t>
                  </w:r>
                </w:p>
              </w:tc>
              <w:tc>
                <w:tcPr>
                  <w:tcW w:w="1312" w:type="dxa"/>
                  <w:tcBorders>
                    <w:tl2br w:val="nil"/>
                    <w:tr2bl w:val="nil"/>
                  </w:tcBorders>
                  <w:shd w:val="clear" w:color="auto" w:fill="auto"/>
                  <w:vAlign w:val="center"/>
                </w:tcPr>
                <w:p w14:paraId="46304A3E">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17</w:t>
                  </w:r>
                </w:p>
              </w:tc>
              <w:tc>
                <w:tcPr>
                  <w:tcW w:w="1219" w:type="dxa"/>
                  <w:tcBorders>
                    <w:tl2br w:val="nil"/>
                    <w:tr2bl w:val="nil"/>
                  </w:tcBorders>
                  <w:shd w:val="clear" w:color="auto" w:fill="auto"/>
                  <w:vAlign w:val="center"/>
                </w:tcPr>
                <w:p w14:paraId="459CF9B3">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16</w:t>
                  </w:r>
                </w:p>
              </w:tc>
              <w:tc>
                <w:tcPr>
                  <w:tcW w:w="1594" w:type="dxa"/>
                  <w:tcBorders>
                    <w:tl2br w:val="nil"/>
                    <w:tr2bl w:val="nil"/>
                  </w:tcBorders>
                  <w:shd w:val="clear" w:color="auto" w:fill="auto"/>
                  <w:vAlign w:val="center"/>
                </w:tcPr>
                <w:p w14:paraId="32242550">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8</w:t>
                  </w:r>
                </w:p>
              </w:tc>
              <w:tc>
                <w:tcPr>
                  <w:tcW w:w="919" w:type="dxa"/>
                  <w:tcBorders>
                    <w:tl2br w:val="nil"/>
                    <w:tr2bl w:val="nil"/>
                  </w:tcBorders>
                  <w:shd w:val="clear" w:color="auto" w:fill="auto"/>
                  <w:vAlign w:val="center"/>
                </w:tcPr>
                <w:p w14:paraId="2FB84D5F">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20</w:t>
                  </w:r>
                </w:p>
              </w:tc>
              <w:tc>
                <w:tcPr>
                  <w:tcW w:w="918" w:type="dxa"/>
                  <w:tcBorders>
                    <w:tl2br w:val="nil"/>
                    <w:tr2bl w:val="nil"/>
                  </w:tcBorders>
                  <w:shd w:val="clear" w:color="auto" w:fill="auto"/>
                  <w:vAlign w:val="center"/>
                </w:tcPr>
                <w:p w14:paraId="4C7D112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30</w:t>
                  </w:r>
                </w:p>
              </w:tc>
            </w:tr>
            <w:tr w14:paraId="565D0F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451AF9EA">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36F25D4D">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五日生化需氧量</w:t>
                  </w:r>
                </w:p>
              </w:tc>
              <w:tc>
                <w:tcPr>
                  <w:tcW w:w="1312" w:type="dxa"/>
                  <w:tcBorders>
                    <w:tl2br w:val="nil"/>
                    <w:tr2bl w:val="nil"/>
                  </w:tcBorders>
                  <w:shd w:val="clear" w:color="auto" w:fill="auto"/>
                  <w:vAlign w:val="center"/>
                </w:tcPr>
                <w:p w14:paraId="0AF21DE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3.5</w:t>
                  </w:r>
                </w:p>
              </w:tc>
              <w:tc>
                <w:tcPr>
                  <w:tcW w:w="1219" w:type="dxa"/>
                  <w:tcBorders>
                    <w:tl2br w:val="nil"/>
                    <w:tr2bl w:val="nil"/>
                  </w:tcBorders>
                  <w:shd w:val="clear" w:color="auto" w:fill="auto"/>
                  <w:vAlign w:val="center"/>
                </w:tcPr>
                <w:p w14:paraId="0571F2F9">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3.4</w:t>
                  </w:r>
                </w:p>
              </w:tc>
              <w:tc>
                <w:tcPr>
                  <w:tcW w:w="1594" w:type="dxa"/>
                  <w:tcBorders>
                    <w:tl2br w:val="nil"/>
                    <w:tr2bl w:val="nil"/>
                  </w:tcBorders>
                  <w:shd w:val="clear" w:color="auto" w:fill="auto"/>
                  <w:vAlign w:val="center"/>
                </w:tcPr>
                <w:p w14:paraId="7F82FBF1">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1.5</w:t>
                  </w:r>
                </w:p>
              </w:tc>
              <w:tc>
                <w:tcPr>
                  <w:tcW w:w="919" w:type="dxa"/>
                  <w:tcBorders>
                    <w:tl2br w:val="nil"/>
                    <w:tr2bl w:val="nil"/>
                  </w:tcBorders>
                  <w:shd w:val="clear" w:color="auto" w:fill="auto"/>
                  <w:vAlign w:val="center"/>
                </w:tcPr>
                <w:p w14:paraId="5F084350">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4</w:t>
                  </w:r>
                </w:p>
              </w:tc>
              <w:tc>
                <w:tcPr>
                  <w:tcW w:w="918" w:type="dxa"/>
                  <w:tcBorders>
                    <w:tl2br w:val="nil"/>
                    <w:tr2bl w:val="nil"/>
                  </w:tcBorders>
                  <w:shd w:val="clear" w:color="auto" w:fill="auto"/>
                  <w:vAlign w:val="center"/>
                </w:tcPr>
                <w:p w14:paraId="5B0B2A27">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6</w:t>
                  </w:r>
                </w:p>
              </w:tc>
            </w:tr>
            <w:tr w14:paraId="394C74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4B1773B6">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5DBEEEF9">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悬浮物</w:t>
                  </w:r>
                </w:p>
              </w:tc>
              <w:tc>
                <w:tcPr>
                  <w:tcW w:w="1312" w:type="dxa"/>
                  <w:tcBorders>
                    <w:tl2br w:val="nil"/>
                    <w:tr2bl w:val="nil"/>
                  </w:tcBorders>
                  <w:shd w:val="clear" w:color="auto" w:fill="auto"/>
                  <w:vAlign w:val="center"/>
                </w:tcPr>
                <w:p w14:paraId="00E2A8D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11</w:t>
                  </w:r>
                </w:p>
              </w:tc>
              <w:tc>
                <w:tcPr>
                  <w:tcW w:w="1219" w:type="dxa"/>
                  <w:tcBorders>
                    <w:tl2br w:val="nil"/>
                    <w:tr2bl w:val="nil"/>
                  </w:tcBorders>
                  <w:shd w:val="clear" w:color="auto" w:fill="auto"/>
                  <w:vAlign w:val="center"/>
                </w:tcPr>
                <w:p w14:paraId="1274068B">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8</w:t>
                  </w:r>
                </w:p>
              </w:tc>
              <w:tc>
                <w:tcPr>
                  <w:tcW w:w="1594" w:type="dxa"/>
                  <w:tcBorders>
                    <w:tl2br w:val="nil"/>
                    <w:tr2bl w:val="nil"/>
                  </w:tcBorders>
                  <w:shd w:val="clear" w:color="auto" w:fill="auto"/>
                  <w:vAlign w:val="center"/>
                </w:tcPr>
                <w:p w14:paraId="082BAC1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5</w:t>
                  </w:r>
                </w:p>
              </w:tc>
              <w:tc>
                <w:tcPr>
                  <w:tcW w:w="919" w:type="dxa"/>
                  <w:tcBorders>
                    <w:tl2br w:val="nil"/>
                    <w:tr2bl w:val="nil"/>
                  </w:tcBorders>
                  <w:shd w:val="clear" w:color="auto" w:fill="auto"/>
                  <w:vAlign w:val="center"/>
                </w:tcPr>
                <w:p w14:paraId="0E757FB4">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c>
                <w:tcPr>
                  <w:tcW w:w="918" w:type="dxa"/>
                  <w:tcBorders>
                    <w:tl2br w:val="nil"/>
                    <w:tr2bl w:val="nil"/>
                  </w:tcBorders>
                  <w:shd w:val="clear" w:color="auto" w:fill="auto"/>
                  <w:vAlign w:val="center"/>
                </w:tcPr>
                <w:p w14:paraId="4CB0E4F5">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r>
            <w:tr w14:paraId="279325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452E185D">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14697C15">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氨氮</w:t>
                  </w:r>
                </w:p>
              </w:tc>
              <w:tc>
                <w:tcPr>
                  <w:tcW w:w="1312" w:type="dxa"/>
                  <w:tcBorders>
                    <w:tl2br w:val="nil"/>
                    <w:tr2bl w:val="nil"/>
                  </w:tcBorders>
                  <w:shd w:val="clear" w:color="auto" w:fill="auto"/>
                  <w:vAlign w:val="center"/>
                </w:tcPr>
                <w:p w14:paraId="2DC9F25E">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0.753</w:t>
                  </w:r>
                </w:p>
              </w:tc>
              <w:tc>
                <w:tcPr>
                  <w:tcW w:w="1219" w:type="dxa"/>
                  <w:tcBorders>
                    <w:tl2br w:val="nil"/>
                    <w:tr2bl w:val="nil"/>
                  </w:tcBorders>
                  <w:shd w:val="clear" w:color="auto" w:fill="auto"/>
                  <w:vAlign w:val="center"/>
                </w:tcPr>
                <w:p w14:paraId="3763D797">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0.313</w:t>
                  </w:r>
                </w:p>
              </w:tc>
              <w:tc>
                <w:tcPr>
                  <w:tcW w:w="1594" w:type="dxa"/>
                  <w:tcBorders>
                    <w:tl2br w:val="nil"/>
                    <w:tr2bl w:val="nil"/>
                  </w:tcBorders>
                  <w:shd w:val="clear" w:color="auto" w:fill="auto"/>
                  <w:vAlign w:val="center"/>
                </w:tcPr>
                <w:p w14:paraId="0C5294B9">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0.182</w:t>
                  </w:r>
                </w:p>
              </w:tc>
              <w:tc>
                <w:tcPr>
                  <w:tcW w:w="919" w:type="dxa"/>
                  <w:tcBorders>
                    <w:tl2br w:val="nil"/>
                    <w:tr2bl w:val="nil"/>
                  </w:tcBorders>
                  <w:shd w:val="clear" w:color="auto" w:fill="auto"/>
                  <w:vAlign w:val="center"/>
                </w:tcPr>
                <w:p w14:paraId="57204104">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1.0</w:t>
                  </w:r>
                </w:p>
              </w:tc>
              <w:tc>
                <w:tcPr>
                  <w:tcW w:w="918" w:type="dxa"/>
                  <w:tcBorders>
                    <w:tl2br w:val="nil"/>
                    <w:tr2bl w:val="nil"/>
                  </w:tcBorders>
                  <w:shd w:val="clear" w:color="auto" w:fill="auto"/>
                  <w:vAlign w:val="center"/>
                </w:tcPr>
                <w:p w14:paraId="0B6B1F0E">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1.5</w:t>
                  </w:r>
                </w:p>
              </w:tc>
            </w:tr>
            <w:tr w14:paraId="09AF2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53103338">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2F89DD03">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总氮</w:t>
                  </w:r>
                </w:p>
              </w:tc>
              <w:tc>
                <w:tcPr>
                  <w:tcW w:w="1312" w:type="dxa"/>
                  <w:tcBorders>
                    <w:tl2br w:val="nil"/>
                    <w:tr2bl w:val="nil"/>
                  </w:tcBorders>
                  <w:shd w:val="clear" w:color="auto" w:fill="auto"/>
                  <w:vAlign w:val="center"/>
                </w:tcPr>
                <w:p w14:paraId="56F0849F">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0.92</w:t>
                  </w:r>
                </w:p>
              </w:tc>
              <w:tc>
                <w:tcPr>
                  <w:tcW w:w="1219" w:type="dxa"/>
                  <w:tcBorders>
                    <w:tl2br w:val="nil"/>
                    <w:tr2bl w:val="nil"/>
                  </w:tcBorders>
                  <w:shd w:val="clear" w:color="auto" w:fill="auto"/>
                  <w:vAlign w:val="center"/>
                </w:tcPr>
                <w:p w14:paraId="641C9B01">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0.84</w:t>
                  </w:r>
                </w:p>
              </w:tc>
              <w:tc>
                <w:tcPr>
                  <w:tcW w:w="1594" w:type="dxa"/>
                  <w:tcBorders>
                    <w:tl2br w:val="nil"/>
                    <w:tr2bl w:val="nil"/>
                  </w:tcBorders>
                  <w:shd w:val="clear" w:color="auto" w:fill="auto"/>
                  <w:vAlign w:val="center"/>
                </w:tcPr>
                <w:p w14:paraId="38736E00">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0.32</w:t>
                  </w:r>
                </w:p>
              </w:tc>
              <w:tc>
                <w:tcPr>
                  <w:tcW w:w="919" w:type="dxa"/>
                  <w:tcBorders>
                    <w:tl2br w:val="nil"/>
                    <w:tr2bl w:val="nil"/>
                  </w:tcBorders>
                  <w:shd w:val="clear" w:color="auto" w:fill="auto"/>
                  <w:vAlign w:val="center"/>
                </w:tcPr>
                <w:p w14:paraId="3F4FBA69">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1.0</w:t>
                  </w:r>
                </w:p>
              </w:tc>
              <w:tc>
                <w:tcPr>
                  <w:tcW w:w="918" w:type="dxa"/>
                  <w:tcBorders>
                    <w:tl2br w:val="nil"/>
                    <w:tr2bl w:val="nil"/>
                  </w:tcBorders>
                  <w:shd w:val="clear" w:color="auto" w:fill="auto"/>
                  <w:vAlign w:val="center"/>
                </w:tcPr>
                <w:p w14:paraId="70AF21C3">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1.5</w:t>
                  </w:r>
                </w:p>
              </w:tc>
            </w:tr>
            <w:tr w14:paraId="2F02DC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200FA8E3">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13CEC291">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总磷</w:t>
                  </w:r>
                </w:p>
              </w:tc>
              <w:tc>
                <w:tcPr>
                  <w:tcW w:w="1312" w:type="dxa"/>
                  <w:tcBorders>
                    <w:tl2br w:val="nil"/>
                    <w:tr2bl w:val="nil"/>
                  </w:tcBorders>
                  <w:shd w:val="clear" w:color="auto" w:fill="auto"/>
                  <w:vAlign w:val="center"/>
                </w:tcPr>
                <w:p w14:paraId="7E0AEDB1">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0.14</w:t>
                  </w:r>
                </w:p>
              </w:tc>
              <w:tc>
                <w:tcPr>
                  <w:tcW w:w="1219" w:type="dxa"/>
                  <w:tcBorders>
                    <w:tl2br w:val="nil"/>
                    <w:tr2bl w:val="nil"/>
                  </w:tcBorders>
                  <w:shd w:val="clear" w:color="auto" w:fill="auto"/>
                  <w:vAlign w:val="center"/>
                </w:tcPr>
                <w:p w14:paraId="044DA84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0.04</w:t>
                  </w:r>
                </w:p>
              </w:tc>
              <w:tc>
                <w:tcPr>
                  <w:tcW w:w="1594" w:type="dxa"/>
                  <w:tcBorders>
                    <w:tl2br w:val="nil"/>
                    <w:tr2bl w:val="nil"/>
                  </w:tcBorders>
                  <w:shd w:val="clear" w:color="auto" w:fill="auto"/>
                  <w:vAlign w:val="center"/>
                </w:tcPr>
                <w:p w14:paraId="323D3A6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0.08</w:t>
                  </w:r>
                </w:p>
              </w:tc>
              <w:tc>
                <w:tcPr>
                  <w:tcW w:w="919" w:type="dxa"/>
                  <w:tcBorders>
                    <w:tl2br w:val="nil"/>
                    <w:tr2bl w:val="nil"/>
                  </w:tcBorders>
                  <w:shd w:val="clear" w:color="auto" w:fill="auto"/>
                  <w:vAlign w:val="center"/>
                </w:tcPr>
                <w:p w14:paraId="71F66B5D">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0.2</w:t>
                  </w:r>
                </w:p>
              </w:tc>
              <w:tc>
                <w:tcPr>
                  <w:tcW w:w="918" w:type="dxa"/>
                  <w:tcBorders>
                    <w:tl2br w:val="nil"/>
                    <w:tr2bl w:val="nil"/>
                  </w:tcBorders>
                  <w:shd w:val="clear" w:color="auto" w:fill="auto"/>
                  <w:vAlign w:val="center"/>
                </w:tcPr>
                <w:p w14:paraId="1581C8D9">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0.3</w:t>
                  </w:r>
                </w:p>
              </w:tc>
            </w:tr>
            <w:tr w14:paraId="497F33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1BC8CF5B">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01C7A7CF">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高锰酸盐指数</w:t>
                  </w:r>
                </w:p>
              </w:tc>
              <w:tc>
                <w:tcPr>
                  <w:tcW w:w="1312" w:type="dxa"/>
                  <w:tcBorders>
                    <w:tl2br w:val="nil"/>
                    <w:tr2bl w:val="nil"/>
                  </w:tcBorders>
                  <w:shd w:val="clear" w:color="auto" w:fill="auto"/>
                  <w:vAlign w:val="center"/>
                </w:tcPr>
                <w:p w14:paraId="637D6A31">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3.4</w:t>
                  </w:r>
                </w:p>
              </w:tc>
              <w:tc>
                <w:tcPr>
                  <w:tcW w:w="1219" w:type="dxa"/>
                  <w:tcBorders>
                    <w:tl2br w:val="nil"/>
                    <w:tr2bl w:val="nil"/>
                  </w:tcBorders>
                  <w:shd w:val="clear" w:color="auto" w:fill="auto"/>
                  <w:vAlign w:val="center"/>
                </w:tcPr>
                <w:p w14:paraId="5D5FCA45">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2.9</w:t>
                  </w:r>
                </w:p>
              </w:tc>
              <w:tc>
                <w:tcPr>
                  <w:tcW w:w="1594" w:type="dxa"/>
                  <w:tcBorders>
                    <w:tl2br w:val="nil"/>
                    <w:tr2bl w:val="nil"/>
                  </w:tcBorders>
                  <w:shd w:val="clear" w:color="auto" w:fill="auto"/>
                  <w:vAlign w:val="center"/>
                </w:tcPr>
                <w:p w14:paraId="3EDF9C32">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3.0</w:t>
                  </w:r>
                </w:p>
              </w:tc>
              <w:tc>
                <w:tcPr>
                  <w:tcW w:w="919" w:type="dxa"/>
                  <w:tcBorders>
                    <w:tl2br w:val="nil"/>
                    <w:tr2bl w:val="nil"/>
                  </w:tcBorders>
                  <w:shd w:val="clear" w:color="auto" w:fill="auto"/>
                  <w:vAlign w:val="center"/>
                </w:tcPr>
                <w:p w14:paraId="23780FEB">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6</w:t>
                  </w:r>
                </w:p>
              </w:tc>
              <w:tc>
                <w:tcPr>
                  <w:tcW w:w="918" w:type="dxa"/>
                  <w:tcBorders>
                    <w:tl2br w:val="nil"/>
                    <w:tr2bl w:val="nil"/>
                  </w:tcBorders>
                  <w:shd w:val="clear" w:color="auto" w:fill="auto"/>
                  <w:vAlign w:val="center"/>
                </w:tcPr>
                <w:p w14:paraId="50077779">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10</w:t>
                  </w:r>
                </w:p>
              </w:tc>
            </w:tr>
            <w:tr w14:paraId="336C94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2FDEE7DC">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1571BE30">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透明度</w:t>
                  </w:r>
                  <w:r>
                    <w:rPr>
                      <w:rFonts w:hint="eastAsia"/>
                      <w:snapToGrid w:val="0"/>
                      <w:kern w:val="0"/>
                      <w:sz w:val="21"/>
                      <w:szCs w:val="21"/>
                    </w:rPr>
                    <w:t>（cm）</w:t>
                  </w:r>
                </w:p>
              </w:tc>
              <w:tc>
                <w:tcPr>
                  <w:tcW w:w="1312" w:type="dxa"/>
                  <w:tcBorders>
                    <w:tl2br w:val="nil"/>
                    <w:tr2bl w:val="nil"/>
                  </w:tcBorders>
                  <w:shd w:val="clear" w:color="auto" w:fill="auto"/>
                  <w:vAlign w:val="center"/>
                </w:tcPr>
                <w:p w14:paraId="4799F40E">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68</w:t>
                  </w:r>
                </w:p>
              </w:tc>
              <w:tc>
                <w:tcPr>
                  <w:tcW w:w="1219" w:type="dxa"/>
                  <w:tcBorders>
                    <w:tl2br w:val="nil"/>
                    <w:tr2bl w:val="nil"/>
                  </w:tcBorders>
                  <w:shd w:val="clear" w:color="auto" w:fill="auto"/>
                  <w:vAlign w:val="center"/>
                </w:tcPr>
                <w:p w14:paraId="783494E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30</w:t>
                  </w:r>
                </w:p>
              </w:tc>
              <w:tc>
                <w:tcPr>
                  <w:tcW w:w="1594" w:type="dxa"/>
                  <w:tcBorders>
                    <w:tl2br w:val="nil"/>
                    <w:tr2bl w:val="nil"/>
                  </w:tcBorders>
                  <w:shd w:val="clear" w:color="auto" w:fill="auto"/>
                  <w:vAlign w:val="center"/>
                </w:tcPr>
                <w:p w14:paraId="14413744">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52</w:t>
                  </w:r>
                </w:p>
              </w:tc>
              <w:tc>
                <w:tcPr>
                  <w:tcW w:w="919" w:type="dxa"/>
                  <w:tcBorders>
                    <w:tl2br w:val="nil"/>
                    <w:tr2bl w:val="nil"/>
                  </w:tcBorders>
                  <w:shd w:val="clear" w:color="auto" w:fill="auto"/>
                  <w:vAlign w:val="center"/>
                </w:tcPr>
                <w:p w14:paraId="24F1DAFC">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c>
                <w:tcPr>
                  <w:tcW w:w="918" w:type="dxa"/>
                  <w:tcBorders>
                    <w:tl2br w:val="nil"/>
                    <w:tr2bl w:val="nil"/>
                  </w:tcBorders>
                  <w:shd w:val="clear" w:color="auto" w:fill="auto"/>
                  <w:vAlign w:val="center"/>
                </w:tcPr>
                <w:p w14:paraId="6D6AC09F">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r>
            <w:tr w14:paraId="1B025E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677AFC37">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742AC875">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叶绿素a</w:t>
                  </w:r>
                </w:p>
              </w:tc>
              <w:tc>
                <w:tcPr>
                  <w:tcW w:w="1312" w:type="dxa"/>
                  <w:tcBorders>
                    <w:tl2br w:val="nil"/>
                    <w:tr2bl w:val="nil"/>
                  </w:tcBorders>
                  <w:shd w:val="clear" w:color="auto" w:fill="auto"/>
                  <w:vAlign w:val="center"/>
                </w:tcPr>
                <w:p w14:paraId="285921B9">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0.0</w:t>
                  </w:r>
                  <w:r>
                    <w:rPr>
                      <w:snapToGrid w:val="0"/>
                      <w:kern w:val="0"/>
                      <w:sz w:val="21"/>
                      <w:szCs w:val="21"/>
                    </w:rPr>
                    <w:t>15</w:t>
                  </w:r>
                </w:p>
              </w:tc>
              <w:tc>
                <w:tcPr>
                  <w:tcW w:w="1219" w:type="dxa"/>
                  <w:tcBorders>
                    <w:tl2br w:val="nil"/>
                    <w:tr2bl w:val="nil"/>
                  </w:tcBorders>
                  <w:shd w:val="clear" w:color="auto" w:fill="auto"/>
                  <w:vAlign w:val="center"/>
                </w:tcPr>
                <w:p w14:paraId="7E6F7B5D">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0.0</w:t>
                  </w:r>
                  <w:r>
                    <w:rPr>
                      <w:snapToGrid w:val="0"/>
                      <w:kern w:val="0"/>
                      <w:sz w:val="21"/>
                      <w:szCs w:val="21"/>
                    </w:rPr>
                    <w:t>13</w:t>
                  </w:r>
                </w:p>
              </w:tc>
              <w:tc>
                <w:tcPr>
                  <w:tcW w:w="1594" w:type="dxa"/>
                  <w:tcBorders>
                    <w:tl2br w:val="nil"/>
                    <w:tr2bl w:val="nil"/>
                  </w:tcBorders>
                  <w:shd w:val="clear" w:color="auto" w:fill="auto"/>
                  <w:vAlign w:val="center"/>
                </w:tcPr>
                <w:p w14:paraId="15DC91BA">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0.0</w:t>
                  </w:r>
                  <w:r>
                    <w:rPr>
                      <w:snapToGrid w:val="0"/>
                      <w:kern w:val="0"/>
                      <w:sz w:val="21"/>
                      <w:szCs w:val="21"/>
                    </w:rPr>
                    <w:t>12</w:t>
                  </w:r>
                </w:p>
              </w:tc>
              <w:tc>
                <w:tcPr>
                  <w:tcW w:w="919" w:type="dxa"/>
                  <w:tcBorders>
                    <w:tl2br w:val="nil"/>
                    <w:tr2bl w:val="nil"/>
                  </w:tcBorders>
                  <w:shd w:val="clear" w:color="auto" w:fill="auto"/>
                  <w:vAlign w:val="center"/>
                </w:tcPr>
                <w:p w14:paraId="49CF589F">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c>
                <w:tcPr>
                  <w:tcW w:w="918" w:type="dxa"/>
                  <w:tcBorders>
                    <w:tl2br w:val="nil"/>
                    <w:tr2bl w:val="nil"/>
                  </w:tcBorders>
                  <w:shd w:val="clear" w:color="auto" w:fill="auto"/>
                  <w:vAlign w:val="center"/>
                </w:tcPr>
                <w:p w14:paraId="3287B39D">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r>
            <w:tr w14:paraId="341256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restart"/>
                  <w:tcBorders>
                    <w:tl2br w:val="nil"/>
                    <w:tr2bl w:val="nil"/>
                  </w:tcBorders>
                  <w:vAlign w:val="center"/>
                </w:tcPr>
                <w:p w14:paraId="44ED9E5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2026.06.1</w:t>
                  </w:r>
                  <w:r>
                    <w:rPr>
                      <w:rFonts w:hint="eastAsia"/>
                      <w:snapToGrid w:val="0"/>
                      <w:kern w:val="0"/>
                      <w:sz w:val="21"/>
                      <w:szCs w:val="21"/>
                    </w:rPr>
                    <w:t>7</w:t>
                  </w:r>
                </w:p>
              </w:tc>
              <w:tc>
                <w:tcPr>
                  <w:tcW w:w="1744" w:type="dxa"/>
                  <w:tcBorders>
                    <w:tl2br w:val="nil"/>
                    <w:tr2bl w:val="nil"/>
                  </w:tcBorders>
                  <w:shd w:val="clear" w:color="auto" w:fill="auto"/>
                  <w:vAlign w:val="center"/>
                </w:tcPr>
                <w:p w14:paraId="6AE05D8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pH（无量纲）</w:t>
                  </w:r>
                </w:p>
              </w:tc>
              <w:tc>
                <w:tcPr>
                  <w:tcW w:w="1312" w:type="dxa"/>
                  <w:tcBorders>
                    <w:tl2br w:val="nil"/>
                    <w:tr2bl w:val="nil"/>
                  </w:tcBorders>
                  <w:shd w:val="clear" w:color="auto" w:fill="auto"/>
                  <w:vAlign w:val="center"/>
                </w:tcPr>
                <w:p w14:paraId="3C70C96D">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7.9</w:t>
                  </w:r>
                </w:p>
              </w:tc>
              <w:tc>
                <w:tcPr>
                  <w:tcW w:w="1219" w:type="dxa"/>
                  <w:tcBorders>
                    <w:tl2br w:val="nil"/>
                    <w:tr2bl w:val="nil"/>
                  </w:tcBorders>
                  <w:shd w:val="clear" w:color="auto" w:fill="auto"/>
                  <w:vAlign w:val="center"/>
                </w:tcPr>
                <w:p w14:paraId="4DEC3C3B">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7.9</w:t>
                  </w:r>
                </w:p>
              </w:tc>
              <w:tc>
                <w:tcPr>
                  <w:tcW w:w="1594" w:type="dxa"/>
                  <w:tcBorders>
                    <w:tl2br w:val="nil"/>
                    <w:tr2bl w:val="nil"/>
                  </w:tcBorders>
                  <w:shd w:val="clear" w:color="auto" w:fill="auto"/>
                  <w:vAlign w:val="center"/>
                </w:tcPr>
                <w:p w14:paraId="7ACF70E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7.8</w:t>
                  </w:r>
                </w:p>
              </w:tc>
              <w:tc>
                <w:tcPr>
                  <w:tcW w:w="1837" w:type="dxa"/>
                  <w:gridSpan w:val="2"/>
                  <w:tcBorders>
                    <w:tl2br w:val="nil"/>
                    <w:tr2bl w:val="nil"/>
                  </w:tcBorders>
                  <w:shd w:val="clear" w:color="auto" w:fill="auto"/>
                  <w:vAlign w:val="center"/>
                </w:tcPr>
                <w:p w14:paraId="032B6D72">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6~9</w:t>
                  </w:r>
                </w:p>
              </w:tc>
            </w:tr>
            <w:tr w14:paraId="095E15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3E9E8C62">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637C6FDB">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化学需氧量</w:t>
                  </w:r>
                </w:p>
              </w:tc>
              <w:tc>
                <w:tcPr>
                  <w:tcW w:w="1312" w:type="dxa"/>
                  <w:tcBorders>
                    <w:tl2br w:val="nil"/>
                    <w:tr2bl w:val="nil"/>
                  </w:tcBorders>
                  <w:shd w:val="clear" w:color="auto" w:fill="auto"/>
                  <w:vAlign w:val="center"/>
                </w:tcPr>
                <w:p w14:paraId="37DBFFBF">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16</w:t>
                  </w:r>
                </w:p>
              </w:tc>
              <w:tc>
                <w:tcPr>
                  <w:tcW w:w="1219" w:type="dxa"/>
                  <w:tcBorders>
                    <w:tl2br w:val="nil"/>
                    <w:tr2bl w:val="nil"/>
                  </w:tcBorders>
                  <w:shd w:val="clear" w:color="auto" w:fill="auto"/>
                  <w:vAlign w:val="center"/>
                </w:tcPr>
                <w:p w14:paraId="0DEF1E67">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15</w:t>
                  </w:r>
                </w:p>
              </w:tc>
              <w:tc>
                <w:tcPr>
                  <w:tcW w:w="1594" w:type="dxa"/>
                  <w:tcBorders>
                    <w:tl2br w:val="nil"/>
                    <w:tr2bl w:val="nil"/>
                  </w:tcBorders>
                  <w:shd w:val="clear" w:color="auto" w:fill="auto"/>
                  <w:vAlign w:val="center"/>
                </w:tcPr>
                <w:p w14:paraId="296E0AFE">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9</w:t>
                  </w:r>
                </w:p>
              </w:tc>
              <w:tc>
                <w:tcPr>
                  <w:tcW w:w="919" w:type="dxa"/>
                  <w:tcBorders>
                    <w:tl2br w:val="nil"/>
                    <w:tr2bl w:val="nil"/>
                  </w:tcBorders>
                  <w:shd w:val="clear" w:color="auto" w:fill="auto"/>
                  <w:vAlign w:val="center"/>
                </w:tcPr>
                <w:p w14:paraId="7DA8873D">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20</w:t>
                  </w:r>
                </w:p>
              </w:tc>
              <w:tc>
                <w:tcPr>
                  <w:tcW w:w="918" w:type="dxa"/>
                  <w:tcBorders>
                    <w:tl2br w:val="nil"/>
                    <w:tr2bl w:val="nil"/>
                  </w:tcBorders>
                  <w:shd w:val="clear" w:color="auto" w:fill="auto"/>
                  <w:vAlign w:val="center"/>
                </w:tcPr>
                <w:p w14:paraId="45592E9D">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30</w:t>
                  </w:r>
                </w:p>
              </w:tc>
            </w:tr>
            <w:tr w14:paraId="3CB5D9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797822DB">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10DE184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五日生化需氧量</w:t>
                  </w:r>
                </w:p>
              </w:tc>
              <w:tc>
                <w:tcPr>
                  <w:tcW w:w="1312" w:type="dxa"/>
                  <w:tcBorders>
                    <w:tl2br w:val="nil"/>
                    <w:tr2bl w:val="nil"/>
                  </w:tcBorders>
                  <w:shd w:val="clear" w:color="auto" w:fill="auto"/>
                  <w:vAlign w:val="center"/>
                </w:tcPr>
                <w:p w14:paraId="33564B3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3.4</w:t>
                  </w:r>
                </w:p>
              </w:tc>
              <w:tc>
                <w:tcPr>
                  <w:tcW w:w="1219" w:type="dxa"/>
                  <w:tcBorders>
                    <w:tl2br w:val="nil"/>
                    <w:tr2bl w:val="nil"/>
                  </w:tcBorders>
                  <w:shd w:val="clear" w:color="auto" w:fill="auto"/>
                  <w:vAlign w:val="center"/>
                </w:tcPr>
                <w:p w14:paraId="1090344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3.1</w:t>
                  </w:r>
                </w:p>
              </w:tc>
              <w:tc>
                <w:tcPr>
                  <w:tcW w:w="1594" w:type="dxa"/>
                  <w:tcBorders>
                    <w:tl2br w:val="nil"/>
                    <w:tr2bl w:val="nil"/>
                  </w:tcBorders>
                  <w:shd w:val="clear" w:color="auto" w:fill="auto"/>
                  <w:vAlign w:val="center"/>
                </w:tcPr>
                <w:p w14:paraId="07326395">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1.8</w:t>
                  </w:r>
                </w:p>
              </w:tc>
              <w:tc>
                <w:tcPr>
                  <w:tcW w:w="919" w:type="dxa"/>
                  <w:tcBorders>
                    <w:tl2br w:val="nil"/>
                    <w:tr2bl w:val="nil"/>
                  </w:tcBorders>
                  <w:shd w:val="clear" w:color="auto" w:fill="auto"/>
                  <w:vAlign w:val="center"/>
                </w:tcPr>
                <w:p w14:paraId="33231229">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4</w:t>
                  </w:r>
                </w:p>
              </w:tc>
              <w:tc>
                <w:tcPr>
                  <w:tcW w:w="918" w:type="dxa"/>
                  <w:tcBorders>
                    <w:tl2br w:val="nil"/>
                    <w:tr2bl w:val="nil"/>
                  </w:tcBorders>
                  <w:shd w:val="clear" w:color="auto" w:fill="auto"/>
                  <w:vAlign w:val="center"/>
                </w:tcPr>
                <w:p w14:paraId="637C9039">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6</w:t>
                  </w:r>
                </w:p>
              </w:tc>
            </w:tr>
            <w:tr w14:paraId="7E0C98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2754118D">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5F321B8C">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悬浮物</w:t>
                  </w:r>
                </w:p>
              </w:tc>
              <w:tc>
                <w:tcPr>
                  <w:tcW w:w="1312" w:type="dxa"/>
                  <w:tcBorders>
                    <w:tl2br w:val="nil"/>
                    <w:tr2bl w:val="nil"/>
                  </w:tcBorders>
                  <w:shd w:val="clear" w:color="auto" w:fill="auto"/>
                  <w:vAlign w:val="center"/>
                </w:tcPr>
                <w:p w14:paraId="2057B51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11</w:t>
                  </w:r>
                </w:p>
              </w:tc>
              <w:tc>
                <w:tcPr>
                  <w:tcW w:w="1219" w:type="dxa"/>
                  <w:tcBorders>
                    <w:tl2br w:val="nil"/>
                    <w:tr2bl w:val="nil"/>
                  </w:tcBorders>
                  <w:shd w:val="clear" w:color="auto" w:fill="auto"/>
                  <w:vAlign w:val="center"/>
                </w:tcPr>
                <w:p w14:paraId="5FCABDB2">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7</w:t>
                  </w:r>
                </w:p>
              </w:tc>
              <w:tc>
                <w:tcPr>
                  <w:tcW w:w="1594" w:type="dxa"/>
                  <w:tcBorders>
                    <w:tl2br w:val="nil"/>
                    <w:tr2bl w:val="nil"/>
                  </w:tcBorders>
                  <w:shd w:val="clear" w:color="auto" w:fill="auto"/>
                  <w:vAlign w:val="center"/>
                </w:tcPr>
                <w:p w14:paraId="7FDC320C">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6</w:t>
                  </w:r>
                </w:p>
              </w:tc>
              <w:tc>
                <w:tcPr>
                  <w:tcW w:w="919" w:type="dxa"/>
                  <w:tcBorders>
                    <w:tl2br w:val="nil"/>
                    <w:tr2bl w:val="nil"/>
                  </w:tcBorders>
                  <w:shd w:val="clear" w:color="auto" w:fill="auto"/>
                  <w:vAlign w:val="center"/>
                </w:tcPr>
                <w:p w14:paraId="3D78F523">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c>
                <w:tcPr>
                  <w:tcW w:w="918" w:type="dxa"/>
                  <w:tcBorders>
                    <w:tl2br w:val="nil"/>
                    <w:tr2bl w:val="nil"/>
                  </w:tcBorders>
                  <w:shd w:val="clear" w:color="auto" w:fill="auto"/>
                  <w:vAlign w:val="center"/>
                </w:tcPr>
                <w:p w14:paraId="64612671">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r>
            <w:tr w14:paraId="4D1057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4430988F">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17598E54">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氨氮</w:t>
                  </w:r>
                </w:p>
              </w:tc>
              <w:tc>
                <w:tcPr>
                  <w:tcW w:w="1312" w:type="dxa"/>
                  <w:tcBorders>
                    <w:tl2br w:val="nil"/>
                    <w:tr2bl w:val="nil"/>
                  </w:tcBorders>
                  <w:shd w:val="clear" w:color="auto" w:fill="auto"/>
                  <w:vAlign w:val="center"/>
                </w:tcPr>
                <w:p w14:paraId="61B5E0F7">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0.733</w:t>
                  </w:r>
                </w:p>
              </w:tc>
              <w:tc>
                <w:tcPr>
                  <w:tcW w:w="1219" w:type="dxa"/>
                  <w:tcBorders>
                    <w:tl2br w:val="nil"/>
                    <w:tr2bl w:val="nil"/>
                  </w:tcBorders>
                  <w:shd w:val="clear" w:color="auto" w:fill="auto"/>
                  <w:vAlign w:val="center"/>
                </w:tcPr>
                <w:p w14:paraId="19844344">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0.324</w:t>
                  </w:r>
                </w:p>
              </w:tc>
              <w:tc>
                <w:tcPr>
                  <w:tcW w:w="1594" w:type="dxa"/>
                  <w:tcBorders>
                    <w:tl2br w:val="nil"/>
                    <w:tr2bl w:val="nil"/>
                  </w:tcBorders>
                  <w:shd w:val="clear" w:color="auto" w:fill="auto"/>
                  <w:vAlign w:val="center"/>
                </w:tcPr>
                <w:p w14:paraId="021551E3">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0.166</w:t>
                  </w:r>
                </w:p>
              </w:tc>
              <w:tc>
                <w:tcPr>
                  <w:tcW w:w="919" w:type="dxa"/>
                  <w:tcBorders>
                    <w:tl2br w:val="nil"/>
                    <w:tr2bl w:val="nil"/>
                  </w:tcBorders>
                  <w:shd w:val="clear" w:color="auto" w:fill="auto"/>
                  <w:vAlign w:val="center"/>
                </w:tcPr>
                <w:p w14:paraId="06F31E33">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1.0</w:t>
                  </w:r>
                </w:p>
              </w:tc>
              <w:tc>
                <w:tcPr>
                  <w:tcW w:w="918" w:type="dxa"/>
                  <w:tcBorders>
                    <w:tl2br w:val="nil"/>
                    <w:tr2bl w:val="nil"/>
                  </w:tcBorders>
                  <w:shd w:val="clear" w:color="auto" w:fill="auto"/>
                  <w:vAlign w:val="center"/>
                </w:tcPr>
                <w:p w14:paraId="37DA4EDD">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1.5</w:t>
                  </w:r>
                </w:p>
              </w:tc>
            </w:tr>
            <w:tr w14:paraId="1AD6E7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070A2659">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2B6DD27D">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总氮</w:t>
                  </w:r>
                </w:p>
              </w:tc>
              <w:tc>
                <w:tcPr>
                  <w:tcW w:w="1312" w:type="dxa"/>
                  <w:tcBorders>
                    <w:tl2br w:val="nil"/>
                    <w:tr2bl w:val="nil"/>
                  </w:tcBorders>
                  <w:shd w:val="clear" w:color="auto" w:fill="auto"/>
                  <w:vAlign w:val="center"/>
                </w:tcPr>
                <w:p w14:paraId="2F30DB0E">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0.74</w:t>
                  </w:r>
                </w:p>
              </w:tc>
              <w:tc>
                <w:tcPr>
                  <w:tcW w:w="1219" w:type="dxa"/>
                  <w:tcBorders>
                    <w:tl2br w:val="nil"/>
                    <w:tr2bl w:val="nil"/>
                  </w:tcBorders>
                  <w:shd w:val="clear" w:color="auto" w:fill="auto"/>
                  <w:vAlign w:val="center"/>
                </w:tcPr>
                <w:p w14:paraId="0050732B">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0.88</w:t>
                  </w:r>
                </w:p>
              </w:tc>
              <w:tc>
                <w:tcPr>
                  <w:tcW w:w="1594" w:type="dxa"/>
                  <w:tcBorders>
                    <w:tl2br w:val="nil"/>
                    <w:tr2bl w:val="nil"/>
                  </w:tcBorders>
                  <w:shd w:val="clear" w:color="auto" w:fill="auto"/>
                  <w:vAlign w:val="center"/>
                </w:tcPr>
                <w:p w14:paraId="295EEC40">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0.40</w:t>
                  </w:r>
                </w:p>
              </w:tc>
              <w:tc>
                <w:tcPr>
                  <w:tcW w:w="919" w:type="dxa"/>
                  <w:tcBorders>
                    <w:tl2br w:val="nil"/>
                    <w:tr2bl w:val="nil"/>
                  </w:tcBorders>
                  <w:shd w:val="clear" w:color="auto" w:fill="auto"/>
                  <w:vAlign w:val="center"/>
                </w:tcPr>
                <w:p w14:paraId="399A0C7F">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1.0</w:t>
                  </w:r>
                </w:p>
              </w:tc>
              <w:tc>
                <w:tcPr>
                  <w:tcW w:w="918" w:type="dxa"/>
                  <w:tcBorders>
                    <w:tl2br w:val="nil"/>
                    <w:tr2bl w:val="nil"/>
                  </w:tcBorders>
                  <w:shd w:val="clear" w:color="auto" w:fill="auto"/>
                  <w:vAlign w:val="center"/>
                </w:tcPr>
                <w:p w14:paraId="65DE43AB">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1.5</w:t>
                  </w:r>
                </w:p>
              </w:tc>
            </w:tr>
            <w:tr w14:paraId="433425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418237DB">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3BA590E5">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总磷</w:t>
                  </w:r>
                </w:p>
              </w:tc>
              <w:tc>
                <w:tcPr>
                  <w:tcW w:w="1312" w:type="dxa"/>
                  <w:tcBorders>
                    <w:tl2br w:val="nil"/>
                    <w:tr2bl w:val="nil"/>
                  </w:tcBorders>
                  <w:shd w:val="clear" w:color="auto" w:fill="auto"/>
                  <w:vAlign w:val="center"/>
                </w:tcPr>
                <w:p w14:paraId="59B46DD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0.12</w:t>
                  </w:r>
                </w:p>
              </w:tc>
              <w:tc>
                <w:tcPr>
                  <w:tcW w:w="1219" w:type="dxa"/>
                  <w:tcBorders>
                    <w:tl2br w:val="nil"/>
                    <w:tr2bl w:val="nil"/>
                  </w:tcBorders>
                  <w:shd w:val="clear" w:color="auto" w:fill="auto"/>
                  <w:vAlign w:val="center"/>
                </w:tcPr>
                <w:p w14:paraId="79E6CA5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0.05</w:t>
                  </w:r>
                </w:p>
              </w:tc>
              <w:tc>
                <w:tcPr>
                  <w:tcW w:w="1594" w:type="dxa"/>
                  <w:tcBorders>
                    <w:tl2br w:val="nil"/>
                    <w:tr2bl w:val="nil"/>
                  </w:tcBorders>
                  <w:shd w:val="clear" w:color="auto" w:fill="auto"/>
                  <w:vAlign w:val="center"/>
                </w:tcPr>
                <w:p w14:paraId="25ED416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0.08</w:t>
                  </w:r>
                </w:p>
              </w:tc>
              <w:tc>
                <w:tcPr>
                  <w:tcW w:w="919" w:type="dxa"/>
                  <w:tcBorders>
                    <w:tl2br w:val="nil"/>
                    <w:tr2bl w:val="nil"/>
                  </w:tcBorders>
                  <w:shd w:val="clear" w:color="auto" w:fill="auto"/>
                  <w:vAlign w:val="center"/>
                </w:tcPr>
                <w:p w14:paraId="19F2BF26">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0.2</w:t>
                  </w:r>
                </w:p>
              </w:tc>
              <w:tc>
                <w:tcPr>
                  <w:tcW w:w="918" w:type="dxa"/>
                  <w:tcBorders>
                    <w:tl2br w:val="nil"/>
                    <w:tr2bl w:val="nil"/>
                  </w:tcBorders>
                  <w:shd w:val="clear" w:color="auto" w:fill="auto"/>
                  <w:vAlign w:val="center"/>
                </w:tcPr>
                <w:p w14:paraId="109BC729">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0.3</w:t>
                  </w:r>
                </w:p>
              </w:tc>
            </w:tr>
            <w:tr w14:paraId="0850E4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4299C10C">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1F8FB1F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高锰酸盐指数</w:t>
                  </w:r>
                </w:p>
              </w:tc>
              <w:tc>
                <w:tcPr>
                  <w:tcW w:w="1312" w:type="dxa"/>
                  <w:tcBorders>
                    <w:tl2br w:val="nil"/>
                    <w:tr2bl w:val="nil"/>
                  </w:tcBorders>
                  <w:shd w:val="clear" w:color="auto" w:fill="auto"/>
                  <w:vAlign w:val="center"/>
                </w:tcPr>
                <w:p w14:paraId="66AB2AF1">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3.4</w:t>
                  </w:r>
                </w:p>
              </w:tc>
              <w:tc>
                <w:tcPr>
                  <w:tcW w:w="1219" w:type="dxa"/>
                  <w:tcBorders>
                    <w:tl2br w:val="nil"/>
                    <w:tr2bl w:val="nil"/>
                  </w:tcBorders>
                  <w:shd w:val="clear" w:color="auto" w:fill="auto"/>
                  <w:vAlign w:val="center"/>
                </w:tcPr>
                <w:p w14:paraId="4F9B5410">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3.0</w:t>
                  </w:r>
                </w:p>
              </w:tc>
              <w:tc>
                <w:tcPr>
                  <w:tcW w:w="1594" w:type="dxa"/>
                  <w:tcBorders>
                    <w:tl2br w:val="nil"/>
                    <w:tr2bl w:val="nil"/>
                  </w:tcBorders>
                  <w:shd w:val="clear" w:color="auto" w:fill="auto"/>
                  <w:vAlign w:val="center"/>
                </w:tcPr>
                <w:p w14:paraId="14F4D4F7">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2.9</w:t>
                  </w:r>
                </w:p>
              </w:tc>
              <w:tc>
                <w:tcPr>
                  <w:tcW w:w="919" w:type="dxa"/>
                  <w:tcBorders>
                    <w:tl2br w:val="nil"/>
                    <w:tr2bl w:val="nil"/>
                  </w:tcBorders>
                  <w:shd w:val="clear" w:color="auto" w:fill="auto"/>
                  <w:vAlign w:val="center"/>
                </w:tcPr>
                <w:p w14:paraId="0F9AB178">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6</w:t>
                  </w:r>
                </w:p>
              </w:tc>
              <w:tc>
                <w:tcPr>
                  <w:tcW w:w="918" w:type="dxa"/>
                  <w:tcBorders>
                    <w:tl2br w:val="nil"/>
                    <w:tr2bl w:val="nil"/>
                  </w:tcBorders>
                  <w:shd w:val="clear" w:color="auto" w:fill="auto"/>
                  <w:vAlign w:val="center"/>
                </w:tcPr>
                <w:p w14:paraId="3C9702BD">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10</w:t>
                  </w:r>
                </w:p>
              </w:tc>
            </w:tr>
            <w:tr w14:paraId="45322F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22629147">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3A6C1A00">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透明度</w:t>
                  </w:r>
                  <w:r>
                    <w:rPr>
                      <w:rFonts w:hint="eastAsia"/>
                      <w:snapToGrid w:val="0"/>
                      <w:kern w:val="0"/>
                      <w:sz w:val="21"/>
                      <w:szCs w:val="21"/>
                    </w:rPr>
                    <w:t>（cm）</w:t>
                  </w:r>
                </w:p>
              </w:tc>
              <w:tc>
                <w:tcPr>
                  <w:tcW w:w="1312" w:type="dxa"/>
                  <w:tcBorders>
                    <w:tl2br w:val="nil"/>
                    <w:tr2bl w:val="nil"/>
                  </w:tcBorders>
                  <w:shd w:val="clear" w:color="auto" w:fill="auto"/>
                  <w:vAlign w:val="center"/>
                </w:tcPr>
                <w:p w14:paraId="602E373B">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52</w:t>
                  </w:r>
                </w:p>
              </w:tc>
              <w:tc>
                <w:tcPr>
                  <w:tcW w:w="1219" w:type="dxa"/>
                  <w:tcBorders>
                    <w:tl2br w:val="nil"/>
                    <w:tr2bl w:val="nil"/>
                  </w:tcBorders>
                  <w:shd w:val="clear" w:color="auto" w:fill="auto"/>
                  <w:vAlign w:val="center"/>
                </w:tcPr>
                <w:p w14:paraId="6809CC57">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35</w:t>
                  </w:r>
                </w:p>
              </w:tc>
              <w:tc>
                <w:tcPr>
                  <w:tcW w:w="1594" w:type="dxa"/>
                  <w:tcBorders>
                    <w:tl2br w:val="nil"/>
                    <w:tr2bl w:val="nil"/>
                  </w:tcBorders>
                  <w:shd w:val="clear" w:color="auto" w:fill="auto"/>
                  <w:vAlign w:val="center"/>
                </w:tcPr>
                <w:p w14:paraId="5AF113C0">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46</w:t>
                  </w:r>
                </w:p>
              </w:tc>
              <w:tc>
                <w:tcPr>
                  <w:tcW w:w="919" w:type="dxa"/>
                  <w:tcBorders>
                    <w:tl2br w:val="nil"/>
                    <w:tr2bl w:val="nil"/>
                  </w:tcBorders>
                  <w:shd w:val="clear" w:color="auto" w:fill="auto"/>
                  <w:vAlign w:val="center"/>
                </w:tcPr>
                <w:p w14:paraId="6D8F8709">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c>
                <w:tcPr>
                  <w:tcW w:w="918" w:type="dxa"/>
                  <w:tcBorders>
                    <w:tl2br w:val="nil"/>
                    <w:tr2bl w:val="nil"/>
                  </w:tcBorders>
                  <w:shd w:val="clear" w:color="auto" w:fill="auto"/>
                  <w:vAlign w:val="center"/>
                </w:tcPr>
                <w:p w14:paraId="363C5FC1">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r>
            <w:tr w14:paraId="4F1EE9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dxa"/>
                  <w:vMerge w:val="continue"/>
                  <w:tcBorders>
                    <w:tl2br w:val="nil"/>
                    <w:tr2bl w:val="nil"/>
                  </w:tcBorders>
                  <w:vAlign w:val="center"/>
                </w:tcPr>
                <w:p w14:paraId="315FB5C4">
                  <w:pPr>
                    <w:widowControl/>
                    <w:autoSpaceDE w:val="0"/>
                    <w:autoSpaceDN w:val="0"/>
                    <w:adjustRightInd w:val="0"/>
                    <w:snapToGrid w:val="0"/>
                    <w:spacing w:line="240" w:lineRule="auto"/>
                    <w:ind w:firstLine="0" w:firstLineChars="0"/>
                    <w:jc w:val="center"/>
                    <w:textAlignment w:val="baseline"/>
                    <w:rPr>
                      <w:snapToGrid w:val="0"/>
                      <w:kern w:val="0"/>
                      <w:sz w:val="21"/>
                      <w:szCs w:val="21"/>
                    </w:rPr>
                  </w:pPr>
                </w:p>
              </w:tc>
              <w:tc>
                <w:tcPr>
                  <w:tcW w:w="1744" w:type="dxa"/>
                  <w:tcBorders>
                    <w:tl2br w:val="nil"/>
                    <w:tr2bl w:val="nil"/>
                  </w:tcBorders>
                  <w:shd w:val="clear" w:color="auto" w:fill="auto"/>
                  <w:vAlign w:val="center"/>
                </w:tcPr>
                <w:p w14:paraId="3FCCFD31">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snapToGrid w:val="0"/>
                      <w:kern w:val="0"/>
                      <w:sz w:val="21"/>
                      <w:szCs w:val="21"/>
                    </w:rPr>
                    <w:t>叶绿素a</w:t>
                  </w:r>
                </w:p>
              </w:tc>
              <w:tc>
                <w:tcPr>
                  <w:tcW w:w="1312" w:type="dxa"/>
                  <w:tcBorders>
                    <w:tl2br w:val="nil"/>
                    <w:tr2bl w:val="nil"/>
                  </w:tcBorders>
                  <w:shd w:val="clear" w:color="auto" w:fill="auto"/>
                  <w:vAlign w:val="center"/>
                </w:tcPr>
                <w:p w14:paraId="361A043D">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0.0</w:t>
                  </w:r>
                  <w:r>
                    <w:rPr>
                      <w:snapToGrid w:val="0"/>
                      <w:kern w:val="0"/>
                      <w:sz w:val="21"/>
                      <w:szCs w:val="21"/>
                    </w:rPr>
                    <w:t>16</w:t>
                  </w:r>
                </w:p>
              </w:tc>
              <w:tc>
                <w:tcPr>
                  <w:tcW w:w="1219" w:type="dxa"/>
                  <w:tcBorders>
                    <w:tl2br w:val="nil"/>
                    <w:tr2bl w:val="nil"/>
                  </w:tcBorders>
                  <w:shd w:val="clear" w:color="auto" w:fill="auto"/>
                  <w:vAlign w:val="center"/>
                </w:tcPr>
                <w:p w14:paraId="1F215DEC">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0.0</w:t>
                  </w:r>
                  <w:r>
                    <w:rPr>
                      <w:snapToGrid w:val="0"/>
                      <w:kern w:val="0"/>
                      <w:sz w:val="21"/>
                      <w:szCs w:val="21"/>
                    </w:rPr>
                    <w:t>14</w:t>
                  </w:r>
                </w:p>
              </w:tc>
              <w:tc>
                <w:tcPr>
                  <w:tcW w:w="1594" w:type="dxa"/>
                  <w:tcBorders>
                    <w:tl2br w:val="nil"/>
                    <w:tr2bl w:val="nil"/>
                  </w:tcBorders>
                  <w:shd w:val="clear" w:color="auto" w:fill="auto"/>
                  <w:vAlign w:val="center"/>
                </w:tcPr>
                <w:p w14:paraId="5E1CDE54">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0.0</w:t>
                  </w:r>
                  <w:r>
                    <w:rPr>
                      <w:snapToGrid w:val="0"/>
                      <w:kern w:val="0"/>
                      <w:sz w:val="21"/>
                      <w:szCs w:val="21"/>
                    </w:rPr>
                    <w:t>12</w:t>
                  </w:r>
                </w:p>
              </w:tc>
              <w:tc>
                <w:tcPr>
                  <w:tcW w:w="919" w:type="dxa"/>
                  <w:tcBorders>
                    <w:tl2br w:val="nil"/>
                    <w:tr2bl w:val="nil"/>
                  </w:tcBorders>
                  <w:shd w:val="clear" w:color="auto" w:fill="auto"/>
                  <w:vAlign w:val="center"/>
                </w:tcPr>
                <w:p w14:paraId="148A342E">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c>
                <w:tcPr>
                  <w:tcW w:w="918" w:type="dxa"/>
                  <w:tcBorders>
                    <w:tl2br w:val="nil"/>
                    <w:tr2bl w:val="nil"/>
                  </w:tcBorders>
                  <w:shd w:val="clear" w:color="auto" w:fill="auto"/>
                  <w:vAlign w:val="center"/>
                </w:tcPr>
                <w:p w14:paraId="15007F43">
                  <w:pPr>
                    <w:widowControl/>
                    <w:autoSpaceDE w:val="0"/>
                    <w:autoSpaceDN w:val="0"/>
                    <w:adjustRightInd w:val="0"/>
                    <w:snapToGrid w:val="0"/>
                    <w:spacing w:line="240" w:lineRule="auto"/>
                    <w:ind w:firstLine="0" w:firstLineChars="0"/>
                    <w:jc w:val="center"/>
                    <w:textAlignment w:val="baseline"/>
                    <w:rPr>
                      <w:snapToGrid w:val="0"/>
                      <w:kern w:val="0"/>
                      <w:sz w:val="21"/>
                      <w:szCs w:val="21"/>
                    </w:rPr>
                  </w:pPr>
                  <w:r>
                    <w:rPr>
                      <w:rFonts w:hint="eastAsia"/>
                      <w:snapToGrid w:val="0"/>
                      <w:kern w:val="0"/>
                      <w:sz w:val="21"/>
                      <w:szCs w:val="21"/>
                    </w:rPr>
                    <w:t>/</w:t>
                  </w:r>
                </w:p>
              </w:tc>
            </w:tr>
          </w:tbl>
          <w:p w14:paraId="6FFC7413">
            <w:pPr>
              <w:ind w:firstLine="480"/>
            </w:pPr>
            <w:r>
              <w:t>监测结果表明，本项目各监测断面各项指标均能满足《地表水环境质量标准》 （GB3838-2002）规定的Ⅱ类</w:t>
            </w:r>
            <w:r>
              <w:rPr>
                <w:rFonts w:hint="eastAsia"/>
              </w:rPr>
              <w:t>、</w:t>
            </w:r>
            <w:r>
              <w:t>Ⅲ类水域标准要求。</w:t>
            </w:r>
          </w:p>
          <w:p w14:paraId="42FE00DA">
            <w:pPr>
              <w:ind w:firstLine="0" w:firstLineChars="0"/>
              <w:rPr>
                <w:b/>
                <w:bCs/>
              </w:rPr>
            </w:pPr>
            <w:r>
              <w:rPr>
                <w:rFonts w:hint="eastAsia"/>
                <w:b/>
                <w:bCs/>
              </w:rPr>
              <w:t>3、声环境质量现状</w:t>
            </w:r>
          </w:p>
          <w:p w14:paraId="25738017">
            <w:pPr>
              <w:ind w:firstLine="480"/>
            </w:pPr>
            <w:r>
              <w:rPr>
                <w:rFonts w:hint="eastAsia"/>
              </w:rPr>
              <w:t>本项目委托</w:t>
            </w:r>
            <w:r>
              <w:t>达州恒福环境监测服务有限公司</w:t>
            </w:r>
            <w:r>
              <w:rPr>
                <w:rFonts w:hint="eastAsia"/>
              </w:rPr>
              <w:t>于2026年6月16日对项目所在地声环境质量现状进行了检测。监测结果如下所示。</w:t>
            </w:r>
          </w:p>
          <w:p w14:paraId="5B05C47A">
            <w:pPr>
              <w:ind w:firstLine="480"/>
            </w:pPr>
            <w:r>
              <w:t>监测布点</w:t>
            </w:r>
            <w:r>
              <w:rPr>
                <w:rFonts w:hint="eastAsia"/>
              </w:rPr>
              <w:t>：本次环评在项目沿线及周边敏感点共布设声环境监测点6个，详见表3-5，具体监测点位见附图。</w:t>
            </w:r>
          </w:p>
          <w:p w14:paraId="074F5929">
            <w:pPr>
              <w:ind w:firstLine="422"/>
              <w:jc w:val="center"/>
              <w:rPr>
                <w:b/>
                <w:bCs/>
                <w:sz w:val="21"/>
                <w:szCs w:val="21"/>
              </w:rPr>
            </w:pPr>
            <w:r>
              <w:rPr>
                <w:rFonts w:hint="eastAsia"/>
                <w:b/>
                <w:bCs/>
                <w:sz w:val="21"/>
                <w:szCs w:val="21"/>
              </w:rPr>
              <w:t>表3-5  声环境质量监测布点情况一览表</w:t>
            </w:r>
          </w:p>
          <w:tbl>
            <w:tblPr>
              <w:tblStyle w:val="19"/>
              <w:tblW w:w="857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0"/>
              <w:gridCol w:w="2917"/>
              <w:gridCol w:w="733"/>
              <w:gridCol w:w="4279"/>
            </w:tblGrid>
            <w:tr w14:paraId="2DED49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0" w:type="dxa"/>
                  <w:tcBorders>
                    <w:tl2br w:val="nil"/>
                    <w:tr2bl w:val="nil"/>
                  </w:tcBorders>
                  <w:vAlign w:val="center"/>
                </w:tcPr>
                <w:p w14:paraId="0A1C2F66">
                  <w:pPr>
                    <w:adjustRightInd w:val="0"/>
                    <w:snapToGrid w:val="0"/>
                    <w:spacing w:line="240" w:lineRule="auto"/>
                    <w:ind w:firstLine="0" w:firstLineChars="0"/>
                    <w:jc w:val="center"/>
                    <w:rPr>
                      <w:b/>
                      <w:bCs/>
                      <w:sz w:val="21"/>
                      <w:szCs w:val="21"/>
                    </w:rPr>
                  </w:pPr>
                  <w:r>
                    <w:rPr>
                      <w:rFonts w:hint="eastAsia"/>
                      <w:b/>
                      <w:bCs/>
                      <w:sz w:val="21"/>
                      <w:szCs w:val="21"/>
                    </w:rPr>
                    <w:t>序号</w:t>
                  </w:r>
                </w:p>
              </w:tc>
              <w:tc>
                <w:tcPr>
                  <w:tcW w:w="2917" w:type="dxa"/>
                  <w:tcBorders>
                    <w:tl2br w:val="nil"/>
                    <w:tr2bl w:val="nil"/>
                  </w:tcBorders>
                  <w:vAlign w:val="center"/>
                </w:tcPr>
                <w:p w14:paraId="765303B0">
                  <w:pPr>
                    <w:adjustRightInd w:val="0"/>
                    <w:snapToGrid w:val="0"/>
                    <w:spacing w:line="240" w:lineRule="auto"/>
                    <w:ind w:firstLine="0" w:firstLineChars="0"/>
                    <w:jc w:val="center"/>
                    <w:rPr>
                      <w:b/>
                      <w:bCs/>
                      <w:sz w:val="21"/>
                      <w:szCs w:val="21"/>
                    </w:rPr>
                  </w:pPr>
                  <w:r>
                    <w:rPr>
                      <w:rFonts w:hint="eastAsia"/>
                      <w:b/>
                      <w:bCs/>
                      <w:sz w:val="21"/>
                      <w:szCs w:val="21"/>
                    </w:rPr>
                    <w:t>点位名称及编号</w:t>
                  </w:r>
                </w:p>
              </w:tc>
              <w:tc>
                <w:tcPr>
                  <w:tcW w:w="733" w:type="dxa"/>
                  <w:tcBorders>
                    <w:tl2br w:val="nil"/>
                    <w:tr2bl w:val="nil"/>
                  </w:tcBorders>
                  <w:vAlign w:val="center"/>
                </w:tcPr>
                <w:p w14:paraId="69C17A82">
                  <w:pPr>
                    <w:adjustRightInd w:val="0"/>
                    <w:snapToGrid w:val="0"/>
                    <w:spacing w:line="240" w:lineRule="auto"/>
                    <w:ind w:firstLine="0" w:firstLineChars="0"/>
                    <w:jc w:val="center"/>
                    <w:rPr>
                      <w:b/>
                      <w:bCs/>
                      <w:sz w:val="21"/>
                      <w:szCs w:val="21"/>
                    </w:rPr>
                  </w:pPr>
                  <w:r>
                    <w:rPr>
                      <w:rFonts w:hint="eastAsia"/>
                      <w:b/>
                      <w:bCs/>
                      <w:sz w:val="21"/>
                      <w:szCs w:val="21"/>
                    </w:rPr>
                    <w:t>监测项目</w:t>
                  </w:r>
                </w:p>
              </w:tc>
              <w:tc>
                <w:tcPr>
                  <w:tcW w:w="4279" w:type="dxa"/>
                  <w:tcBorders>
                    <w:tl2br w:val="nil"/>
                    <w:tr2bl w:val="nil"/>
                  </w:tcBorders>
                  <w:vAlign w:val="center"/>
                </w:tcPr>
                <w:p w14:paraId="3E85CBEE">
                  <w:pPr>
                    <w:adjustRightInd w:val="0"/>
                    <w:snapToGrid w:val="0"/>
                    <w:spacing w:line="240" w:lineRule="auto"/>
                    <w:ind w:firstLine="0" w:firstLineChars="0"/>
                    <w:jc w:val="center"/>
                    <w:rPr>
                      <w:b/>
                      <w:bCs/>
                      <w:sz w:val="21"/>
                      <w:szCs w:val="21"/>
                    </w:rPr>
                  </w:pPr>
                  <w:r>
                    <w:rPr>
                      <w:rFonts w:hint="eastAsia"/>
                      <w:b/>
                      <w:bCs/>
                      <w:sz w:val="21"/>
                      <w:szCs w:val="21"/>
                    </w:rPr>
                    <w:t>执行标准</w:t>
                  </w:r>
                </w:p>
              </w:tc>
            </w:tr>
            <w:tr w14:paraId="45C6ED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0" w:type="dxa"/>
                  <w:tcBorders>
                    <w:tl2br w:val="nil"/>
                    <w:tr2bl w:val="nil"/>
                  </w:tcBorders>
                  <w:vAlign w:val="center"/>
                </w:tcPr>
                <w:p w14:paraId="031EC86F">
                  <w:pPr>
                    <w:adjustRightInd w:val="0"/>
                    <w:snapToGrid w:val="0"/>
                    <w:spacing w:line="240" w:lineRule="auto"/>
                    <w:ind w:firstLine="0" w:firstLineChars="0"/>
                    <w:jc w:val="center"/>
                    <w:rPr>
                      <w:sz w:val="21"/>
                      <w:szCs w:val="21"/>
                    </w:rPr>
                  </w:pPr>
                  <w:r>
                    <w:rPr>
                      <w:rFonts w:hint="eastAsia"/>
                      <w:sz w:val="21"/>
                      <w:szCs w:val="21"/>
                    </w:rPr>
                    <w:t>1</w:t>
                  </w:r>
                </w:p>
              </w:tc>
              <w:tc>
                <w:tcPr>
                  <w:tcW w:w="2917" w:type="dxa"/>
                  <w:tcBorders>
                    <w:tl2br w:val="nil"/>
                    <w:tr2bl w:val="nil"/>
                  </w:tcBorders>
                  <w:vAlign w:val="center"/>
                </w:tcPr>
                <w:p w14:paraId="4EFBEAB1">
                  <w:pPr>
                    <w:snapToGrid w:val="0"/>
                    <w:spacing w:line="240" w:lineRule="auto"/>
                    <w:ind w:firstLine="0" w:firstLineChars="0"/>
                    <w:jc w:val="center"/>
                    <w:rPr>
                      <w:sz w:val="21"/>
                      <w:szCs w:val="21"/>
                    </w:rPr>
                  </w:pPr>
                  <w:r>
                    <w:rPr>
                      <w:sz w:val="21"/>
                      <w:szCs w:val="21"/>
                    </w:rPr>
                    <w:t>1#，控制导流设施（拦河闸坝）闸址北侧中交·王府景居民楼</w:t>
                  </w:r>
                </w:p>
              </w:tc>
              <w:tc>
                <w:tcPr>
                  <w:tcW w:w="733" w:type="dxa"/>
                  <w:vMerge w:val="restart"/>
                  <w:tcBorders>
                    <w:tl2br w:val="nil"/>
                    <w:tr2bl w:val="nil"/>
                  </w:tcBorders>
                  <w:vAlign w:val="center"/>
                </w:tcPr>
                <w:p w14:paraId="31677420">
                  <w:pPr>
                    <w:adjustRightInd w:val="0"/>
                    <w:snapToGrid w:val="0"/>
                    <w:spacing w:line="240" w:lineRule="auto"/>
                    <w:ind w:firstLine="0" w:firstLineChars="0"/>
                    <w:jc w:val="center"/>
                    <w:rPr>
                      <w:sz w:val="21"/>
                      <w:szCs w:val="21"/>
                    </w:rPr>
                  </w:pPr>
                  <w:r>
                    <w:rPr>
                      <w:rFonts w:hint="eastAsia"/>
                      <w:sz w:val="21"/>
                      <w:szCs w:val="21"/>
                    </w:rPr>
                    <w:t>环境噪声</w:t>
                  </w:r>
                </w:p>
              </w:tc>
              <w:tc>
                <w:tcPr>
                  <w:tcW w:w="4279" w:type="dxa"/>
                  <w:tcBorders>
                    <w:tl2br w:val="nil"/>
                    <w:tr2bl w:val="nil"/>
                  </w:tcBorders>
                  <w:vAlign w:val="center"/>
                </w:tcPr>
                <w:p w14:paraId="68DEC8B6">
                  <w:pPr>
                    <w:snapToGrid w:val="0"/>
                    <w:spacing w:line="240" w:lineRule="auto"/>
                    <w:ind w:firstLine="0" w:firstLineChars="0"/>
                    <w:jc w:val="center"/>
                    <w:rPr>
                      <w:sz w:val="21"/>
                      <w:szCs w:val="21"/>
                    </w:rPr>
                  </w:pPr>
                  <w:r>
                    <w:rPr>
                      <w:rFonts w:hint="eastAsia"/>
                      <w:sz w:val="21"/>
                      <w:szCs w:val="20"/>
                    </w:rPr>
                    <w:t>《</w:t>
                  </w:r>
                  <w:r>
                    <w:rPr>
                      <w:rFonts w:hint="eastAsia"/>
                      <w:sz w:val="21"/>
                      <w:szCs w:val="21"/>
                    </w:rPr>
                    <w:t>声环境质量标准》（GB3096-2008）4a类</w:t>
                  </w:r>
                </w:p>
              </w:tc>
            </w:tr>
            <w:tr w14:paraId="79D896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650" w:type="dxa"/>
                  <w:tcBorders>
                    <w:tl2br w:val="nil"/>
                    <w:tr2bl w:val="nil"/>
                  </w:tcBorders>
                  <w:vAlign w:val="center"/>
                </w:tcPr>
                <w:p w14:paraId="7B867366">
                  <w:pPr>
                    <w:adjustRightInd w:val="0"/>
                    <w:snapToGrid w:val="0"/>
                    <w:spacing w:line="240" w:lineRule="auto"/>
                    <w:ind w:firstLine="0" w:firstLineChars="0"/>
                    <w:jc w:val="center"/>
                    <w:rPr>
                      <w:sz w:val="21"/>
                      <w:szCs w:val="21"/>
                    </w:rPr>
                  </w:pPr>
                  <w:r>
                    <w:rPr>
                      <w:rFonts w:hint="eastAsia"/>
                      <w:sz w:val="21"/>
                      <w:szCs w:val="21"/>
                    </w:rPr>
                    <w:t>2</w:t>
                  </w:r>
                </w:p>
              </w:tc>
              <w:tc>
                <w:tcPr>
                  <w:tcW w:w="2917" w:type="dxa"/>
                  <w:tcBorders>
                    <w:tl2br w:val="nil"/>
                    <w:tr2bl w:val="nil"/>
                  </w:tcBorders>
                  <w:vAlign w:val="center"/>
                </w:tcPr>
                <w:p w14:paraId="700600E5">
                  <w:pPr>
                    <w:snapToGrid w:val="0"/>
                    <w:spacing w:line="240" w:lineRule="auto"/>
                    <w:ind w:firstLine="0" w:firstLineChars="0"/>
                    <w:jc w:val="center"/>
                    <w:rPr>
                      <w:sz w:val="21"/>
                      <w:szCs w:val="21"/>
                    </w:rPr>
                  </w:pPr>
                  <w:r>
                    <w:rPr>
                      <w:sz w:val="21"/>
                      <w:szCs w:val="21"/>
                    </w:rPr>
                    <w:t>2#，巴中市中坝小学</w:t>
                  </w:r>
                </w:p>
              </w:tc>
              <w:tc>
                <w:tcPr>
                  <w:tcW w:w="733" w:type="dxa"/>
                  <w:vMerge w:val="continue"/>
                  <w:tcBorders>
                    <w:tl2br w:val="nil"/>
                    <w:tr2bl w:val="nil"/>
                  </w:tcBorders>
                  <w:vAlign w:val="center"/>
                </w:tcPr>
                <w:p w14:paraId="315D4050">
                  <w:pPr>
                    <w:adjustRightInd w:val="0"/>
                    <w:snapToGrid w:val="0"/>
                    <w:spacing w:line="240" w:lineRule="auto"/>
                    <w:ind w:firstLine="0" w:firstLineChars="0"/>
                    <w:jc w:val="center"/>
                    <w:rPr>
                      <w:sz w:val="21"/>
                      <w:szCs w:val="21"/>
                    </w:rPr>
                  </w:pPr>
                </w:p>
              </w:tc>
              <w:tc>
                <w:tcPr>
                  <w:tcW w:w="4279" w:type="dxa"/>
                  <w:tcBorders>
                    <w:tl2br w:val="nil"/>
                    <w:tr2bl w:val="nil"/>
                  </w:tcBorders>
                  <w:vAlign w:val="center"/>
                </w:tcPr>
                <w:p w14:paraId="6178FEEC">
                  <w:pPr>
                    <w:snapToGrid w:val="0"/>
                    <w:spacing w:line="240" w:lineRule="auto"/>
                    <w:ind w:firstLine="0" w:firstLineChars="0"/>
                    <w:jc w:val="center"/>
                    <w:rPr>
                      <w:sz w:val="21"/>
                      <w:szCs w:val="21"/>
                    </w:rPr>
                  </w:pPr>
                  <w:r>
                    <w:rPr>
                      <w:rFonts w:hint="eastAsia"/>
                      <w:sz w:val="21"/>
                      <w:szCs w:val="21"/>
                    </w:rPr>
                    <w:t>《声环境质量标准》（GB3096-2008）2类</w:t>
                  </w:r>
                </w:p>
              </w:tc>
            </w:tr>
            <w:tr w14:paraId="36A113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0" w:type="dxa"/>
                  <w:tcBorders>
                    <w:tl2br w:val="nil"/>
                    <w:tr2bl w:val="nil"/>
                  </w:tcBorders>
                  <w:vAlign w:val="center"/>
                </w:tcPr>
                <w:p w14:paraId="0524B63D">
                  <w:pPr>
                    <w:adjustRightInd w:val="0"/>
                    <w:snapToGrid w:val="0"/>
                    <w:spacing w:line="240" w:lineRule="auto"/>
                    <w:ind w:firstLine="0" w:firstLineChars="0"/>
                    <w:jc w:val="center"/>
                    <w:rPr>
                      <w:sz w:val="21"/>
                      <w:szCs w:val="21"/>
                    </w:rPr>
                  </w:pPr>
                  <w:r>
                    <w:rPr>
                      <w:rFonts w:hint="eastAsia"/>
                      <w:sz w:val="21"/>
                      <w:szCs w:val="21"/>
                    </w:rPr>
                    <w:t>3</w:t>
                  </w:r>
                </w:p>
              </w:tc>
              <w:tc>
                <w:tcPr>
                  <w:tcW w:w="2917" w:type="dxa"/>
                  <w:tcBorders>
                    <w:tl2br w:val="nil"/>
                    <w:tr2bl w:val="nil"/>
                  </w:tcBorders>
                  <w:vAlign w:val="center"/>
                </w:tcPr>
                <w:p w14:paraId="6C6FE54D">
                  <w:pPr>
                    <w:snapToGrid w:val="0"/>
                    <w:spacing w:line="240" w:lineRule="auto"/>
                    <w:ind w:firstLine="0" w:firstLineChars="0"/>
                    <w:jc w:val="center"/>
                    <w:rPr>
                      <w:sz w:val="21"/>
                      <w:szCs w:val="21"/>
                    </w:rPr>
                  </w:pPr>
                  <w:r>
                    <w:rPr>
                      <w:sz w:val="21"/>
                      <w:szCs w:val="21"/>
                    </w:rPr>
                    <w:t>3#，檬子河大桥东侧居民楼</w:t>
                  </w:r>
                </w:p>
              </w:tc>
              <w:tc>
                <w:tcPr>
                  <w:tcW w:w="733" w:type="dxa"/>
                  <w:vMerge w:val="continue"/>
                  <w:tcBorders>
                    <w:tl2br w:val="nil"/>
                    <w:tr2bl w:val="nil"/>
                  </w:tcBorders>
                  <w:vAlign w:val="center"/>
                </w:tcPr>
                <w:p w14:paraId="1BBC9C15">
                  <w:pPr>
                    <w:adjustRightInd w:val="0"/>
                    <w:snapToGrid w:val="0"/>
                    <w:spacing w:line="240" w:lineRule="auto"/>
                    <w:ind w:firstLine="0" w:firstLineChars="0"/>
                    <w:jc w:val="center"/>
                    <w:rPr>
                      <w:sz w:val="21"/>
                      <w:szCs w:val="21"/>
                    </w:rPr>
                  </w:pPr>
                </w:p>
              </w:tc>
              <w:tc>
                <w:tcPr>
                  <w:tcW w:w="4279" w:type="dxa"/>
                  <w:tcBorders>
                    <w:tl2br w:val="nil"/>
                    <w:tr2bl w:val="nil"/>
                  </w:tcBorders>
                  <w:vAlign w:val="center"/>
                </w:tcPr>
                <w:p w14:paraId="2DBC94B1">
                  <w:pPr>
                    <w:snapToGrid w:val="0"/>
                    <w:spacing w:line="240" w:lineRule="auto"/>
                    <w:ind w:firstLine="0" w:firstLineChars="0"/>
                    <w:jc w:val="center"/>
                    <w:rPr>
                      <w:sz w:val="21"/>
                      <w:szCs w:val="21"/>
                    </w:rPr>
                  </w:pPr>
                  <w:r>
                    <w:rPr>
                      <w:rFonts w:hint="eastAsia"/>
                      <w:sz w:val="21"/>
                      <w:szCs w:val="21"/>
                    </w:rPr>
                    <w:t>《声环境质量标准》（GB3096-2008）2类</w:t>
                  </w:r>
                </w:p>
              </w:tc>
            </w:tr>
            <w:tr w14:paraId="7B4518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0" w:type="dxa"/>
                  <w:tcBorders>
                    <w:tl2br w:val="nil"/>
                    <w:tr2bl w:val="nil"/>
                  </w:tcBorders>
                  <w:vAlign w:val="center"/>
                </w:tcPr>
                <w:p w14:paraId="5C790754">
                  <w:pPr>
                    <w:adjustRightInd w:val="0"/>
                    <w:snapToGrid w:val="0"/>
                    <w:spacing w:line="240" w:lineRule="auto"/>
                    <w:ind w:firstLine="0" w:firstLineChars="0"/>
                    <w:jc w:val="center"/>
                    <w:rPr>
                      <w:sz w:val="21"/>
                      <w:szCs w:val="21"/>
                    </w:rPr>
                  </w:pPr>
                  <w:r>
                    <w:rPr>
                      <w:rFonts w:hint="eastAsia"/>
                      <w:sz w:val="21"/>
                      <w:szCs w:val="21"/>
                    </w:rPr>
                    <w:t>4</w:t>
                  </w:r>
                </w:p>
              </w:tc>
              <w:tc>
                <w:tcPr>
                  <w:tcW w:w="2917" w:type="dxa"/>
                  <w:tcBorders>
                    <w:tl2br w:val="nil"/>
                    <w:tr2bl w:val="nil"/>
                  </w:tcBorders>
                  <w:vAlign w:val="center"/>
                </w:tcPr>
                <w:p w14:paraId="2A1B174E">
                  <w:pPr>
                    <w:snapToGrid w:val="0"/>
                    <w:spacing w:line="240" w:lineRule="auto"/>
                    <w:ind w:firstLine="0" w:firstLineChars="0"/>
                    <w:jc w:val="center"/>
                    <w:rPr>
                      <w:sz w:val="21"/>
                      <w:szCs w:val="21"/>
                    </w:rPr>
                  </w:pPr>
                  <w:r>
                    <w:rPr>
                      <w:sz w:val="21"/>
                      <w:szCs w:val="21"/>
                    </w:rPr>
                    <w:t xml:space="preserve">4#，后河大桥西侧居民楼 </w:t>
                  </w:r>
                </w:p>
              </w:tc>
              <w:tc>
                <w:tcPr>
                  <w:tcW w:w="733" w:type="dxa"/>
                  <w:vMerge w:val="continue"/>
                  <w:tcBorders>
                    <w:tl2br w:val="nil"/>
                    <w:tr2bl w:val="nil"/>
                  </w:tcBorders>
                  <w:vAlign w:val="center"/>
                </w:tcPr>
                <w:p w14:paraId="6C59D37D">
                  <w:pPr>
                    <w:adjustRightInd w:val="0"/>
                    <w:snapToGrid w:val="0"/>
                    <w:spacing w:line="240" w:lineRule="auto"/>
                    <w:ind w:firstLine="0" w:firstLineChars="0"/>
                    <w:jc w:val="center"/>
                    <w:rPr>
                      <w:sz w:val="21"/>
                      <w:szCs w:val="21"/>
                    </w:rPr>
                  </w:pPr>
                </w:p>
              </w:tc>
              <w:tc>
                <w:tcPr>
                  <w:tcW w:w="4279" w:type="dxa"/>
                  <w:tcBorders>
                    <w:tl2br w:val="nil"/>
                    <w:tr2bl w:val="nil"/>
                  </w:tcBorders>
                  <w:vAlign w:val="center"/>
                </w:tcPr>
                <w:p w14:paraId="4D135F8A">
                  <w:pPr>
                    <w:snapToGrid w:val="0"/>
                    <w:spacing w:line="240" w:lineRule="auto"/>
                    <w:ind w:firstLine="0" w:firstLineChars="0"/>
                    <w:jc w:val="center"/>
                    <w:rPr>
                      <w:sz w:val="21"/>
                      <w:szCs w:val="21"/>
                    </w:rPr>
                  </w:pPr>
                  <w:r>
                    <w:rPr>
                      <w:rFonts w:hint="eastAsia"/>
                      <w:sz w:val="21"/>
                      <w:szCs w:val="20"/>
                    </w:rPr>
                    <w:t>《</w:t>
                  </w:r>
                  <w:r>
                    <w:rPr>
                      <w:rFonts w:hint="eastAsia"/>
                      <w:sz w:val="21"/>
                      <w:szCs w:val="21"/>
                    </w:rPr>
                    <w:t>声环境质量标准》（GB3096-2008）4a类</w:t>
                  </w:r>
                </w:p>
              </w:tc>
            </w:tr>
            <w:tr w14:paraId="2B8059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0" w:type="dxa"/>
                  <w:tcBorders>
                    <w:tl2br w:val="nil"/>
                    <w:tr2bl w:val="nil"/>
                  </w:tcBorders>
                  <w:vAlign w:val="center"/>
                </w:tcPr>
                <w:p w14:paraId="24BCAD5F">
                  <w:pPr>
                    <w:adjustRightInd w:val="0"/>
                    <w:snapToGrid w:val="0"/>
                    <w:spacing w:line="240" w:lineRule="auto"/>
                    <w:ind w:firstLine="0" w:firstLineChars="0"/>
                    <w:jc w:val="center"/>
                    <w:rPr>
                      <w:sz w:val="21"/>
                      <w:szCs w:val="21"/>
                    </w:rPr>
                  </w:pPr>
                  <w:r>
                    <w:rPr>
                      <w:rFonts w:hint="eastAsia"/>
                      <w:sz w:val="21"/>
                      <w:szCs w:val="21"/>
                    </w:rPr>
                    <w:t>5</w:t>
                  </w:r>
                </w:p>
              </w:tc>
              <w:tc>
                <w:tcPr>
                  <w:tcW w:w="2917" w:type="dxa"/>
                  <w:tcBorders>
                    <w:tl2br w:val="nil"/>
                    <w:tr2bl w:val="nil"/>
                  </w:tcBorders>
                  <w:vAlign w:val="center"/>
                </w:tcPr>
                <w:p w14:paraId="7553CC48">
                  <w:pPr>
                    <w:snapToGrid w:val="0"/>
                    <w:spacing w:line="240" w:lineRule="auto"/>
                    <w:ind w:firstLine="0" w:firstLineChars="0"/>
                    <w:jc w:val="center"/>
                    <w:rPr>
                      <w:sz w:val="21"/>
                      <w:szCs w:val="21"/>
                    </w:rPr>
                  </w:pPr>
                  <w:r>
                    <w:rPr>
                      <w:sz w:val="21"/>
                      <w:szCs w:val="21"/>
                    </w:rPr>
                    <w:t>5#，国盛首府居民楼</w:t>
                  </w:r>
                </w:p>
              </w:tc>
              <w:tc>
                <w:tcPr>
                  <w:tcW w:w="733" w:type="dxa"/>
                  <w:vMerge w:val="continue"/>
                  <w:tcBorders>
                    <w:tl2br w:val="nil"/>
                    <w:tr2bl w:val="nil"/>
                  </w:tcBorders>
                  <w:vAlign w:val="center"/>
                </w:tcPr>
                <w:p w14:paraId="2AD0DDE5">
                  <w:pPr>
                    <w:adjustRightInd w:val="0"/>
                    <w:snapToGrid w:val="0"/>
                    <w:spacing w:line="240" w:lineRule="auto"/>
                    <w:ind w:firstLine="0" w:firstLineChars="0"/>
                    <w:jc w:val="center"/>
                    <w:rPr>
                      <w:sz w:val="21"/>
                      <w:szCs w:val="21"/>
                    </w:rPr>
                  </w:pPr>
                </w:p>
              </w:tc>
              <w:tc>
                <w:tcPr>
                  <w:tcW w:w="4279" w:type="dxa"/>
                  <w:tcBorders>
                    <w:tl2br w:val="nil"/>
                    <w:tr2bl w:val="nil"/>
                  </w:tcBorders>
                  <w:vAlign w:val="center"/>
                </w:tcPr>
                <w:p w14:paraId="29DD57DC">
                  <w:pPr>
                    <w:snapToGrid w:val="0"/>
                    <w:spacing w:line="240" w:lineRule="auto"/>
                    <w:ind w:firstLine="0" w:firstLineChars="0"/>
                    <w:jc w:val="center"/>
                    <w:rPr>
                      <w:sz w:val="21"/>
                      <w:szCs w:val="21"/>
                    </w:rPr>
                  </w:pPr>
                  <w:r>
                    <w:rPr>
                      <w:rFonts w:hint="eastAsia"/>
                      <w:sz w:val="21"/>
                      <w:szCs w:val="21"/>
                    </w:rPr>
                    <w:t>《声环境质量标准》（GB3096-2008）2类</w:t>
                  </w:r>
                </w:p>
              </w:tc>
            </w:tr>
            <w:tr w14:paraId="1267A3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0" w:type="dxa"/>
                  <w:tcBorders>
                    <w:tl2br w:val="nil"/>
                    <w:tr2bl w:val="nil"/>
                  </w:tcBorders>
                  <w:vAlign w:val="center"/>
                </w:tcPr>
                <w:p w14:paraId="75EB0843">
                  <w:pPr>
                    <w:adjustRightInd w:val="0"/>
                    <w:snapToGrid w:val="0"/>
                    <w:spacing w:line="240" w:lineRule="auto"/>
                    <w:ind w:firstLine="0" w:firstLineChars="0"/>
                    <w:jc w:val="center"/>
                    <w:rPr>
                      <w:sz w:val="21"/>
                      <w:szCs w:val="21"/>
                    </w:rPr>
                  </w:pPr>
                  <w:r>
                    <w:rPr>
                      <w:rFonts w:hint="eastAsia"/>
                      <w:sz w:val="21"/>
                      <w:szCs w:val="21"/>
                    </w:rPr>
                    <w:t>6</w:t>
                  </w:r>
                </w:p>
              </w:tc>
              <w:tc>
                <w:tcPr>
                  <w:tcW w:w="2917" w:type="dxa"/>
                  <w:tcBorders>
                    <w:tl2br w:val="nil"/>
                    <w:tr2bl w:val="nil"/>
                  </w:tcBorders>
                  <w:vAlign w:val="center"/>
                </w:tcPr>
                <w:p w14:paraId="54A8F384">
                  <w:pPr>
                    <w:snapToGrid w:val="0"/>
                    <w:spacing w:line="240" w:lineRule="auto"/>
                    <w:ind w:firstLine="0" w:firstLineChars="0"/>
                    <w:jc w:val="center"/>
                    <w:rPr>
                      <w:sz w:val="21"/>
                      <w:szCs w:val="21"/>
                    </w:rPr>
                  </w:pPr>
                  <w:r>
                    <w:rPr>
                      <w:sz w:val="21"/>
                      <w:szCs w:val="21"/>
                    </w:rPr>
                    <w:t>6#，正兴苑居民楼</w:t>
                  </w:r>
                </w:p>
              </w:tc>
              <w:tc>
                <w:tcPr>
                  <w:tcW w:w="733" w:type="dxa"/>
                  <w:vMerge w:val="continue"/>
                  <w:tcBorders>
                    <w:tl2br w:val="nil"/>
                    <w:tr2bl w:val="nil"/>
                  </w:tcBorders>
                  <w:vAlign w:val="center"/>
                </w:tcPr>
                <w:p w14:paraId="7092EE7C">
                  <w:pPr>
                    <w:adjustRightInd w:val="0"/>
                    <w:snapToGrid w:val="0"/>
                    <w:spacing w:line="240" w:lineRule="auto"/>
                    <w:ind w:firstLine="0" w:firstLineChars="0"/>
                    <w:jc w:val="center"/>
                    <w:rPr>
                      <w:sz w:val="21"/>
                      <w:szCs w:val="21"/>
                    </w:rPr>
                  </w:pPr>
                </w:p>
              </w:tc>
              <w:tc>
                <w:tcPr>
                  <w:tcW w:w="4279" w:type="dxa"/>
                  <w:tcBorders>
                    <w:tl2br w:val="nil"/>
                    <w:tr2bl w:val="nil"/>
                  </w:tcBorders>
                  <w:vAlign w:val="center"/>
                </w:tcPr>
                <w:p w14:paraId="4FD3FB97">
                  <w:pPr>
                    <w:snapToGrid w:val="0"/>
                    <w:spacing w:line="240" w:lineRule="auto"/>
                    <w:ind w:firstLine="0" w:firstLineChars="0"/>
                    <w:jc w:val="center"/>
                    <w:rPr>
                      <w:sz w:val="21"/>
                      <w:szCs w:val="21"/>
                    </w:rPr>
                  </w:pPr>
                  <w:r>
                    <w:rPr>
                      <w:rFonts w:hint="eastAsia"/>
                      <w:sz w:val="21"/>
                      <w:szCs w:val="21"/>
                    </w:rPr>
                    <w:t>《声环境质量标准》（GB3096-2008）2类</w:t>
                  </w:r>
                </w:p>
              </w:tc>
            </w:tr>
          </w:tbl>
          <w:p w14:paraId="2CE8EEB8">
            <w:pPr>
              <w:ind w:firstLine="480"/>
            </w:pPr>
            <w:r>
              <w:rPr>
                <w:rFonts w:hint="eastAsia"/>
              </w:rPr>
              <w:t>监测频率：监测1天，昼、夜各1次</w:t>
            </w:r>
            <w:r>
              <w:t>。</w:t>
            </w:r>
          </w:p>
          <w:p w14:paraId="7F1ACD40">
            <w:pPr>
              <w:ind w:firstLine="480"/>
            </w:pPr>
            <w:r>
              <w:rPr>
                <w:rFonts w:hint="eastAsia"/>
              </w:rPr>
              <w:t>监测结果：区域环境噪声监测结果见表3-6。</w:t>
            </w:r>
          </w:p>
          <w:p w14:paraId="2DC7C707">
            <w:pPr>
              <w:ind w:firstLine="422"/>
              <w:jc w:val="center"/>
              <w:rPr>
                <w:b/>
                <w:bCs/>
                <w:sz w:val="21"/>
                <w:szCs w:val="21"/>
              </w:rPr>
            </w:pPr>
            <w:r>
              <w:rPr>
                <w:rFonts w:hint="eastAsia"/>
                <w:b/>
                <w:bCs/>
                <w:sz w:val="21"/>
                <w:szCs w:val="21"/>
              </w:rPr>
              <w:t>表3-6  声环境监测结果          单位：</w:t>
            </w:r>
            <w:r>
              <w:rPr>
                <w:b/>
                <w:bCs/>
                <w:sz w:val="21"/>
                <w:szCs w:val="21"/>
              </w:rPr>
              <w:t>[dB</w:t>
            </w:r>
            <w:r>
              <w:rPr>
                <w:rFonts w:hint="eastAsia"/>
                <w:b/>
                <w:bCs/>
                <w:sz w:val="21"/>
                <w:szCs w:val="21"/>
              </w:rPr>
              <w:t>（</w:t>
            </w:r>
            <w:r>
              <w:rPr>
                <w:b/>
                <w:bCs/>
                <w:sz w:val="21"/>
                <w:szCs w:val="21"/>
              </w:rPr>
              <w:t>A</w:t>
            </w:r>
            <w:r>
              <w:rPr>
                <w:rFonts w:hint="eastAsia"/>
                <w:b/>
                <w:bCs/>
                <w:sz w:val="21"/>
                <w:szCs w:val="21"/>
              </w:rPr>
              <w:t>）</w:t>
            </w:r>
            <w:r>
              <w:rPr>
                <w:b/>
                <w:bCs/>
                <w:sz w:val="21"/>
                <w:szCs w:val="21"/>
              </w:rPr>
              <w:t>]</w:t>
            </w:r>
          </w:p>
          <w:tbl>
            <w:tblPr>
              <w:tblStyle w:val="18"/>
              <w:tblW w:w="8576"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65"/>
              <w:gridCol w:w="600"/>
              <w:gridCol w:w="2117"/>
              <w:gridCol w:w="1300"/>
              <w:gridCol w:w="683"/>
              <w:gridCol w:w="1267"/>
              <w:gridCol w:w="716"/>
              <w:gridCol w:w="584"/>
              <w:gridCol w:w="544"/>
            </w:tblGrid>
            <w:tr w14:paraId="62E572C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23" w:hRule="atLeast"/>
                <w:tblHeader/>
                <w:jc w:val="center"/>
              </w:trPr>
              <w:tc>
                <w:tcPr>
                  <w:tcW w:w="765" w:type="dxa"/>
                  <w:vMerge w:val="restart"/>
                  <w:tcBorders>
                    <w:top w:val="single" w:color="auto" w:sz="12" w:space="0"/>
                    <w:bottom w:val="single" w:color="auto" w:sz="4" w:space="0"/>
                    <w:right w:val="single" w:color="auto" w:sz="4" w:space="0"/>
                  </w:tcBorders>
                  <w:vAlign w:val="center"/>
                </w:tcPr>
                <w:p w14:paraId="642B2D09">
                  <w:pPr>
                    <w:snapToGrid w:val="0"/>
                    <w:spacing w:line="240" w:lineRule="auto"/>
                    <w:ind w:firstLine="0" w:firstLineChars="0"/>
                    <w:jc w:val="center"/>
                    <w:rPr>
                      <w:b/>
                      <w:bCs/>
                      <w:sz w:val="21"/>
                      <w:szCs w:val="21"/>
                    </w:rPr>
                  </w:pPr>
                  <w:r>
                    <w:rPr>
                      <w:b/>
                      <w:bCs/>
                      <w:sz w:val="21"/>
                      <w:szCs w:val="21"/>
                    </w:rPr>
                    <w:t>检测</w:t>
                  </w:r>
                </w:p>
                <w:p w14:paraId="676B95C6">
                  <w:pPr>
                    <w:snapToGrid w:val="0"/>
                    <w:spacing w:line="240" w:lineRule="auto"/>
                    <w:ind w:firstLine="0" w:firstLineChars="0"/>
                    <w:jc w:val="center"/>
                    <w:rPr>
                      <w:b/>
                      <w:bCs/>
                      <w:sz w:val="21"/>
                      <w:szCs w:val="21"/>
                    </w:rPr>
                  </w:pPr>
                  <w:r>
                    <w:rPr>
                      <w:b/>
                      <w:bCs/>
                      <w:sz w:val="21"/>
                      <w:szCs w:val="21"/>
                    </w:rPr>
                    <w:t>日期</w:t>
                  </w:r>
                </w:p>
              </w:tc>
              <w:tc>
                <w:tcPr>
                  <w:tcW w:w="600" w:type="dxa"/>
                  <w:vMerge w:val="restart"/>
                  <w:tcBorders>
                    <w:top w:val="single" w:color="auto" w:sz="12" w:space="0"/>
                    <w:left w:val="single" w:color="auto" w:sz="4" w:space="0"/>
                    <w:bottom w:val="single" w:color="auto" w:sz="4" w:space="0"/>
                    <w:right w:val="single" w:color="auto" w:sz="4" w:space="0"/>
                  </w:tcBorders>
                  <w:vAlign w:val="center"/>
                </w:tcPr>
                <w:p w14:paraId="255DAF2A">
                  <w:pPr>
                    <w:snapToGrid w:val="0"/>
                    <w:spacing w:line="240" w:lineRule="auto"/>
                    <w:ind w:firstLine="0" w:firstLineChars="0"/>
                    <w:jc w:val="center"/>
                    <w:rPr>
                      <w:b/>
                      <w:bCs/>
                      <w:sz w:val="21"/>
                      <w:szCs w:val="21"/>
                    </w:rPr>
                  </w:pPr>
                  <w:r>
                    <w:rPr>
                      <w:b/>
                      <w:bCs/>
                      <w:sz w:val="21"/>
                      <w:szCs w:val="21"/>
                    </w:rPr>
                    <w:t>检测</w:t>
                  </w:r>
                </w:p>
                <w:p w14:paraId="161596C2">
                  <w:pPr>
                    <w:snapToGrid w:val="0"/>
                    <w:spacing w:line="240" w:lineRule="auto"/>
                    <w:ind w:firstLine="0" w:firstLineChars="0"/>
                    <w:jc w:val="center"/>
                    <w:rPr>
                      <w:b/>
                      <w:bCs/>
                      <w:sz w:val="21"/>
                      <w:szCs w:val="21"/>
                    </w:rPr>
                  </w:pPr>
                  <w:r>
                    <w:rPr>
                      <w:b/>
                      <w:bCs/>
                      <w:sz w:val="21"/>
                      <w:szCs w:val="21"/>
                    </w:rPr>
                    <w:t>因子</w:t>
                  </w:r>
                </w:p>
              </w:tc>
              <w:tc>
                <w:tcPr>
                  <w:tcW w:w="2117" w:type="dxa"/>
                  <w:vMerge w:val="restart"/>
                  <w:tcBorders>
                    <w:top w:val="single" w:color="auto" w:sz="12" w:space="0"/>
                    <w:left w:val="single" w:color="auto" w:sz="4" w:space="0"/>
                    <w:bottom w:val="single" w:color="auto" w:sz="4" w:space="0"/>
                    <w:right w:val="single" w:color="auto" w:sz="4" w:space="0"/>
                  </w:tcBorders>
                  <w:vAlign w:val="center"/>
                </w:tcPr>
                <w:p w14:paraId="5545424E">
                  <w:pPr>
                    <w:snapToGrid w:val="0"/>
                    <w:spacing w:line="240" w:lineRule="auto"/>
                    <w:ind w:firstLine="0" w:firstLineChars="0"/>
                    <w:jc w:val="center"/>
                    <w:rPr>
                      <w:b/>
                      <w:bCs/>
                      <w:sz w:val="21"/>
                      <w:szCs w:val="21"/>
                    </w:rPr>
                  </w:pPr>
                  <w:r>
                    <w:rPr>
                      <w:b/>
                      <w:bCs/>
                      <w:sz w:val="21"/>
                      <w:szCs w:val="21"/>
                    </w:rPr>
                    <w:t>检测点编号及位置</w:t>
                  </w:r>
                </w:p>
              </w:tc>
              <w:tc>
                <w:tcPr>
                  <w:tcW w:w="1983" w:type="dxa"/>
                  <w:gridSpan w:val="2"/>
                  <w:tcBorders>
                    <w:top w:val="single" w:color="auto" w:sz="12" w:space="0"/>
                    <w:left w:val="single" w:color="auto" w:sz="4" w:space="0"/>
                    <w:bottom w:val="single" w:color="auto" w:sz="4" w:space="0"/>
                    <w:right w:val="single" w:color="auto" w:sz="4" w:space="0"/>
                  </w:tcBorders>
                  <w:vAlign w:val="center"/>
                </w:tcPr>
                <w:p w14:paraId="5D0D7C28">
                  <w:pPr>
                    <w:snapToGrid w:val="0"/>
                    <w:spacing w:line="240" w:lineRule="auto"/>
                    <w:ind w:firstLine="0" w:firstLineChars="0"/>
                    <w:jc w:val="center"/>
                    <w:rPr>
                      <w:b/>
                      <w:bCs/>
                      <w:sz w:val="21"/>
                      <w:szCs w:val="21"/>
                    </w:rPr>
                  </w:pPr>
                  <w:r>
                    <w:rPr>
                      <w:b/>
                      <w:bCs/>
                      <w:sz w:val="21"/>
                      <w:szCs w:val="21"/>
                    </w:rPr>
                    <w:t>昼间</w:t>
                  </w:r>
                </w:p>
              </w:tc>
              <w:tc>
                <w:tcPr>
                  <w:tcW w:w="1983" w:type="dxa"/>
                  <w:gridSpan w:val="2"/>
                  <w:tcBorders>
                    <w:top w:val="single" w:color="auto" w:sz="12" w:space="0"/>
                    <w:left w:val="single" w:color="auto" w:sz="4" w:space="0"/>
                    <w:bottom w:val="single" w:color="auto" w:sz="4" w:space="0"/>
                  </w:tcBorders>
                  <w:vAlign w:val="center"/>
                </w:tcPr>
                <w:p w14:paraId="6960F1DB">
                  <w:pPr>
                    <w:snapToGrid w:val="0"/>
                    <w:spacing w:line="240" w:lineRule="auto"/>
                    <w:ind w:firstLine="0" w:firstLineChars="0"/>
                    <w:jc w:val="center"/>
                    <w:rPr>
                      <w:b/>
                      <w:bCs/>
                      <w:sz w:val="21"/>
                      <w:szCs w:val="21"/>
                    </w:rPr>
                  </w:pPr>
                  <w:r>
                    <w:rPr>
                      <w:b/>
                      <w:bCs/>
                      <w:sz w:val="21"/>
                      <w:szCs w:val="21"/>
                    </w:rPr>
                    <w:t>夜间</w:t>
                  </w:r>
                </w:p>
              </w:tc>
              <w:tc>
                <w:tcPr>
                  <w:tcW w:w="1128" w:type="dxa"/>
                  <w:gridSpan w:val="2"/>
                  <w:tcBorders>
                    <w:top w:val="single" w:color="auto" w:sz="12" w:space="0"/>
                    <w:left w:val="single" w:color="auto" w:sz="4" w:space="0"/>
                    <w:bottom w:val="single" w:color="auto" w:sz="4" w:space="0"/>
                  </w:tcBorders>
                  <w:vAlign w:val="center"/>
                </w:tcPr>
                <w:p w14:paraId="472B4AE8">
                  <w:pPr>
                    <w:snapToGrid w:val="0"/>
                    <w:spacing w:line="240" w:lineRule="auto"/>
                    <w:ind w:firstLine="0" w:firstLineChars="0"/>
                    <w:jc w:val="center"/>
                    <w:rPr>
                      <w:b/>
                      <w:bCs/>
                      <w:sz w:val="21"/>
                      <w:szCs w:val="21"/>
                    </w:rPr>
                  </w:pPr>
                  <w:r>
                    <w:rPr>
                      <w:rFonts w:hint="eastAsia"/>
                      <w:b/>
                      <w:bCs/>
                      <w:sz w:val="21"/>
                      <w:szCs w:val="21"/>
                    </w:rPr>
                    <w:t>标准限值</w:t>
                  </w:r>
                </w:p>
              </w:tc>
            </w:tr>
            <w:tr w14:paraId="173F1D3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blHeader/>
                <w:jc w:val="center"/>
              </w:trPr>
              <w:tc>
                <w:tcPr>
                  <w:tcW w:w="765" w:type="dxa"/>
                  <w:vMerge w:val="continue"/>
                  <w:tcBorders>
                    <w:top w:val="single" w:color="auto" w:sz="4" w:space="0"/>
                    <w:bottom w:val="single" w:color="auto" w:sz="12" w:space="0"/>
                    <w:right w:val="single" w:color="auto" w:sz="4" w:space="0"/>
                  </w:tcBorders>
                  <w:vAlign w:val="center"/>
                </w:tcPr>
                <w:p w14:paraId="17714DF5">
                  <w:pPr>
                    <w:snapToGrid w:val="0"/>
                    <w:spacing w:line="240" w:lineRule="auto"/>
                    <w:ind w:firstLine="0" w:firstLineChars="0"/>
                    <w:jc w:val="center"/>
                    <w:rPr>
                      <w:b/>
                      <w:bCs/>
                      <w:sz w:val="21"/>
                      <w:szCs w:val="21"/>
                    </w:rPr>
                  </w:pPr>
                </w:p>
              </w:tc>
              <w:tc>
                <w:tcPr>
                  <w:tcW w:w="600" w:type="dxa"/>
                  <w:vMerge w:val="continue"/>
                  <w:tcBorders>
                    <w:top w:val="single" w:color="auto" w:sz="4" w:space="0"/>
                    <w:left w:val="single" w:color="auto" w:sz="4" w:space="0"/>
                    <w:bottom w:val="single" w:color="auto" w:sz="12" w:space="0"/>
                    <w:right w:val="single" w:color="auto" w:sz="4" w:space="0"/>
                  </w:tcBorders>
                  <w:vAlign w:val="center"/>
                </w:tcPr>
                <w:p w14:paraId="70C867AC">
                  <w:pPr>
                    <w:snapToGrid w:val="0"/>
                    <w:spacing w:line="240" w:lineRule="auto"/>
                    <w:ind w:firstLine="0" w:firstLineChars="0"/>
                    <w:jc w:val="center"/>
                    <w:rPr>
                      <w:b/>
                      <w:bCs/>
                      <w:sz w:val="21"/>
                      <w:szCs w:val="21"/>
                    </w:rPr>
                  </w:pPr>
                </w:p>
              </w:tc>
              <w:tc>
                <w:tcPr>
                  <w:tcW w:w="2117" w:type="dxa"/>
                  <w:vMerge w:val="continue"/>
                  <w:tcBorders>
                    <w:top w:val="single" w:color="auto" w:sz="4" w:space="0"/>
                    <w:left w:val="single" w:color="auto" w:sz="4" w:space="0"/>
                    <w:bottom w:val="single" w:color="auto" w:sz="12" w:space="0"/>
                    <w:right w:val="single" w:color="auto" w:sz="4" w:space="0"/>
                  </w:tcBorders>
                  <w:vAlign w:val="center"/>
                </w:tcPr>
                <w:p w14:paraId="533E301D">
                  <w:pPr>
                    <w:snapToGrid w:val="0"/>
                    <w:spacing w:line="240" w:lineRule="auto"/>
                    <w:ind w:firstLine="0" w:firstLineChars="0"/>
                    <w:jc w:val="center"/>
                    <w:rPr>
                      <w:b/>
                      <w:bCs/>
                      <w:sz w:val="21"/>
                      <w:szCs w:val="21"/>
                    </w:rPr>
                  </w:pPr>
                </w:p>
              </w:tc>
              <w:tc>
                <w:tcPr>
                  <w:tcW w:w="1300" w:type="dxa"/>
                  <w:tcBorders>
                    <w:top w:val="single" w:color="auto" w:sz="4" w:space="0"/>
                    <w:left w:val="single" w:color="auto" w:sz="4" w:space="0"/>
                    <w:bottom w:val="single" w:color="auto" w:sz="12" w:space="0"/>
                    <w:right w:val="single" w:color="auto" w:sz="4" w:space="0"/>
                  </w:tcBorders>
                  <w:vAlign w:val="center"/>
                </w:tcPr>
                <w:p w14:paraId="13C8A17A">
                  <w:pPr>
                    <w:snapToGrid w:val="0"/>
                    <w:spacing w:line="240" w:lineRule="auto"/>
                    <w:ind w:firstLine="0" w:firstLineChars="0"/>
                    <w:jc w:val="center"/>
                    <w:rPr>
                      <w:b/>
                      <w:bCs/>
                      <w:sz w:val="21"/>
                      <w:szCs w:val="21"/>
                    </w:rPr>
                  </w:pPr>
                  <w:r>
                    <w:rPr>
                      <w:b/>
                      <w:bCs/>
                      <w:sz w:val="21"/>
                      <w:szCs w:val="21"/>
                    </w:rPr>
                    <w:t>检测时段</w:t>
                  </w:r>
                </w:p>
              </w:tc>
              <w:tc>
                <w:tcPr>
                  <w:tcW w:w="683" w:type="dxa"/>
                  <w:tcBorders>
                    <w:top w:val="single" w:color="auto" w:sz="4" w:space="0"/>
                    <w:left w:val="single" w:color="auto" w:sz="4" w:space="0"/>
                    <w:bottom w:val="single" w:color="auto" w:sz="12" w:space="0"/>
                    <w:right w:val="single" w:color="auto" w:sz="4" w:space="0"/>
                  </w:tcBorders>
                  <w:vAlign w:val="center"/>
                </w:tcPr>
                <w:p w14:paraId="12E7901A">
                  <w:pPr>
                    <w:snapToGrid w:val="0"/>
                    <w:spacing w:line="240" w:lineRule="auto"/>
                    <w:ind w:firstLine="0" w:firstLineChars="0"/>
                    <w:jc w:val="center"/>
                    <w:rPr>
                      <w:b/>
                      <w:bCs/>
                      <w:sz w:val="21"/>
                      <w:szCs w:val="21"/>
                    </w:rPr>
                  </w:pPr>
                  <w:r>
                    <w:rPr>
                      <w:b/>
                      <w:bCs/>
                      <w:sz w:val="21"/>
                      <w:szCs w:val="21"/>
                    </w:rPr>
                    <w:t>检测</w:t>
                  </w:r>
                </w:p>
                <w:p w14:paraId="588FF38F">
                  <w:pPr>
                    <w:snapToGrid w:val="0"/>
                    <w:spacing w:line="240" w:lineRule="auto"/>
                    <w:ind w:firstLine="0" w:firstLineChars="0"/>
                    <w:jc w:val="center"/>
                    <w:rPr>
                      <w:b/>
                      <w:bCs/>
                      <w:sz w:val="21"/>
                      <w:szCs w:val="21"/>
                    </w:rPr>
                  </w:pPr>
                  <w:r>
                    <w:rPr>
                      <w:b/>
                      <w:bCs/>
                      <w:sz w:val="21"/>
                      <w:szCs w:val="21"/>
                    </w:rPr>
                    <w:t>结果</w:t>
                  </w:r>
                </w:p>
              </w:tc>
              <w:tc>
                <w:tcPr>
                  <w:tcW w:w="1267" w:type="dxa"/>
                  <w:tcBorders>
                    <w:top w:val="single" w:color="auto" w:sz="4" w:space="0"/>
                    <w:left w:val="single" w:color="auto" w:sz="4" w:space="0"/>
                    <w:bottom w:val="single" w:color="auto" w:sz="12" w:space="0"/>
                    <w:right w:val="single" w:color="auto" w:sz="4" w:space="0"/>
                  </w:tcBorders>
                  <w:vAlign w:val="center"/>
                </w:tcPr>
                <w:p w14:paraId="257FA50B">
                  <w:pPr>
                    <w:snapToGrid w:val="0"/>
                    <w:spacing w:line="240" w:lineRule="auto"/>
                    <w:ind w:firstLine="0" w:firstLineChars="0"/>
                    <w:jc w:val="center"/>
                    <w:rPr>
                      <w:b/>
                      <w:bCs/>
                      <w:sz w:val="21"/>
                      <w:szCs w:val="21"/>
                    </w:rPr>
                  </w:pPr>
                  <w:r>
                    <w:rPr>
                      <w:b/>
                      <w:bCs/>
                      <w:sz w:val="21"/>
                      <w:szCs w:val="21"/>
                    </w:rPr>
                    <w:t>检测时段</w:t>
                  </w:r>
                </w:p>
              </w:tc>
              <w:tc>
                <w:tcPr>
                  <w:tcW w:w="716" w:type="dxa"/>
                  <w:tcBorders>
                    <w:top w:val="single" w:color="auto" w:sz="4" w:space="0"/>
                    <w:left w:val="single" w:color="auto" w:sz="4" w:space="0"/>
                    <w:bottom w:val="single" w:color="auto" w:sz="12" w:space="0"/>
                  </w:tcBorders>
                  <w:vAlign w:val="center"/>
                </w:tcPr>
                <w:p w14:paraId="2CEB66A5">
                  <w:pPr>
                    <w:snapToGrid w:val="0"/>
                    <w:spacing w:line="240" w:lineRule="auto"/>
                    <w:ind w:firstLine="0" w:firstLineChars="0"/>
                    <w:jc w:val="center"/>
                    <w:rPr>
                      <w:b/>
                      <w:bCs/>
                      <w:sz w:val="21"/>
                      <w:szCs w:val="21"/>
                    </w:rPr>
                  </w:pPr>
                  <w:r>
                    <w:rPr>
                      <w:b/>
                      <w:bCs/>
                      <w:sz w:val="21"/>
                      <w:szCs w:val="21"/>
                    </w:rPr>
                    <w:t>检测</w:t>
                  </w:r>
                </w:p>
                <w:p w14:paraId="5DCDA500">
                  <w:pPr>
                    <w:snapToGrid w:val="0"/>
                    <w:spacing w:line="240" w:lineRule="auto"/>
                    <w:ind w:firstLine="0" w:firstLineChars="0"/>
                    <w:jc w:val="center"/>
                    <w:rPr>
                      <w:b/>
                      <w:bCs/>
                      <w:sz w:val="21"/>
                      <w:szCs w:val="21"/>
                    </w:rPr>
                  </w:pPr>
                  <w:r>
                    <w:rPr>
                      <w:b/>
                      <w:bCs/>
                      <w:sz w:val="21"/>
                      <w:szCs w:val="21"/>
                    </w:rPr>
                    <w:t>结果</w:t>
                  </w:r>
                </w:p>
              </w:tc>
              <w:tc>
                <w:tcPr>
                  <w:tcW w:w="584" w:type="dxa"/>
                  <w:tcBorders>
                    <w:top w:val="single" w:color="auto" w:sz="4" w:space="0"/>
                    <w:left w:val="single" w:color="auto" w:sz="4" w:space="0"/>
                    <w:bottom w:val="single" w:color="auto" w:sz="12" w:space="0"/>
                  </w:tcBorders>
                  <w:vAlign w:val="center"/>
                </w:tcPr>
                <w:p w14:paraId="353FE1C5">
                  <w:pPr>
                    <w:snapToGrid w:val="0"/>
                    <w:spacing w:line="240" w:lineRule="auto"/>
                    <w:ind w:firstLine="0" w:firstLineChars="0"/>
                    <w:jc w:val="center"/>
                    <w:rPr>
                      <w:b/>
                      <w:bCs/>
                      <w:sz w:val="21"/>
                      <w:szCs w:val="21"/>
                    </w:rPr>
                  </w:pPr>
                  <w:r>
                    <w:rPr>
                      <w:rFonts w:hint="eastAsia"/>
                      <w:b/>
                      <w:bCs/>
                      <w:sz w:val="21"/>
                      <w:szCs w:val="21"/>
                    </w:rPr>
                    <w:t>昼间</w:t>
                  </w:r>
                </w:p>
              </w:tc>
              <w:tc>
                <w:tcPr>
                  <w:tcW w:w="544" w:type="dxa"/>
                  <w:tcBorders>
                    <w:top w:val="single" w:color="auto" w:sz="4" w:space="0"/>
                    <w:left w:val="single" w:color="auto" w:sz="4" w:space="0"/>
                    <w:bottom w:val="single" w:color="auto" w:sz="12" w:space="0"/>
                  </w:tcBorders>
                  <w:vAlign w:val="center"/>
                </w:tcPr>
                <w:p w14:paraId="6EC50433">
                  <w:pPr>
                    <w:snapToGrid w:val="0"/>
                    <w:spacing w:line="240" w:lineRule="auto"/>
                    <w:ind w:firstLine="0" w:firstLineChars="0"/>
                    <w:jc w:val="center"/>
                    <w:rPr>
                      <w:b/>
                      <w:bCs/>
                      <w:sz w:val="21"/>
                      <w:szCs w:val="21"/>
                    </w:rPr>
                  </w:pPr>
                  <w:r>
                    <w:rPr>
                      <w:rFonts w:hint="eastAsia"/>
                      <w:b/>
                      <w:bCs/>
                      <w:sz w:val="21"/>
                      <w:szCs w:val="21"/>
                    </w:rPr>
                    <w:t>夜间</w:t>
                  </w:r>
                </w:p>
              </w:tc>
            </w:tr>
            <w:tr w14:paraId="5EEE4B5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65" w:type="dxa"/>
                  <w:vMerge w:val="restart"/>
                  <w:tcBorders>
                    <w:top w:val="single" w:color="auto" w:sz="12" w:space="0"/>
                    <w:bottom w:val="single" w:color="auto" w:sz="4" w:space="0"/>
                    <w:right w:val="single" w:color="auto" w:sz="4" w:space="0"/>
                  </w:tcBorders>
                  <w:vAlign w:val="center"/>
                </w:tcPr>
                <w:p w14:paraId="6B5107EB">
                  <w:pPr>
                    <w:snapToGrid w:val="0"/>
                    <w:spacing w:line="240" w:lineRule="auto"/>
                    <w:ind w:firstLine="0" w:firstLineChars="0"/>
                    <w:jc w:val="center"/>
                    <w:rPr>
                      <w:sz w:val="21"/>
                      <w:szCs w:val="21"/>
                    </w:rPr>
                  </w:pPr>
                  <w:r>
                    <w:rPr>
                      <w:sz w:val="21"/>
                      <w:szCs w:val="21"/>
                    </w:rPr>
                    <w:t>2026.</w:t>
                  </w:r>
                </w:p>
                <w:p w14:paraId="1EA9B803">
                  <w:pPr>
                    <w:snapToGrid w:val="0"/>
                    <w:spacing w:line="240" w:lineRule="auto"/>
                    <w:ind w:firstLine="0" w:firstLineChars="0"/>
                    <w:jc w:val="center"/>
                    <w:rPr>
                      <w:sz w:val="21"/>
                      <w:szCs w:val="21"/>
                    </w:rPr>
                  </w:pPr>
                  <w:r>
                    <w:rPr>
                      <w:sz w:val="21"/>
                      <w:szCs w:val="21"/>
                    </w:rPr>
                    <w:t>06.16</w:t>
                  </w:r>
                </w:p>
              </w:tc>
              <w:tc>
                <w:tcPr>
                  <w:tcW w:w="600" w:type="dxa"/>
                  <w:vMerge w:val="restart"/>
                  <w:tcBorders>
                    <w:top w:val="single" w:color="auto" w:sz="12" w:space="0"/>
                    <w:left w:val="single" w:color="auto" w:sz="4" w:space="0"/>
                    <w:bottom w:val="single" w:color="auto" w:sz="4" w:space="0"/>
                    <w:right w:val="single" w:color="auto" w:sz="4" w:space="0"/>
                  </w:tcBorders>
                  <w:vAlign w:val="center"/>
                </w:tcPr>
                <w:p w14:paraId="70050575">
                  <w:pPr>
                    <w:snapToGrid w:val="0"/>
                    <w:spacing w:line="240" w:lineRule="auto"/>
                    <w:ind w:firstLine="0" w:firstLineChars="0"/>
                    <w:jc w:val="center"/>
                    <w:rPr>
                      <w:sz w:val="21"/>
                      <w:szCs w:val="21"/>
                    </w:rPr>
                  </w:pPr>
                  <w:r>
                    <w:rPr>
                      <w:sz w:val="21"/>
                      <w:szCs w:val="21"/>
                    </w:rPr>
                    <w:t>Leq</w:t>
                  </w:r>
                </w:p>
              </w:tc>
              <w:tc>
                <w:tcPr>
                  <w:tcW w:w="2117" w:type="dxa"/>
                  <w:tcBorders>
                    <w:top w:val="single" w:color="auto" w:sz="12" w:space="0"/>
                    <w:left w:val="single" w:color="auto" w:sz="4" w:space="0"/>
                    <w:bottom w:val="single" w:color="auto" w:sz="4" w:space="0"/>
                    <w:right w:val="single" w:color="auto" w:sz="4" w:space="0"/>
                  </w:tcBorders>
                  <w:vAlign w:val="center"/>
                </w:tcPr>
                <w:p w14:paraId="0BAF4674">
                  <w:pPr>
                    <w:snapToGrid w:val="0"/>
                    <w:spacing w:line="240" w:lineRule="auto"/>
                    <w:ind w:firstLine="0" w:firstLineChars="0"/>
                    <w:jc w:val="center"/>
                    <w:rPr>
                      <w:sz w:val="21"/>
                      <w:szCs w:val="21"/>
                    </w:rPr>
                  </w:pPr>
                  <w:r>
                    <w:rPr>
                      <w:sz w:val="21"/>
                      <w:szCs w:val="21"/>
                    </w:rPr>
                    <w:t>1#，控制导流设施（拦河闸坝）闸址北侧中交·王府景居民楼</w:t>
                  </w:r>
                </w:p>
              </w:tc>
              <w:tc>
                <w:tcPr>
                  <w:tcW w:w="1300" w:type="dxa"/>
                  <w:tcBorders>
                    <w:top w:val="single" w:color="auto" w:sz="12" w:space="0"/>
                    <w:left w:val="single" w:color="auto" w:sz="4" w:space="0"/>
                    <w:bottom w:val="single" w:color="auto" w:sz="4" w:space="0"/>
                    <w:right w:val="single" w:color="auto" w:sz="4" w:space="0"/>
                  </w:tcBorders>
                  <w:vAlign w:val="center"/>
                </w:tcPr>
                <w:p w14:paraId="5E2E87D0">
                  <w:pPr>
                    <w:snapToGrid w:val="0"/>
                    <w:spacing w:line="240" w:lineRule="auto"/>
                    <w:ind w:firstLine="0" w:firstLineChars="0"/>
                    <w:jc w:val="center"/>
                    <w:rPr>
                      <w:sz w:val="21"/>
                      <w:szCs w:val="21"/>
                    </w:rPr>
                  </w:pPr>
                  <w:r>
                    <w:rPr>
                      <w:sz w:val="21"/>
                      <w:szCs w:val="21"/>
                    </w:rPr>
                    <w:t>11:50-12:00</w:t>
                  </w:r>
                </w:p>
              </w:tc>
              <w:tc>
                <w:tcPr>
                  <w:tcW w:w="683" w:type="dxa"/>
                  <w:tcBorders>
                    <w:top w:val="single" w:color="auto" w:sz="12" w:space="0"/>
                    <w:left w:val="single" w:color="auto" w:sz="4" w:space="0"/>
                    <w:bottom w:val="single" w:color="auto" w:sz="4" w:space="0"/>
                    <w:right w:val="single" w:color="auto" w:sz="4" w:space="0"/>
                  </w:tcBorders>
                  <w:vAlign w:val="center"/>
                </w:tcPr>
                <w:p w14:paraId="3A1D0ED4">
                  <w:pPr>
                    <w:snapToGrid w:val="0"/>
                    <w:spacing w:line="240" w:lineRule="auto"/>
                    <w:ind w:firstLine="0" w:firstLineChars="0"/>
                    <w:jc w:val="center"/>
                    <w:rPr>
                      <w:sz w:val="21"/>
                      <w:szCs w:val="21"/>
                    </w:rPr>
                  </w:pPr>
                  <w:r>
                    <w:rPr>
                      <w:sz w:val="21"/>
                      <w:szCs w:val="21"/>
                    </w:rPr>
                    <w:t>56</w:t>
                  </w:r>
                </w:p>
              </w:tc>
              <w:tc>
                <w:tcPr>
                  <w:tcW w:w="1267" w:type="dxa"/>
                  <w:tcBorders>
                    <w:top w:val="single" w:color="auto" w:sz="12" w:space="0"/>
                    <w:left w:val="single" w:color="auto" w:sz="4" w:space="0"/>
                    <w:bottom w:val="single" w:color="auto" w:sz="4" w:space="0"/>
                    <w:right w:val="single" w:color="auto" w:sz="4" w:space="0"/>
                  </w:tcBorders>
                  <w:vAlign w:val="center"/>
                </w:tcPr>
                <w:p w14:paraId="07CEB3CF">
                  <w:pPr>
                    <w:snapToGrid w:val="0"/>
                    <w:spacing w:line="240" w:lineRule="auto"/>
                    <w:ind w:firstLine="0" w:firstLineChars="0"/>
                    <w:jc w:val="center"/>
                    <w:rPr>
                      <w:sz w:val="21"/>
                      <w:szCs w:val="21"/>
                    </w:rPr>
                  </w:pPr>
                  <w:r>
                    <w:rPr>
                      <w:sz w:val="21"/>
                      <w:szCs w:val="21"/>
                    </w:rPr>
                    <w:t>23:27-23:37</w:t>
                  </w:r>
                </w:p>
              </w:tc>
              <w:tc>
                <w:tcPr>
                  <w:tcW w:w="716" w:type="dxa"/>
                  <w:tcBorders>
                    <w:top w:val="single" w:color="auto" w:sz="12" w:space="0"/>
                    <w:left w:val="single" w:color="auto" w:sz="4" w:space="0"/>
                    <w:bottom w:val="single" w:color="auto" w:sz="4" w:space="0"/>
                  </w:tcBorders>
                  <w:vAlign w:val="center"/>
                </w:tcPr>
                <w:p w14:paraId="1FD4C90B">
                  <w:pPr>
                    <w:snapToGrid w:val="0"/>
                    <w:spacing w:line="240" w:lineRule="auto"/>
                    <w:ind w:firstLine="0" w:firstLineChars="0"/>
                    <w:jc w:val="center"/>
                    <w:rPr>
                      <w:sz w:val="21"/>
                      <w:szCs w:val="21"/>
                    </w:rPr>
                  </w:pPr>
                  <w:r>
                    <w:rPr>
                      <w:sz w:val="21"/>
                      <w:szCs w:val="21"/>
                    </w:rPr>
                    <w:t>44</w:t>
                  </w:r>
                </w:p>
              </w:tc>
              <w:tc>
                <w:tcPr>
                  <w:tcW w:w="584" w:type="dxa"/>
                  <w:tcBorders>
                    <w:top w:val="single" w:color="auto" w:sz="12" w:space="0"/>
                    <w:left w:val="single" w:color="auto" w:sz="4" w:space="0"/>
                    <w:bottom w:val="single" w:color="auto" w:sz="4" w:space="0"/>
                  </w:tcBorders>
                  <w:vAlign w:val="center"/>
                </w:tcPr>
                <w:p w14:paraId="4131715B">
                  <w:pPr>
                    <w:snapToGrid w:val="0"/>
                    <w:spacing w:line="240" w:lineRule="auto"/>
                    <w:ind w:firstLine="0" w:firstLineChars="0"/>
                    <w:jc w:val="center"/>
                    <w:rPr>
                      <w:sz w:val="21"/>
                      <w:szCs w:val="21"/>
                    </w:rPr>
                  </w:pPr>
                  <w:r>
                    <w:rPr>
                      <w:rFonts w:hint="eastAsia"/>
                      <w:sz w:val="21"/>
                      <w:szCs w:val="21"/>
                    </w:rPr>
                    <w:t>70</w:t>
                  </w:r>
                </w:p>
              </w:tc>
              <w:tc>
                <w:tcPr>
                  <w:tcW w:w="544" w:type="dxa"/>
                  <w:tcBorders>
                    <w:top w:val="single" w:color="auto" w:sz="12" w:space="0"/>
                    <w:left w:val="single" w:color="auto" w:sz="4" w:space="0"/>
                    <w:bottom w:val="single" w:color="auto" w:sz="4" w:space="0"/>
                  </w:tcBorders>
                  <w:vAlign w:val="center"/>
                </w:tcPr>
                <w:p w14:paraId="20D6790A">
                  <w:pPr>
                    <w:snapToGrid w:val="0"/>
                    <w:spacing w:line="240" w:lineRule="auto"/>
                    <w:ind w:firstLine="0" w:firstLineChars="0"/>
                    <w:jc w:val="center"/>
                    <w:rPr>
                      <w:sz w:val="21"/>
                      <w:szCs w:val="21"/>
                    </w:rPr>
                  </w:pPr>
                  <w:r>
                    <w:rPr>
                      <w:rFonts w:hint="eastAsia"/>
                      <w:sz w:val="21"/>
                      <w:szCs w:val="21"/>
                    </w:rPr>
                    <w:t>55</w:t>
                  </w:r>
                </w:p>
              </w:tc>
            </w:tr>
            <w:tr w14:paraId="745973B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65" w:type="dxa"/>
                  <w:vMerge w:val="continue"/>
                  <w:tcBorders>
                    <w:top w:val="single" w:color="auto" w:sz="4" w:space="0"/>
                    <w:bottom w:val="single" w:color="auto" w:sz="4" w:space="0"/>
                    <w:right w:val="single" w:color="auto" w:sz="4" w:space="0"/>
                  </w:tcBorders>
                  <w:vAlign w:val="center"/>
                </w:tcPr>
                <w:p w14:paraId="76CC8F0F">
                  <w:pPr>
                    <w:snapToGrid w:val="0"/>
                    <w:spacing w:line="240" w:lineRule="auto"/>
                    <w:ind w:firstLine="0" w:firstLineChars="0"/>
                    <w:jc w:val="center"/>
                    <w:rPr>
                      <w:sz w:val="21"/>
                      <w:szCs w:val="21"/>
                    </w:rPr>
                  </w:pPr>
                </w:p>
              </w:tc>
              <w:tc>
                <w:tcPr>
                  <w:tcW w:w="600" w:type="dxa"/>
                  <w:vMerge w:val="continue"/>
                  <w:tcBorders>
                    <w:top w:val="single" w:color="auto" w:sz="4" w:space="0"/>
                    <w:left w:val="single" w:color="auto" w:sz="4" w:space="0"/>
                    <w:bottom w:val="single" w:color="auto" w:sz="4" w:space="0"/>
                    <w:right w:val="single" w:color="auto" w:sz="4" w:space="0"/>
                  </w:tcBorders>
                  <w:vAlign w:val="center"/>
                </w:tcPr>
                <w:p w14:paraId="20991F79">
                  <w:pPr>
                    <w:snapToGrid w:val="0"/>
                    <w:spacing w:line="240" w:lineRule="auto"/>
                    <w:ind w:firstLine="0" w:firstLineChars="0"/>
                    <w:jc w:val="center"/>
                    <w:rPr>
                      <w:sz w:val="21"/>
                      <w:szCs w:val="21"/>
                    </w:rPr>
                  </w:pPr>
                </w:p>
              </w:tc>
              <w:tc>
                <w:tcPr>
                  <w:tcW w:w="2117" w:type="dxa"/>
                  <w:tcBorders>
                    <w:top w:val="single" w:color="auto" w:sz="4" w:space="0"/>
                    <w:left w:val="single" w:color="auto" w:sz="4" w:space="0"/>
                    <w:bottom w:val="single" w:color="auto" w:sz="4" w:space="0"/>
                    <w:right w:val="single" w:color="auto" w:sz="4" w:space="0"/>
                  </w:tcBorders>
                  <w:vAlign w:val="center"/>
                </w:tcPr>
                <w:p w14:paraId="2D592386">
                  <w:pPr>
                    <w:snapToGrid w:val="0"/>
                    <w:spacing w:line="240" w:lineRule="auto"/>
                    <w:ind w:firstLine="0" w:firstLineChars="0"/>
                    <w:jc w:val="center"/>
                    <w:rPr>
                      <w:sz w:val="21"/>
                      <w:szCs w:val="21"/>
                    </w:rPr>
                  </w:pPr>
                  <w:r>
                    <w:rPr>
                      <w:sz w:val="21"/>
                      <w:szCs w:val="21"/>
                    </w:rPr>
                    <w:t>2#，巴中市中坝小学</w:t>
                  </w:r>
                </w:p>
              </w:tc>
              <w:tc>
                <w:tcPr>
                  <w:tcW w:w="1300" w:type="dxa"/>
                  <w:tcBorders>
                    <w:top w:val="single" w:color="auto" w:sz="4" w:space="0"/>
                    <w:left w:val="single" w:color="auto" w:sz="4" w:space="0"/>
                    <w:bottom w:val="single" w:color="auto" w:sz="4" w:space="0"/>
                    <w:right w:val="single" w:color="auto" w:sz="4" w:space="0"/>
                  </w:tcBorders>
                  <w:vAlign w:val="center"/>
                </w:tcPr>
                <w:p w14:paraId="4FB498DB">
                  <w:pPr>
                    <w:snapToGrid w:val="0"/>
                    <w:spacing w:line="240" w:lineRule="auto"/>
                    <w:ind w:firstLine="0" w:firstLineChars="0"/>
                    <w:jc w:val="center"/>
                    <w:rPr>
                      <w:sz w:val="21"/>
                      <w:szCs w:val="21"/>
                    </w:rPr>
                  </w:pPr>
                  <w:r>
                    <w:rPr>
                      <w:sz w:val="21"/>
                      <w:szCs w:val="21"/>
                    </w:rPr>
                    <w:t>10:42-10:52</w:t>
                  </w:r>
                </w:p>
              </w:tc>
              <w:tc>
                <w:tcPr>
                  <w:tcW w:w="683" w:type="dxa"/>
                  <w:tcBorders>
                    <w:top w:val="single" w:color="auto" w:sz="4" w:space="0"/>
                    <w:left w:val="single" w:color="auto" w:sz="4" w:space="0"/>
                    <w:bottom w:val="single" w:color="auto" w:sz="4" w:space="0"/>
                    <w:right w:val="single" w:color="auto" w:sz="4" w:space="0"/>
                  </w:tcBorders>
                  <w:vAlign w:val="center"/>
                </w:tcPr>
                <w:p w14:paraId="5E58E6D8">
                  <w:pPr>
                    <w:snapToGrid w:val="0"/>
                    <w:spacing w:line="240" w:lineRule="auto"/>
                    <w:ind w:firstLine="0" w:firstLineChars="0"/>
                    <w:jc w:val="center"/>
                    <w:rPr>
                      <w:sz w:val="21"/>
                      <w:szCs w:val="21"/>
                    </w:rPr>
                  </w:pPr>
                  <w:r>
                    <w:rPr>
                      <w:sz w:val="21"/>
                      <w:szCs w:val="21"/>
                    </w:rPr>
                    <w:t>56</w:t>
                  </w:r>
                </w:p>
              </w:tc>
              <w:tc>
                <w:tcPr>
                  <w:tcW w:w="1267" w:type="dxa"/>
                  <w:tcBorders>
                    <w:top w:val="single" w:color="auto" w:sz="4" w:space="0"/>
                    <w:left w:val="single" w:color="auto" w:sz="4" w:space="0"/>
                    <w:bottom w:val="single" w:color="auto" w:sz="4" w:space="0"/>
                    <w:right w:val="single" w:color="auto" w:sz="4" w:space="0"/>
                  </w:tcBorders>
                  <w:vAlign w:val="center"/>
                </w:tcPr>
                <w:p w14:paraId="139CCBC8">
                  <w:pPr>
                    <w:snapToGrid w:val="0"/>
                    <w:spacing w:line="240" w:lineRule="auto"/>
                    <w:ind w:firstLine="0" w:firstLineChars="0"/>
                    <w:jc w:val="center"/>
                    <w:rPr>
                      <w:sz w:val="21"/>
                      <w:szCs w:val="21"/>
                    </w:rPr>
                  </w:pPr>
                  <w:r>
                    <w:rPr>
                      <w:sz w:val="21"/>
                      <w:szCs w:val="21"/>
                    </w:rPr>
                    <w:t>22:18-22:28</w:t>
                  </w:r>
                </w:p>
              </w:tc>
              <w:tc>
                <w:tcPr>
                  <w:tcW w:w="716" w:type="dxa"/>
                  <w:tcBorders>
                    <w:top w:val="single" w:color="auto" w:sz="4" w:space="0"/>
                    <w:left w:val="single" w:color="auto" w:sz="4" w:space="0"/>
                    <w:bottom w:val="single" w:color="auto" w:sz="4" w:space="0"/>
                  </w:tcBorders>
                  <w:vAlign w:val="center"/>
                </w:tcPr>
                <w:p w14:paraId="01426CEF">
                  <w:pPr>
                    <w:snapToGrid w:val="0"/>
                    <w:spacing w:line="240" w:lineRule="auto"/>
                    <w:ind w:firstLine="0" w:firstLineChars="0"/>
                    <w:jc w:val="center"/>
                    <w:rPr>
                      <w:sz w:val="21"/>
                      <w:szCs w:val="21"/>
                    </w:rPr>
                  </w:pPr>
                  <w:r>
                    <w:rPr>
                      <w:sz w:val="21"/>
                      <w:szCs w:val="21"/>
                    </w:rPr>
                    <w:t>47</w:t>
                  </w:r>
                </w:p>
              </w:tc>
              <w:tc>
                <w:tcPr>
                  <w:tcW w:w="584" w:type="dxa"/>
                  <w:tcBorders>
                    <w:top w:val="single" w:color="auto" w:sz="4" w:space="0"/>
                    <w:left w:val="single" w:color="auto" w:sz="4" w:space="0"/>
                    <w:bottom w:val="single" w:color="auto" w:sz="4" w:space="0"/>
                  </w:tcBorders>
                  <w:vAlign w:val="center"/>
                </w:tcPr>
                <w:p w14:paraId="6C59C5EB">
                  <w:pPr>
                    <w:snapToGrid w:val="0"/>
                    <w:spacing w:line="240" w:lineRule="auto"/>
                    <w:ind w:firstLine="0" w:firstLineChars="0"/>
                    <w:jc w:val="center"/>
                    <w:rPr>
                      <w:sz w:val="21"/>
                      <w:szCs w:val="21"/>
                    </w:rPr>
                  </w:pPr>
                  <w:r>
                    <w:rPr>
                      <w:rFonts w:hint="eastAsia"/>
                      <w:sz w:val="21"/>
                      <w:szCs w:val="21"/>
                    </w:rPr>
                    <w:t>60</w:t>
                  </w:r>
                </w:p>
              </w:tc>
              <w:tc>
                <w:tcPr>
                  <w:tcW w:w="544" w:type="dxa"/>
                  <w:tcBorders>
                    <w:top w:val="single" w:color="auto" w:sz="4" w:space="0"/>
                    <w:left w:val="single" w:color="auto" w:sz="4" w:space="0"/>
                    <w:bottom w:val="single" w:color="auto" w:sz="4" w:space="0"/>
                  </w:tcBorders>
                  <w:vAlign w:val="center"/>
                </w:tcPr>
                <w:p w14:paraId="4B0AB1F2">
                  <w:pPr>
                    <w:snapToGrid w:val="0"/>
                    <w:spacing w:line="240" w:lineRule="auto"/>
                    <w:ind w:firstLine="0" w:firstLineChars="0"/>
                    <w:jc w:val="center"/>
                    <w:rPr>
                      <w:sz w:val="21"/>
                      <w:szCs w:val="21"/>
                    </w:rPr>
                  </w:pPr>
                  <w:r>
                    <w:rPr>
                      <w:rFonts w:hint="eastAsia"/>
                      <w:sz w:val="21"/>
                      <w:szCs w:val="21"/>
                    </w:rPr>
                    <w:t>50</w:t>
                  </w:r>
                </w:p>
              </w:tc>
            </w:tr>
            <w:tr w14:paraId="6008CB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65" w:type="dxa"/>
                  <w:vMerge w:val="continue"/>
                  <w:tcBorders>
                    <w:top w:val="single" w:color="auto" w:sz="4" w:space="0"/>
                    <w:bottom w:val="single" w:color="auto" w:sz="4" w:space="0"/>
                    <w:right w:val="single" w:color="auto" w:sz="4" w:space="0"/>
                  </w:tcBorders>
                  <w:vAlign w:val="center"/>
                </w:tcPr>
                <w:p w14:paraId="26BA3045">
                  <w:pPr>
                    <w:snapToGrid w:val="0"/>
                    <w:spacing w:line="240" w:lineRule="auto"/>
                    <w:ind w:firstLine="0" w:firstLineChars="0"/>
                    <w:jc w:val="center"/>
                    <w:rPr>
                      <w:sz w:val="21"/>
                      <w:szCs w:val="21"/>
                    </w:rPr>
                  </w:pPr>
                </w:p>
              </w:tc>
              <w:tc>
                <w:tcPr>
                  <w:tcW w:w="600" w:type="dxa"/>
                  <w:vMerge w:val="continue"/>
                  <w:tcBorders>
                    <w:top w:val="single" w:color="auto" w:sz="4" w:space="0"/>
                    <w:left w:val="single" w:color="auto" w:sz="4" w:space="0"/>
                    <w:bottom w:val="single" w:color="auto" w:sz="4" w:space="0"/>
                    <w:right w:val="single" w:color="auto" w:sz="4" w:space="0"/>
                  </w:tcBorders>
                  <w:vAlign w:val="center"/>
                </w:tcPr>
                <w:p w14:paraId="4FDA7E70">
                  <w:pPr>
                    <w:snapToGrid w:val="0"/>
                    <w:spacing w:line="240" w:lineRule="auto"/>
                    <w:ind w:firstLine="0" w:firstLineChars="0"/>
                    <w:jc w:val="center"/>
                    <w:rPr>
                      <w:sz w:val="21"/>
                      <w:szCs w:val="21"/>
                    </w:rPr>
                  </w:pPr>
                </w:p>
              </w:tc>
              <w:tc>
                <w:tcPr>
                  <w:tcW w:w="2117" w:type="dxa"/>
                  <w:tcBorders>
                    <w:top w:val="single" w:color="auto" w:sz="4" w:space="0"/>
                    <w:left w:val="single" w:color="auto" w:sz="4" w:space="0"/>
                    <w:bottom w:val="single" w:color="auto" w:sz="4" w:space="0"/>
                    <w:right w:val="single" w:color="auto" w:sz="4" w:space="0"/>
                  </w:tcBorders>
                  <w:vAlign w:val="center"/>
                </w:tcPr>
                <w:p w14:paraId="0C317172">
                  <w:pPr>
                    <w:snapToGrid w:val="0"/>
                    <w:spacing w:line="240" w:lineRule="auto"/>
                    <w:ind w:firstLine="0" w:firstLineChars="0"/>
                    <w:jc w:val="center"/>
                    <w:rPr>
                      <w:sz w:val="21"/>
                      <w:szCs w:val="21"/>
                    </w:rPr>
                  </w:pPr>
                  <w:r>
                    <w:rPr>
                      <w:sz w:val="21"/>
                      <w:szCs w:val="21"/>
                    </w:rPr>
                    <w:t>3#，檬子河大桥东侧居民楼</w:t>
                  </w:r>
                </w:p>
              </w:tc>
              <w:tc>
                <w:tcPr>
                  <w:tcW w:w="1300" w:type="dxa"/>
                  <w:tcBorders>
                    <w:top w:val="single" w:color="auto" w:sz="4" w:space="0"/>
                    <w:left w:val="single" w:color="auto" w:sz="4" w:space="0"/>
                    <w:bottom w:val="single" w:color="auto" w:sz="4" w:space="0"/>
                    <w:right w:val="single" w:color="auto" w:sz="4" w:space="0"/>
                  </w:tcBorders>
                  <w:vAlign w:val="center"/>
                </w:tcPr>
                <w:p w14:paraId="5FD9E553">
                  <w:pPr>
                    <w:snapToGrid w:val="0"/>
                    <w:spacing w:line="240" w:lineRule="auto"/>
                    <w:ind w:firstLine="0" w:firstLineChars="0"/>
                    <w:jc w:val="center"/>
                    <w:rPr>
                      <w:sz w:val="21"/>
                      <w:szCs w:val="21"/>
                    </w:rPr>
                  </w:pPr>
                  <w:r>
                    <w:rPr>
                      <w:sz w:val="21"/>
                      <w:szCs w:val="21"/>
                    </w:rPr>
                    <w:t>11:14-11:24</w:t>
                  </w:r>
                </w:p>
              </w:tc>
              <w:tc>
                <w:tcPr>
                  <w:tcW w:w="683" w:type="dxa"/>
                  <w:tcBorders>
                    <w:top w:val="single" w:color="auto" w:sz="4" w:space="0"/>
                    <w:left w:val="single" w:color="auto" w:sz="4" w:space="0"/>
                    <w:bottom w:val="single" w:color="auto" w:sz="4" w:space="0"/>
                    <w:right w:val="single" w:color="auto" w:sz="4" w:space="0"/>
                  </w:tcBorders>
                  <w:vAlign w:val="center"/>
                </w:tcPr>
                <w:p w14:paraId="453F82DC">
                  <w:pPr>
                    <w:snapToGrid w:val="0"/>
                    <w:spacing w:line="240" w:lineRule="auto"/>
                    <w:ind w:firstLine="0" w:firstLineChars="0"/>
                    <w:jc w:val="center"/>
                    <w:rPr>
                      <w:sz w:val="21"/>
                      <w:szCs w:val="21"/>
                    </w:rPr>
                  </w:pPr>
                  <w:r>
                    <w:rPr>
                      <w:sz w:val="21"/>
                      <w:szCs w:val="21"/>
                    </w:rPr>
                    <w:t>54</w:t>
                  </w:r>
                </w:p>
              </w:tc>
              <w:tc>
                <w:tcPr>
                  <w:tcW w:w="1267" w:type="dxa"/>
                  <w:tcBorders>
                    <w:top w:val="single" w:color="auto" w:sz="4" w:space="0"/>
                    <w:left w:val="single" w:color="auto" w:sz="4" w:space="0"/>
                    <w:bottom w:val="single" w:color="auto" w:sz="4" w:space="0"/>
                    <w:right w:val="single" w:color="auto" w:sz="4" w:space="0"/>
                  </w:tcBorders>
                  <w:vAlign w:val="center"/>
                </w:tcPr>
                <w:p w14:paraId="308C065E">
                  <w:pPr>
                    <w:snapToGrid w:val="0"/>
                    <w:spacing w:line="240" w:lineRule="auto"/>
                    <w:ind w:firstLine="0" w:firstLineChars="0"/>
                    <w:jc w:val="center"/>
                    <w:rPr>
                      <w:sz w:val="21"/>
                      <w:szCs w:val="21"/>
                    </w:rPr>
                  </w:pPr>
                  <w:r>
                    <w:rPr>
                      <w:sz w:val="21"/>
                      <w:szCs w:val="21"/>
                    </w:rPr>
                    <w:t>22:49-22:59</w:t>
                  </w:r>
                </w:p>
              </w:tc>
              <w:tc>
                <w:tcPr>
                  <w:tcW w:w="716" w:type="dxa"/>
                  <w:tcBorders>
                    <w:top w:val="single" w:color="auto" w:sz="4" w:space="0"/>
                    <w:left w:val="single" w:color="auto" w:sz="4" w:space="0"/>
                    <w:bottom w:val="single" w:color="auto" w:sz="4" w:space="0"/>
                  </w:tcBorders>
                  <w:vAlign w:val="center"/>
                </w:tcPr>
                <w:p w14:paraId="06DD12D4">
                  <w:pPr>
                    <w:snapToGrid w:val="0"/>
                    <w:spacing w:line="240" w:lineRule="auto"/>
                    <w:ind w:firstLine="0" w:firstLineChars="0"/>
                    <w:jc w:val="center"/>
                    <w:rPr>
                      <w:sz w:val="21"/>
                      <w:szCs w:val="21"/>
                    </w:rPr>
                  </w:pPr>
                  <w:r>
                    <w:rPr>
                      <w:sz w:val="21"/>
                      <w:szCs w:val="21"/>
                    </w:rPr>
                    <w:t>49</w:t>
                  </w:r>
                </w:p>
              </w:tc>
              <w:tc>
                <w:tcPr>
                  <w:tcW w:w="584" w:type="dxa"/>
                  <w:tcBorders>
                    <w:top w:val="single" w:color="auto" w:sz="4" w:space="0"/>
                    <w:left w:val="single" w:color="auto" w:sz="4" w:space="0"/>
                    <w:bottom w:val="single" w:color="auto" w:sz="4" w:space="0"/>
                  </w:tcBorders>
                  <w:vAlign w:val="center"/>
                </w:tcPr>
                <w:p w14:paraId="6A27F7D9">
                  <w:pPr>
                    <w:snapToGrid w:val="0"/>
                    <w:spacing w:line="240" w:lineRule="auto"/>
                    <w:ind w:firstLine="0" w:firstLineChars="0"/>
                    <w:jc w:val="center"/>
                    <w:rPr>
                      <w:sz w:val="21"/>
                      <w:szCs w:val="21"/>
                    </w:rPr>
                  </w:pPr>
                  <w:r>
                    <w:rPr>
                      <w:rFonts w:hint="eastAsia"/>
                      <w:sz w:val="21"/>
                      <w:szCs w:val="21"/>
                    </w:rPr>
                    <w:t>60</w:t>
                  </w:r>
                </w:p>
              </w:tc>
              <w:tc>
                <w:tcPr>
                  <w:tcW w:w="544" w:type="dxa"/>
                  <w:tcBorders>
                    <w:top w:val="single" w:color="auto" w:sz="4" w:space="0"/>
                    <w:left w:val="single" w:color="auto" w:sz="4" w:space="0"/>
                    <w:bottom w:val="single" w:color="auto" w:sz="4" w:space="0"/>
                  </w:tcBorders>
                  <w:vAlign w:val="center"/>
                </w:tcPr>
                <w:p w14:paraId="1A5C3FD0">
                  <w:pPr>
                    <w:snapToGrid w:val="0"/>
                    <w:spacing w:line="240" w:lineRule="auto"/>
                    <w:ind w:firstLine="0" w:firstLineChars="0"/>
                    <w:jc w:val="center"/>
                    <w:rPr>
                      <w:sz w:val="21"/>
                      <w:szCs w:val="21"/>
                    </w:rPr>
                  </w:pPr>
                  <w:r>
                    <w:rPr>
                      <w:rFonts w:hint="eastAsia"/>
                      <w:sz w:val="21"/>
                      <w:szCs w:val="21"/>
                    </w:rPr>
                    <w:t>50</w:t>
                  </w:r>
                </w:p>
              </w:tc>
            </w:tr>
            <w:tr w14:paraId="767B2A6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65" w:type="dxa"/>
                  <w:vMerge w:val="continue"/>
                  <w:tcBorders>
                    <w:top w:val="single" w:color="auto" w:sz="4" w:space="0"/>
                    <w:bottom w:val="single" w:color="auto" w:sz="4" w:space="0"/>
                    <w:right w:val="single" w:color="auto" w:sz="4" w:space="0"/>
                  </w:tcBorders>
                  <w:vAlign w:val="center"/>
                </w:tcPr>
                <w:p w14:paraId="4C6D3B45">
                  <w:pPr>
                    <w:snapToGrid w:val="0"/>
                    <w:spacing w:line="240" w:lineRule="auto"/>
                    <w:ind w:firstLine="0" w:firstLineChars="0"/>
                    <w:jc w:val="center"/>
                    <w:rPr>
                      <w:sz w:val="21"/>
                      <w:szCs w:val="21"/>
                    </w:rPr>
                  </w:pPr>
                </w:p>
              </w:tc>
              <w:tc>
                <w:tcPr>
                  <w:tcW w:w="600" w:type="dxa"/>
                  <w:vMerge w:val="continue"/>
                  <w:tcBorders>
                    <w:top w:val="single" w:color="auto" w:sz="4" w:space="0"/>
                    <w:left w:val="single" w:color="auto" w:sz="4" w:space="0"/>
                    <w:bottom w:val="single" w:color="auto" w:sz="4" w:space="0"/>
                    <w:right w:val="single" w:color="auto" w:sz="4" w:space="0"/>
                  </w:tcBorders>
                  <w:vAlign w:val="center"/>
                </w:tcPr>
                <w:p w14:paraId="1587932C">
                  <w:pPr>
                    <w:snapToGrid w:val="0"/>
                    <w:spacing w:line="240" w:lineRule="auto"/>
                    <w:ind w:firstLine="0" w:firstLineChars="0"/>
                    <w:jc w:val="center"/>
                    <w:rPr>
                      <w:sz w:val="21"/>
                      <w:szCs w:val="21"/>
                    </w:rPr>
                  </w:pPr>
                </w:p>
              </w:tc>
              <w:tc>
                <w:tcPr>
                  <w:tcW w:w="2117" w:type="dxa"/>
                  <w:tcBorders>
                    <w:top w:val="single" w:color="auto" w:sz="4" w:space="0"/>
                    <w:left w:val="single" w:color="auto" w:sz="4" w:space="0"/>
                    <w:bottom w:val="single" w:color="auto" w:sz="4" w:space="0"/>
                    <w:right w:val="single" w:color="auto" w:sz="4" w:space="0"/>
                  </w:tcBorders>
                  <w:vAlign w:val="center"/>
                </w:tcPr>
                <w:p w14:paraId="0D25AEF1">
                  <w:pPr>
                    <w:snapToGrid w:val="0"/>
                    <w:spacing w:line="240" w:lineRule="auto"/>
                    <w:ind w:firstLine="0" w:firstLineChars="0"/>
                    <w:jc w:val="center"/>
                    <w:rPr>
                      <w:sz w:val="21"/>
                      <w:szCs w:val="21"/>
                    </w:rPr>
                  </w:pPr>
                  <w:r>
                    <w:rPr>
                      <w:sz w:val="21"/>
                      <w:szCs w:val="21"/>
                    </w:rPr>
                    <w:t xml:space="preserve">4#，后河大桥西侧居民楼 </w:t>
                  </w:r>
                </w:p>
              </w:tc>
              <w:tc>
                <w:tcPr>
                  <w:tcW w:w="1300" w:type="dxa"/>
                  <w:tcBorders>
                    <w:top w:val="single" w:color="auto" w:sz="4" w:space="0"/>
                    <w:left w:val="single" w:color="auto" w:sz="4" w:space="0"/>
                    <w:bottom w:val="single" w:color="auto" w:sz="4" w:space="0"/>
                    <w:right w:val="single" w:color="auto" w:sz="4" w:space="0"/>
                  </w:tcBorders>
                  <w:vAlign w:val="center"/>
                </w:tcPr>
                <w:p w14:paraId="79B5109D">
                  <w:pPr>
                    <w:snapToGrid w:val="0"/>
                    <w:spacing w:line="240" w:lineRule="auto"/>
                    <w:ind w:firstLine="0" w:firstLineChars="0"/>
                    <w:jc w:val="center"/>
                    <w:rPr>
                      <w:sz w:val="21"/>
                      <w:szCs w:val="21"/>
                    </w:rPr>
                  </w:pPr>
                  <w:r>
                    <w:rPr>
                      <w:sz w:val="21"/>
                      <w:szCs w:val="21"/>
                    </w:rPr>
                    <w:t>10:09-10:19</w:t>
                  </w:r>
                </w:p>
              </w:tc>
              <w:tc>
                <w:tcPr>
                  <w:tcW w:w="683" w:type="dxa"/>
                  <w:tcBorders>
                    <w:top w:val="single" w:color="auto" w:sz="4" w:space="0"/>
                    <w:left w:val="single" w:color="auto" w:sz="4" w:space="0"/>
                    <w:bottom w:val="single" w:color="auto" w:sz="4" w:space="0"/>
                    <w:right w:val="single" w:color="auto" w:sz="4" w:space="0"/>
                  </w:tcBorders>
                  <w:vAlign w:val="center"/>
                </w:tcPr>
                <w:p w14:paraId="324B58AA">
                  <w:pPr>
                    <w:snapToGrid w:val="0"/>
                    <w:spacing w:line="240" w:lineRule="auto"/>
                    <w:ind w:firstLine="0" w:firstLineChars="0"/>
                    <w:jc w:val="center"/>
                    <w:rPr>
                      <w:sz w:val="21"/>
                      <w:szCs w:val="21"/>
                    </w:rPr>
                  </w:pPr>
                  <w:r>
                    <w:rPr>
                      <w:sz w:val="21"/>
                      <w:szCs w:val="21"/>
                    </w:rPr>
                    <w:t>53</w:t>
                  </w:r>
                </w:p>
              </w:tc>
              <w:tc>
                <w:tcPr>
                  <w:tcW w:w="1267" w:type="dxa"/>
                  <w:tcBorders>
                    <w:top w:val="single" w:color="auto" w:sz="4" w:space="0"/>
                    <w:left w:val="single" w:color="auto" w:sz="4" w:space="0"/>
                    <w:bottom w:val="single" w:color="auto" w:sz="4" w:space="0"/>
                    <w:right w:val="single" w:color="auto" w:sz="4" w:space="0"/>
                  </w:tcBorders>
                  <w:vAlign w:val="center"/>
                </w:tcPr>
                <w:p w14:paraId="0F952E87">
                  <w:pPr>
                    <w:snapToGrid w:val="0"/>
                    <w:spacing w:line="240" w:lineRule="auto"/>
                    <w:ind w:firstLine="0" w:firstLineChars="0"/>
                    <w:jc w:val="center"/>
                    <w:rPr>
                      <w:sz w:val="21"/>
                      <w:szCs w:val="21"/>
                    </w:rPr>
                  </w:pPr>
                  <w:r>
                    <w:rPr>
                      <w:sz w:val="21"/>
                      <w:szCs w:val="21"/>
                    </w:rPr>
                    <w:t>22:00-22:10</w:t>
                  </w:r>
                </w:p>
              </w:tc>
              <w:tc>
                <w:tcPr>
                  <w:tcW w:w="716" w:type="dxa"/>
                  <w:tcBorders>
                    <w:top w:val="single" w:color="auto" w:sz="4" w:space="0"/>
                    <w:left w:val="single" w:color="auto" w:sz="4" w:space="0"/>
                    <w:bottom w:val="single" w:color="auto" w:sz="4" w:space="0"/>
                  </w:tcBorders>
                  <w:vAlign w:val="center"/>
                </w:tcPr>
                <w:p w14:paraId="6926B06E">
                  <w:pPr>
                    <w:snapToGrid w:val="0"/>
                    <w:spacing w:line="240" w:lineRule="auto"/>
                    <w:ind w:firstLine="0" w:firstLineChars="0"/>
                    <w:jc w:val="center"/>
                    <w:rPr>
                      <w:sz w:val="21"/>
                      <w:szCs w:val="21"/>
                    </w:rPr>
                  </w:pPr>
                  <w:r>
                    <w:rPr>
                      <w:sz w:val="21"/>
                      <w:szCs w:val="21"/>
                    </w:rPr>
                    <w:t>46</w:t>
                  </w:r>
                </w:p>
              </w:tc>
              <w:tc>
                <w:tcPr>
                  <w:tcW w:w="584" w:type="dxa"/>
                  <w:tcBorders>
                    <w:top w:val="single" w:color="auto" w:sz="4" w:space="0"/>
                    <w:left w:val="single" w:color="auto" w:sz="4" w:space="0"/>
                    <w:bottom w:val="single" w:color="auto" w:sz="4" w:space="0"/>
                  </w:tcBorders>
                  <w:shd w:val="clear" w:color="auto" w:fill="auto"/>
                  <w:vAlign w:val="center"/>
                </w:tcPr>
                <w:p w14:paraId="0C4B5F6E">
                  <w:pPr>
                    <w:snapToGrid w:val="0"/>
                    <w:spacing w:line="240" w:lineRule="auto"/>
                    <w:ind w:firstLine="0" w:firstLineChars="0"/>
                    <w:jc w:val="center"/>
                    <w:rPr>
                      <w:sz w:val="21"/>
                      <w:szCs w:val="21"/>
                    </w:rPr>
                  </w:pPr>
                  <w:r>
                    <w:rPr>
                      <w:rFonts w:hint="eastAsia"/>
                      <w:sz w:val="21"/>
                      <w:szCs w:val="21"/>
                    </w:rPr>
                    <w:t>70</w:t>
                  </w:r>
                </w:p>
              </w:tc>
              <w:tc>
                <w:tcPr>
                  <w:tcW w:w="544" w:type="dxa"/>
                  <w:tcBorders>
                    <w:top w:val="single" w:color="auto" w:sz="4" w:space="0"/>
                    <w:left w:val="single" w:color="auto" w:sz="4" w:space="0"/>
                    <w:bottom w:val="single" w:color="auto" w:sz="4" w:space="0"/>
                  </w:tcBorders>
                  <w:shd w:val="clear" w:color="auto" w:fill="auto"/>
                  <w:vAlign w:val="center"/>
                </w:tcPr>
                <w:p w14:paraId="4298AEEA">
                  <w:pPr>
                    <w:snapToGrid w:val="0"/>
                    <w:spacing w:line="240" w:lineRule="auto"/>
                    <w:ind w:firstLine="0" w:firstLineChars="0"/>
                    <w:jc w:val="center"/>
                    <w:rPr>
                      <w:sz w:val="21"/>
                      <w:szCs w:val="21"/>
                    </w:rPr>
                  </w:pPr>
                  <w:r>
                    <w:rPr>
                      <w:rFonts w:hint="eastAsia"/>
                      <w:sz w:val="21"/>
                      <w:szCs w:val="21"/>
                    </w:rPr>
                    <w:t>55</w:t>
                  </w:r>
                </w:p>
              </w:tc>
            </w:tr>
            <w:tr w14:paraId="11408F8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65" w:type="dxa"/>
                  <w:vMerge w:val="continue"/>
                  <w:tcBorders>
                    <w:top w:val="single" w:color="auto" w:sz="4" w:space="0"/>
                    <w:bottom w:val="single" w:color="auto" w:sz="4" w:space="0"/>
                    <w:right w:val="single" w:color="auto" w:sz="4" w:space="0"/>
                  </w:tcBorders>
                  <w:vAlign w:val="center"/>
                </w:tcPr>
                <w:p w14:paraId="6E17E5F3">
                  <w:pPr>
                    <w:snapToGrid w:val="0"/>
                    <w:spacing w:line="240" w:lineRule="auto"/>
                    <w:ind w:firstLine="0" w:firstLineChars="0"/>
                    <w:jc w:val="center"/>
                    <w:rPr>
                      <w:sz w:val="21"/>
                      <w:szCs w:val="21"/>
                    </w:rPr>
                  </w:pPr>
                </w:p>
              </w:tc>
              <w:tc>
                <w:tcPr>
                  <w:tcW w:w="600" w:type="dxa"/>
                  <w:vMerge w:val="continue"/>
                  <w:tcBorders>
                    <w:top w:val="single" w:color="auto" w:sz="4" w:space="0"/>
                    <w:left w:val="single" w:color="auto" w:sz="4" w:space="0"/>
                    <w:bottom w:val="single" w:color="auto" w:sz="4" w:space="0"/>
                    <w:right w:val="single" w:color="auto" w:sz="4" w:space="0"/>
                  </w:tcBorders>
                  <w:vAlign w:val="center"/>
                </w:tcPr>
                <w:p w14:paraId="25DD7E69">
                  <w:pPr>
                    <w:snapToGrid w:val="0"/>
                    <w:spacing w:line="240" w:lineRule="auto"/>
                    <w:ind w:firstLine="0" w:firstLineChars="0"/>
                    <w:jc w:val="center"/>
                    <w:rPr>
                      <w:sz w:val="21"/>
                      <w:szCs w:val="21"/>
                    </w:rPr>
                  </w:pPr>
                </w:p>
              </w:tc>
              <w:tc>
                <w:tcPr>
                  <w:tcW w:w="2117" w:type="dxa"/>
                  <w:tcBorders>
                    <w:top w:val="single" w:color="auto" w:sz="4" w:space="0"/>
                    <w:left w:val="single" w:color="auto" w:sz="4" w:space="0"/>
                    <w:bottom w:val="single" w:color="auto" w:sz="4" w:space="0"/>
                    <w:right w:val="single" w:color="auto" w:sz="4" w:space="0"/>
                  </w:tcBorders>
                  <w:vAlign w:val="center"/>
                </w:tcPr>
                <w:p w14:paraId="3D47419C">
                  <w:pPr>
                    <w:snapToGrid w:val="0"/>
                    <w:spacing w:line="240" w:lineRule="auto"/>
                    <w:ind w:firstLine="0" w:firstLineChars="0"/>
                    <w:jc w:val="center"/>
                    <w:rPr>
                      <w:sz w:val="21"/>
                      <w:szCs w:val="21"/>
                    </w:rPr>
                  </w:pPr>
                  <w:r>
                    <w:rPr>
                      <w:sz w:val="21"/>
                      <w:szCs w:val="21"/>
                    </w:rPr>
                    <w:t>5#，国盛首府居民楼</w:t>
                  </w:r>
                </w:p>
              </w:tc>
              <w:tc>
                <w:tcPr>
                  <w:tcW w:w="1300" w:type="dxa"/>
                  <w:tcBorders>
                    <w:top w:val="single" w:color="auto" w:sz="4" w:space="0"/>
                    <w:left w:val="single" w:color="auto" w:sz="4" w:space="0"/>
                    <w:bottom w:val="single" w:color="auto" w:sz="4" w:space="0"/>
                    <w:right w:val="single" w:color="auto" w:sz="4" w:space="0"/>
                  </w:tcBorders>
                  <w:vAlign w:val="center"/>
                </w:tcPr>
                <w:p w14:paraId="71ACD1BD">
                  <w:pPr>
                    <w:snapToGrid w:val="0"/>
                    <w:spacing w:line="240" w:lineRule="auto"/>
                    <w:ind w:firstLine="0" w:firstLineChars="0"/>
                    <w:jc w:val="center"/>
                    <w:rPr>
                      <w:sz w:val="21"/>
                      <w:szCs w:val="21"/>
                    </w:rPr>
                  </w:pPr>
                  <w:r>
                    <w:rPr>
                      <w:sz w:val="21"/>
                      <w:szCs w:val="21"/>
                    </w:rPr>
                    <w:t>11:30-11:40</w:t>
                  </w:r>
                </w:p>
              </w:tc>
              <w:tc>
                <w:tcPr>
                  <w:tcW w:w="683" w:type="dxa"/>
                  <w:tcBorders>
                    <w:top w:val="single" w:color="auto" w:sz="4" w:space="0"/>
                    <w:left w:val="single" w:color="auto" w:sz="4" w:space="0"/>
                    <w:bottom w:val="single" w:color="auto" w:sz="4" w:space="0"/>
                    <w:right w:val="single" w:color="auto" w:sz="4" w:space="0"/>
                  </w:tcBorders>
                  <w:vAlign w:val="center"/>
                </w:tcPr>
                <w:p w14:paraId="0DF73839">
                  <w:pPr>
                    <w:snapToGrid w:val="0"/>
                    <w:spacing w:line="240" w:lineRule="auto"/>
                    <w:ind w:firstLine="0" w:firstLineChars="0"/>
                    <w:jc w:val="center"/>
                    <w:rPr>
                      <w:sz w:val="21"/>
                      <w:szCs w:val="21"/>
                    </w:rPr>
                  </w:pPr>
                  <w:r>
                    <w:rPr>
                      <w:sz w:val="21"/>
                      <w:szCs w:val="21"/>
                    </w:rPr>
                    <w:t>55</w:t>
                  </w:r>
                </w:p>
              </w:tc>
              <w:tc>
                <w:tcPr>
                  <w:tcW w:w="1267" w:type="dxa"/>
                  <w:tcBorders>
                    <w:top w:val="single" w:color="auto" w:sz="4" w:space="0"/>
                    <w:left w:val="single" w:color="auto" w:sz="4" w:space="0"/>
                    <w:bottom w:val="single" w:color="auto" w:sz="4" w:space="0"/>
                    <w:right w:val="single" w:color="auto" w:sz="4" w:space="0"/>
                  </w:tcBorders>
                  <w:vAlign w:val="center"/>
                </w:tcPr>
                <w:p w14:paraId="6034A039">
                  <w:pPr>
                    <w:snapToGrid w:val="0"/>
                    <w:spacing w:line="240" w:lineRule="auto"/>
                    <w:ind w:firstLine="0" w:firstLineChars="0"/>
                    <w:jc w:val="center"/>
                    <w:rPr>
                      <w:sz w:val="21"/>
                      <w:szCs w:val="21"/>
                    </w:rPr>
                  </w:pPr>
                  <w:r>
                    <w:rPr>
                      <w:sz w:val="21"/>
                      <w:szCs w:val="21"/>
                    </w:rPr>
                    <w:t>23:07-23:17</w:t>
                  </w:r>
                </w:p>
              </w:tc>
              <w:tc>
                <w:tcPr>
                  <w:tcW w:w="716" w:type="dxa"/>
                  <w:tcBorders>
                    <w:top w:val="single" w:color="auto" w:sz="4" w:space="0"/>
                    <w:left w:val="single" w:color="auto" w:sz="4" w:space="0"/>
                    <w:bottom w:val="single" w:color="auto" w:sz="4" w:space="0"/>
                  </w:tcBorders>
                  <w:vAlign w:val="center"/>
                </w:tcPr>
                <w:p w14:paraId="5DF3896A">
                  <w:pPr>
                    <w:snapToGrid w:val="0"/>
                    <w:spacing w:line="240" w:lineRule="auto"/>
                    <w:ind w:firstLine="0" w:firstLineChars="0"/>
                    <w:jc w:val="center"/>
                    <w:rPr>
                      <w:sz w:val="21"/>
                      <w:szCs w:val="21"/>
                    </w:rPr>
                  </w:pPr>
                  <w:r>
                    <w:rPr>
                      <w:sz w:val="21"/>
                      <w:szCs w:val="21"/>
                    </w:rPr>
                    <w:t>47</w:t>
                  </w:r>
                </w:p>
              </w:tc>
              <w:tc>
                <w:tcPr>
                  <w:tcW w:w="584" w:type="dxa"/>
                  <w:tcBorders>
                    <w:top w:val="single" w:color="auto" w:sz="4" w:space="0"/>
                    <w:left w:val="single" w:color="auto" w:sz="4" w:space="0"/>
                    <w:bottom w:val="single" w:color="auto" w:sz="4" w:space="0"/>
                  </w:tcBorders>
                  <w:shd w:val="clear" w:color="auto" w:fill="auto"/>
                  <w:vAlign w:val="center"/>
                </w:tcPr>
                <w:p w14:paraId="62EB9820">
                  <w:pPr>
                    <w:snapToGrid w:val="0"/>
                    <w:spacing w:line="240" w:lineRule="auto"/>
                    <w:ind w:firstLine="0" w:firstLineChars="0"/>
                    <w:jc w:val="center"/>
                    <w:rPr>
                      <w:sz w:val="21"/>
                      <w:szCs w:val="21"/>
                    </w:rPr>
                  </w:pPr>
                  <w:r>
                    <w:rPr>
                      <w:rFonts w:hint="eastAsia"/>
                      <w:sz w:val="21"/>
                      <w:szCs w:val="21"/>
                    </w:rPr>
                    <w:t>60</w:t>
                  </w:r>
                </w:p>
              </w:tc>
              <w:tc>
                <w:tcPr>
                  <w:tcW w:w="544" w:type="dxa"/>
                  <w:tcBorders>
                    <w:top w:val="single" w:color="auto" w:sz="4" w:space="0"/>
                    <w:left w:val="single" w:color="auto" w:sz="4" w:space="0"/>
                    <w:bottom w:val="single" w:color="auto" w:sz="4" w:space="0"/>
                  </w:tcBorders>
                  <w:shd w:val="clear" w:color="auto" w:fill="auto"/>
                  <w:vAlign w:val="center"/>
                </w:tcPr>
                <w:p w14:paraId="0337DDB1">
                  <w:pPr>
                    <w:snapToGrid w:val="0"/>
                    <w:spacing w:line="240" w:lineRule="auto"/>
                    <w:ind w:firstLine="0" w:firstLineChars="0"/>
                    <w:jc w:val="center"/>
                    <w:rPr>
                      <w:sz w:val="21"/>
                      <w:szCs w:val="21"/>
                    </w:rPr>
                  </w:pPr>
                  <w:r>
                    <w:rPr>
                      <w:rFonts w:hint="eastAsia"/>
                      <w:sz w:val="21"/>
                      <w:szCs w:val="21"/>
                    </w:rPr>
                    <w:t>50</w:t>
                  </w:r>
                </w:p>
              </w:tc>
            </w:tr>
            <w:tr w14:paraId="6B0F04B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65" w:type="dxa"/>
                  <w:vMerge w:val="continue"/>
                  <w:tcBorders>
                    <w:top w:val="single" w:color="auto" w:sz="4" w:space="0"/>
                    <w:bottom w:val="single" w:color="auto" w:sz="12" w:space="0"/>
                    <w:right w:val="single" w:color="auto" w:sz="4" w:space="0"/>
                  </w:tcBorders>
                  <w:vAlign w:val="center"/>
                </w:tcPr>
                <w:p w14:paraId="74CE87FB">
                  <w:pPr>
                    <w:snapToGrid w:val="0"/>
                    <w:spacing w:line="240" w:lineRule="auto"/>
                    <w:ind w:firstLine="0" w:firstLineChars="0"/>
                    <w:jc w:val="center"/>
                    <w:rPr>
                      <w:sz w:val="21"/>
                      <w:szCs w:val="21"/>
                    </w:rPr>
                  </w:pPr>
                </w:p>
              </w:tc>
              <w:tc>
                <w:tcPr>
                  <w:tcW w:w="600" w:type="dxa"/>
                  <w:vMerge w:val="continue"/>
                  <w:tcBorders>
                    <w:top w:val="single" w:color="auto" w:sz="4" w:space="0"/>
                    <w:left w:val="single" w:color="auto" w:sz="4" w:space="0"/>
                    <w:bottom w:val="single" w:color="auto" w:sz="12" w:space="0"/>
                    <w:right w:val="single" w:color="auto" w:sz="4" w:space="0"/>
                  </w:tcBorders>
                  <w:vAlign w:val="center"/>
                </w:tcPr>
                <w:p w14:paraId="32438E89">
                  <w:pPr>
                    <w:snapToGrid w:val="0"/>
                    <w:spacing w:line="240" w:lineRule="auto"/>
                    <w:ind w:firstLine="0" w:firstLineChars="0"/>
                    <w:jc w:val="center"/>
                    <w:rPr>
                      <w:sz w:val="21"/>
                      <w:szCs w:val="21"/>
                    </w:rPr>
                  </w:pPr>
                </w:p>
              </w:tc>
              <w:tc>
                <w:tcPr>
                  <w:tcW w:w="2117" w:type="dxa"/>
                  <w:tcBorders>
                    <w:top w:val="single" w:color="auto" w:sz="4" w:space="0"/>
                    <w:left w:val="single" w:color="auto" w:sz="4" w:space="0"/>
                    <w:bottom w:val="single" w:color="auto" w:sz="12" w:space="0"/>
                    <w:right w:val="single" w:color="auto" w:sz="4" w:space="0"/>
                  </w:tcBorders>
                  <w:vAlign w:val="center"/>
                </w:tcPr>
                <w:p w14:paraId="64BFFC67">
                  <w:pPr>
                    <w:snapToGrid w:val="0"/>
                    <w:spacing w:line="240" w:lineRule="auto"/>
                    <w:ind w:firstLine="0" w:firstLineChars="0"/>
                    <w:jc w:val="center"/>
                    <w:rPr>
                      <w:sz w:val="21"/>
                      <w:szCs w:val="21"/>
                    </w:rPr>
                  </w:pPr>
                  <w:r>
                    <w:rPr>
                      <w:sz w:val="21"/>
                      <w:szCs w:val="21"/>
                    </w:rPr>
                    <w:t>6#，正兴苑居民楼</w:t>
                  </w:r>
                </w:p>
              </w:tc>
              <w:tc>
                <w:tcPr>
                  <w:tcW w:w="1300" w:type="dxa"/>
                  <w:tcBorders>
                    <w:top w:val="single" w:color="auto" w:sz="4" w:space="0"/>
                    <w:left w:val="single" w:color="auto" w:sz="4" w:space="0"/>
                    <w:bottom w:val="single" w:color="auto" w:sz="12" w:space="0"/>
                    <w:right w:val="single" w:color="auto" w:sz="4" w:space="0"/>
                  </w:tcBorders>
                  <w:vAlign w:val="center"/>
                </w:tcPr>
                <w:p w14:paraId="3442E511">
                  <w:pPr>
                    <w:snapToGrid w:val="0"/>
                    <w:spacing w:line="240" w:lineRule="auto"/>
                    <w:ind w:firstLine="0" w:firstLineChars="0"/>
                    <w:jc w:val="center"/>
                    <w:rPr>
                      <w:sz w:val="21"/>
                      <w:szCs w:val="21"/>
                    </w:rPr>
                  </w:pPr>
                  <w:r>
                    <w:rPr>
                      <w:sz w:val="21"/>
                      <w:szCs w:val="21"/>
                    </w:rPr>
                    <w:t>10:58-11:08</w:t>
                  </w:r>
                </w:p>
              </w:tc>
              <w:tc>
                <w:tcPr>
                  <w:tcW w:w="683" w:type="dxa"/>
                  <w:tcBorders>
                    <w:top w:val="single" w:color="auto" w:sz="4" w:space="0"/>
                    <w:left w:val="single" w:color="auto" w:sz="4" w:space="0"/>
                    <w:bottom w:val="single" w:color="auto" w:sz="12" w:space="0"/>
                    <w:right w:val="single" w:color="auto" w:sz="4" w:space="0"/>
                  </w:tcBorders>
                  <w:vAlign w:val="center"/>
                </w:tcPr>
                <w:p w14:paraId="055A9B5D">
                  <w:pPr>
                    <w:snapToGrid w:val="0"/>
                    <w:spacing w:line="240" w:lineRule="auto"/>
                    <w:ind w:firstLine="0" w:firstLineChars="0"/>
                    <w:jc w:val="center"/>
                    <w:rPr>
                      <w:sz w:val="21"/>
                      <w:szCs w:val="21"/>
                    </w:rPr>
                  </w:pPr>
                  <w:r>
                    <w:rPr>
                      <w:sz w:val="21"/>
                      <w:szCs w:val="21"/>
                    </w:rPr>
                    <w:t>54</w:t>
                  </w:r>
                </w:p>
              </w:tc>
              <w:tc>
                <w:tcPr>
                  <w:tcW w:w="1267" w:type="dxa"/>
                  <w:tcBorders>
                    <w:top w:val="single" w:color="auto" w:sz="4" w:space="0"/>
                    <w:left w:val="single" w:color="auto" w:sz="4" w:space="0"/>
                    <w:bottom w:val="single" w:color="auto" w:sz="12" w:space="0"/>
                    <w:right w:val="single" w:color="auto" w:sz="4" w:space="0"/>
                  </w:tcBorders>
                  <w:vAlign w:val="center"/>
                </w:tcPr>
                <w:p w14:paraId="0006FEA1">
                  <w:pPr>
                    <w:snapToGrid w:val="0"/>
                    <w:spacing w:line="240" w:lineRule="auto"/>
                    <w:ind w:firstLine="0" w:firstLineChars="0"/>
                    <w:jc w:val="center"/>
                    <w:rPr>
                      <w:sz w:val="21"/>
                      <w:szCs w:val="21"/>
                    </w:rPr>
                  </w:pPr>
                  <w:r>
                    <w:rPr>
                      <w:sz w:val="21"/>
                      <w:szCs w:val="21"/>
                    </w:rPr>
                    <w:t>22:34-22:44</w:t>
                  </w:r>
                </w:p>
              </w:tc>
              <w:tc>
                <w:tcPr>
                  <w:tcW w:w="716" w:type="dxa"/>
                  <w:tcBorders>
                    <w:top w:val="single" w:color="auto" w:sz="4" w:space="0"/>
                    <w:left w:val="single" w:color="auto" w:sz="4" w:space="0"/>
                    <w:bottom w:val="single" w:color="auto" w:sz="12" w:space="0"/>
                  </w:tcBorders>
                  <w:vAlign w:val="center"/>
                </w:tcPr>
                <w:p w14:paraId="276310AD">
                  <w:pPr>
                    <w:snapToGrid w:val="0"/>
                    <w:spacing w:line="240" w:lineRule="auto"/>
                    <w:ind w:firstLine="0" w:firstLineChars="0"/>
                    <w:jc w:val="center"/>
                    <w:rPr>
                      <w:sz w:val="21"/>
                      <w:szCs w:val="21"/>
                    </w:rPr>
                  </w:pPr>
                  <w:r>
                    <w:rPr>
                      <w:sz w:val="21"/>
                      <w:szCs w:val="21"/>
                    </w:rPr>
                    <w:t>49</w:t>
                  </w:r>
                </w:p>
              </w:tc>
              <w:tc>
                <w:tcPr>
                  <w:tcW w:w="584" w:type="dxa"/>
                  <w:tcBorders>
                    <w:top w:val="single" w:color="auto" w:sz="4" w:space="0"/>
                    <w:left w:val="single" w:color="auto" w:sz="4" w:space="0"/>
                    <w:bottom w:val="single" w:color="auto" w:sz="12" w:space="0"/>
                  </w:tcBorders>
                  <w:shd w:val="clear" w:color="auto" w:fill="auto"/>
                  <w:vAlign w:val="center"/>
                </w:tcPr>
                <w:p w14:paraId="1E837A71">
                  <w:pPr>
                    <w:snapToGrid w:val="0"/>
                    <w:spacing w:line="240" w:lineRule="auto"/>
                    <w:ind w:firstLine="0" w:firstLineChars="0"/>
                    <w:jc w:val="center"/>
                    <w:rPr>
                      <w:sz w:val="21"/>
                      <w:szCs w:val="21"/>
                    </w:rPr>
                  </w:pPr>
                  <w:r>
                    <w:rPr>
                      <w:rFonts w:hint="eastAsia"/>
                      <w:sz w:val="21"/>
                      <w:szCs w:val="21"/>
                    </w:rPr>
                    <w:t>60</w:t>
                  </w:r>
                </w:p>
              </w:tc>
              <w:tc>
                <w:tcPr>
                  <w:tcW w:w="544" w:type="dxa"/>
                  <w:tcBorders>
                    <w:top w:val="single" w:color="auto" w:sz="4" w:space="0"/>
                    <w:left w:val="single" w:color="auto" w:sz="4" w:space="0"/>
                    <w:bottom w:val="single" w:color="auto" w:sz="12" w:space="0"/>
                  </w:tcBorders>
                  <w:shd w:val="clear" w:color="auto" w:fill="auto"/>
                  <w:vAlign w:val="center"/>
                </w:tcPr>
                <w:p w14:paraId="34FD0E01">
                  <w:pPr>
                    <w:snapToGrid w:val="0"/>
                    <w:spacing w:line="240" w:lineRule="auto"/>
                    <w:ind w:firstLine="0" w:firstLineChars="0"/>
                    <w:jc w:val="center"/>
                    <w:rPr>
                      <w:sz w:val="21"/>
                      <w:szCs w:val="21"/>
                    </w:rPr>
                  </w:pPr>
                  <w:r>
                    <w:rPr>
                      <w:rFonts w:hint="eastAsia"/>
                      <w:sz w:val="21"/>
                      <w:szCs w:val="21"/>
                    </w:rPr>
                    <w:t>50</w:t>
                  </w:r>
                </w:p>
              </w:tc>
            </w:tr>
          </w:tbl>
          <w:p w14:paraId="3A35D8B2">
            <w:pPr>
              <w:ind w:firstLine="480"/>
            </w:pPr>
            <w:r>
              <w:t>从上表监测结果可以看出：评价区域内各敏感点监测点位的昼间、夜间声环境监测值均达到《声环境质量标准》GB3096-2008中2类标准；</w:t>
            </w:r>
            <w:r>
              <w:rPr>
                <w:rFonts w:hint="eastAsia"/>
              </w:rPr>
              <w:t>拟建项目</w:t>
            </w:r>
            <w:r>
              <w:t>沿线监测点位的昼间、夜间声环境监测值均达到《声环境质量标准》GB3096-2008中</w:t>
            </w:r>
            <w:r>
              <w:rPr>
                <w:rFonts w:hint="eastAsia"/>
              </w:rPr>
              <w:t>2</w:t>
            </w:r>
            <w:r>
              <w:t>类</w:t>
            </w:r>
            <w:r>
              <w:rPr>
                <w:rFonts w:hint="eastAsia"/>
              </w:rPr>
              <w:t>、4a类</w:t>
            </w:r>
            <w:r>
              <w:t>标准。</w:t>
            </w:r>
          </w:p>
          <w:p w14:paraId="3EC6FF41">
            <w:pPr>
              <w:ind w:firstLine="0" w:firstLineChars="0"/>
              <w:rPr>
                <w:b/>
                <w:bCs/>
              </w:rPr>
            </w:pPr>
            <w:r>
              <w:rPr>
                <w:rFonts w:hint="eastAsia"/>
                <w:b/>
                <w:bCs/>
              </w:rPr>
              <w:t>5、地下水环境质量现状</w:t>
            </w:r>
          </w:p>
          <w:p w14:paraId="733B2B3D">
            <w:pPr>
              <w:ind w:firstLine="480"/>
            </w:pPr>
            <w:r>
              <w:t>根据《环境影响评价技术导则 地下水环境》（HJ610-2016）、地下水环境影响评价行业分类以及地下水环境敏感程度划分，本项目属于</w:t>
            </w:r>
            <w:r>
              <w:rPr>
                <w:rFonts w:hint="eastAsia"/>
              </w:rPr>
              <w:t>“</w:t>
            </w:r>
            <w:r>
              <w:t>防洪除涝工程</w:t>
            </w:r>
            <w:r>
              <w:rPr>
                <w:rFonts w:hint="eastAsia"/>
              </w:rPr>
              <w:t>”</w:t>
            </w:r>
            <w:r>
              <w:t>、</w:t>
            </w:r>
            <w:r>
              <w:rPr>
                <w:rFonts w:hint="eastAsia"/>
              </w:rPr>
              <w:t>“</w:t>
            </w:r>
            <w:r>
              <w:t>河湖整治工程</w:t>
            </w:r>
            <w:r>
              <w:rPr>
                <w:rFonts w:hint="eastAsia"/>
              </w:rPr>
              <w:t>”</w:t>
            </w:r>
            <w:r>
              <w:t>类别，对应地下水环境影响评价项目类别为IV类，IV类项目不开展地下水环境影响评价。</w:t>
            </w:r>
          </w:p>
          <w:p w14:paraId="3FF6C011">
            <w:pPr>
              <w:ind w:firstLine="480"/>
            </w:pPr>
            <w:r>
              <w:t>因此，不需要对地下水环境现状进行评价。</w:t>
            </w:r>
          </w:p>
          <w:p w14:paraId="78331E38">
            <w:pPr>
              <w:ind w:firstLine="0" w:firstLineChars="0"/>
              <w:rPr>
                <w:b/>
                <w:bCs/>
              </w:rPr>
            </w:pPr>
            <w:r>
              <w:rPr>
                <w:rFonts w:hint="eastAsia"/>
                <w:b/>
                <w:bCs/>
              </w:rPr>
              <w:t>6、土壤环境质量现状</w:t>
            </w:r>
          </w:p>
          <w:p w14:paraId="5C1B4693">
            <w:pPr>
              <w:ind w:firstLine="480"/>
            </w:pPr>
            <w:r>
              <w:t>根据《环境影响评价技术导则土壤环境（试行）》（HJ964-2018）附录A，本项目属于</w:t>
            </w:r>
            <w:r>
              <w:rPr>
                <w:rFonts w:hint="eastAsia"/>
              </w:rPr>
              <w:t>“</w:t>
            </w:r>
            <w:r>
              <w:t>水利-其他</w:t>
            </w:r>
            <w:r>
              <w:rPr>
                <w:rFonts w:hint="eastAsia"/>
              </w:rPr>
              <w:t>”</w:t>
            </w:r>
            <w:r>
              <w:t>类别，属于Ⅲ类项目中不敏感，可不开展土壤环境影响评价。为了解项目区域</w:t>
            </w:r>
            <w:r>
              <w:rPr>
                <w:rFonts w:hint="eastAsia"/>
              </w:rPr>
              <w:t>土壤</w:t>
            </w:r>
            <w:r>
              <w:t>环境质量现状，本次评价委托达州恒福环境监测服务有限公司</w:t>
            </w:r>
            <w:r>
              <w:rPr>
                <w:rFonts w:hint="eastAsia"/>
              </w:rPr>
              <w:t>于2026年6月17日对项目所在地土壤进行了现状监测，监测结果如下所示。</w:t>
            </w:r>
          </w:p>
          <w:p w14:paraId="1D6F558A">
            <w:pPr>
              <w:ind w:firstLine="480"/>
            </w:pPr>
            <w:r>
              <w:t>监测布点</w:t>
            </w:r>
            <w:r>
              <w:rPr>
                <w:rFonts w:hint="eastAsia"/>
              </w:rPr>
              <w:t>：本次环评在项目控制导流设施（拦河闸坝）闸址南侧共布设土壤监测点6个。</w:t>
            </w:r>
          </w:p>
          <w:p w14:paraId="53314455">
            <w:pPr>
              <w:ind w:firstLine="480"/>
            </w:pPr>
            <w:r>
              <w:rPr>
                <w:rFonts w:hint="eastAsia"/>
              </w:rPr>
              <w:t>执行标准：</w:t>
            </w:r>
            <w:r>
              <w:t>《土壤环境质量 建设用地土壤污染风险管控标准》（GB36600-2018）二类用地筛选值</w:t>
            </w:r>
            <w:r>
              <w:rPr>
                <w:rFonts w:hint="eastAsia"/>
              </w:rPr>
              <w:t>。</w:t>
            </w:r>
          </w:p>
          <w:p w14:paraId="2417495F">
            <w:pPr>
              <w:ind w:firstLine="480"/>
            </w:pPr>
            <w:r>
              <w:rPr>
                <w:rFonts w:hint="eastAsia"/>
              </w:rPr>
              <w:t>监测结果：区域环境噪声监测结果见表3-7。</w:t>
            </w:r>
          </w:p>
          <w:p w14:paraId="2C6688D8">
            <w:pPr>
              <w:ind w:firstLine="422"/>
              <w:jc w:val="center"/>
            </w:pPr>
            <w:r>
              <w:rPr>
                <w:rFonts w:hint="eastAsia"/>
                <w:b/>
                <w:bCs/>
                <w:sz w:val="21"/>
                <w:szCs w:val="21"/>
              </w:rPr>
              <w:t>表3-7  土壤监测结果一览表          单位：mg/kg</w:t>
            </w:r>
          </w:p>
          <w:tbl>
            <w:tblPr>
              <w:tblStyle w:val="18"/>
              <w:tblW w:w="845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83"/>
              <w:gridCol w:w="2588"/>
              <w:gridCol w:w="4288"/>
            </w:tblGrid>
            <w:tr w14:paraId="4BB04C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restart"/>
                  <w:tcBorders>
                    <w:tl2br w:val="nil"/>
                    <w:tr2bl w:val="nil"/>
                  </w:tcBorders>
                  <w:vAlign w:val="center"/>
                </w:tcPr>
                <w:p w14:paraId="749C9D4F">
                  <w:pPr>
                    <w:snapToGrid w:val="0"/>
                    <w:spacing w:line="240" w:lineRule="auto"/>
                    <w:ind w:firstLine="0" w:firstLineChars="0"/>
                    <w:jc w:val="center"/>
                    <w:rPr>
                      <w:b/>
                      <w:bCs/>
                      <w:sz w:val="21"/>
                      <w:szCs w:val="21"/>
                    </w:rPr>
                  </w:pPr>
                  <w:r>
                    <w:rPr>
                      <w:rFonts w:hint="eastAsia"/>
                      <w:b/>
                      <w:bCs/>
                      <w:sz w:val="21"/>
                      <w:szCs w:val="21"/>
                    </w:rPr>
                    <w:t>采样日期</w:t>
                  </w:r>
                </w:p>
              </w:tc>
              <w:tc>
                <w:tcPr>
                  <w:tcW w:w="2588" w:type="dxa"/>
                  <w:vMerge w:val="restart"/>
                  <w:tcBorders>
                    <w:tl2br w:val="nil"/>
                    <w:tr2bl w:val="nil"/>
                  </w:tcBorders>
                  <w:vAlign w:val="center"/>
                </w:tcPr>
                <w:p w14:paraId="374BCD8C">
                  <w:pPr>
                    <w:snapToGrid w:val="0"/>
                    <w:spacing w:line="240" w:lineRule="auto"/>
                    <w:ind w:firstLine="0" w:firstLineChars="0"/>
                    <w:jc w:val="center"/>
                    <w:rPr>
                      <w:b/>
                      <w:bCs/>
                      <w:sz w:val="21"/>
                      <w:szCs w:val="21"/>
                    </w:rPr>
                  </w:pPr>
                  <w:r>
                    <w:rPr>
                      <w:b/>
                      <w:bCs/>
                      <w:sz w:val="21"/>
                      <w:szCs w:val="21"/>
                    </w:rPr>
                    <w:t>检测因子</w:t>
                  </w:r>
                </w:p>
              </w:tc>
              <w:tc>
                <w:tcPr>
                  <w:tcW w:w="4288" w:type="dxa"/>
                  <w:tcBorders>
                    <w:tl2br w:val="nil"/>
                    <w:tr2bl w:val="nil"/>
                  </w:tcBorders>
                  <w:vAlign w:val="center"/>
                </w:tcPr>
                <w:p w14:paraId="7219326C">
                  <w:pPr>
                    <w:snapToGrid w:val="0"/>
                    <w:spacing w:line="240" w:lineRule="auto"/>
                    <w:ind w:firstLine="0" w:firstLineChars="0"/>
                    <w:jc w:val="center"/>
                    <w:rPr>
                      <w:b/>
                      <w:bCs/>
                      <w:sz w:val="21"/>
                      <w:szCs w:val="21"/>
                    </w:rPr>
                  </w:pPr>
                  <w:r>
                    <w:rPr>
                      <w:b/>
                      <w:bCs/>
                      <w:sz w:val="21"/>
                      <w:szCs w:val="21"/>
                    </w:rPr>
                    <w:t>检测点位及检测结果</w:t>
                  </w:r>
                </w:p>
              </w:tc>
            </w:tr>
            <w:tr w14:paraId="6BB3D6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457E255E">
                  <w:pPr>
                    <w:snapToGrid w:val="0"/>
                    <w:spacing w:line="240" w:lineRule="auto"/>
                    <w:ind w:firstLine="0" w:firstLineChars="0"/>
                    <w:jc w:val="center"/>
                    <w:rPr>
                      <w:b/>
                      <w:bCs/>
                      <w:sz w:val="21"/>
                      <w:szCs w:val="21"/>
                    </w:rPr>
                  </w:pPr>
                </w:p>
              </w:tc>
              <w:tc>
                <w:tcPr>
                  <w:tcW w:w="2588" w:type="dxa"/>
                  <w:vMerge w:val="continue"/>
                  <w:tcBorders>
                    <w:tl2br w:val="nil"/>
                    <w:tr2bl w:val="nil"/>
                  </w:tcBorders>
                  <w:vAlign w:val="center"/>
                </w:tcPr>
                <w:p w14:paraId="136C4E09">
                  <w:pPr>
                    <w:snapToGrid w:val="0"/>
                    <w:spacing w:line="240" w:lineRule="auto"/>
                    <w:ind w:firstLine="0" w:firstLineChars="0"/>
                    <w:jc w:val="center"/>
                    <w:rPr>
                      <w:b/>
                      <w:bCs/>
                      <w:sz w:val="21"/>
                      <w:szCs w:val="21"/>
                    </w:rPr>
                  </w:pPr>
                </w:p>
              </w:tc>
              <w:tc>
                <w:tcPr>
                  <w:tcW w:w="4288" w:type="dxa"/>
                  <w:tcBorders>
                    <w:tl2br w:val="nil"/>
                    <w:tr2bl w:val="nil"/>
                  </w:tcBorders>
                  <w:vAlign w:val="center"/>
                </w:tcPr>
                <w:p w14:paraId="3CFA5C4D">
                  <w:pPr>
                    <w:snapToGrid w:val="0"/>
                    <w:spacing w:line="240" w:lineRule="auto"/>
                    <w:ind w:firstLine="0" w:firstLineChars="0"/>
                    <w:jc w:val="center"/>
                    <w:rPr>
                      <w:b/>
                      <w:bCs/>
                      <w:sz w:val="21"/>
                      <w:szCs w:val="21"/>
                    </w:rPr>
                  </w:pPr>
                  <w:r>
                    <w:rPr>
                      <w:b/>
                      <w:bCs/>
                      <w:sz w:val="21"/>
                      <w:szCs w:val="21"/>
                    </w:rPr>
                    <w:t>TR1#，控制导流设施（拦河闸坝）闸址南侧</w:t>
                  </w:r>
                </w:p>
              </w:tc>
            </w:tr>
            <w:tr w14:paraId="6A6E73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restart"/>
                  <w:tcBorders>
                    <w:tl2br w:val="nil"/>
                    <w:tr2bl w:val="nil"/>
                  </w:tcBorders>
                  <w:vAlign w:val="center"/>
                </w:tcPr>
                <w:p w14:paraId="6D2C853D">
                  <w:pPr>
                    <w:snapToGrid w:val="0"/>
                    <w:spacing w:line="240" w:lineRule="auto"/>
                    <w:ind w:firstLine="0" w:firstLineChars="0"/>
                    <w:jc w:val="center"/>
                    <w:rPr>
                      <w:sz w:val="21"/>
                      <w:szCs w:val="21"/>
                    </w:rPr>
                  </w:pPr>
                  <w:r>
                    <w:rPr>
                      <w:rFonts w:hint="eastAsia"/>
                      <w:sz w:val="21"/>
                      <w:szCs w:val="21"/>
                    </w:rPr>
                    <w:t>2026.06.17</w:t>
                  </w:r>
                </w:p>
              </w:tc>
              <w:tc>
                <w:tcPr>
                  <w:tcW w:w="2588" w:type="dxa"/>
                  <w:tcBorders>
                    <w:tl2br w:val="nil"/>
                    <w:tr2bl w:val="nil"/>
                  </w:tcBorders>
                  <w:vAlign w:val="center"/>
                </w:tcPr>
                <w:p w14:paraId="60006FF7">
                  <w:pPr>
                    <w:snapToGrid w:val="0"/>
                    <w:spacing w:line="240" w:lineRule="auto"/>
                    <w:ind w:firstLine="0" w:firstLineChars="0"/>
                    <w:jc w:val="center"/>
                    <w:rPr>
                      <w:sz w:val="21"/>
                      <w:szCs w:val="21"/>
                    </w:rPr>
                  </w:pPr>
                  <w:r>
                    <w:rPr>
                      <w:sz w:val="21"/>
                      <w:szCs w:val="21"/>
                    </w:rPr>
                    <w:t>汞</w:t>
                  </w:r>
                </w:p>
              </w:tc>
              <w:tc>
                <w:tcPr>
                  <w:tcW w:w="4288" w:type="dxa"/>
                  <w:tcBorders>
                    <w:tl2br w:val="nil"/>
                    <w:tr2bl w:val="nil"/>
                  </w:tcBorders>
                  <w:vAlign w:val="center"/>
                </w:tcPr>
                <w:p w14:paraId="0BD44BD9">
                  <w:pPr>
                    <w:snapToGrid w:val="0"/>
                    <w:spacing w:line="240" w:lineRule="auto"/>
                    <w:ind w:firstLine="0" w:firstLineChars="0"/>
                    <w:jc w:val="center"/>
                    <w:rPr>
                      <w:sz w:val="21"/>
                      <w:szCs w:val="21"/>
                    </w:rPr>
                  </w:pPr>
                  <w:r>
                    <w:rPr>
                      <w:sz w:val="21"/>
                      <w:szCs w:val="21"/>
                    </w:rPr>
                    <w:t>0.088</w:t>
                  </w:r>
                </w:p>
              </w:tc>
            </w:tr>
            <w:tr w14:paraId="2B1B46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2A5709B6">
                  <w:pPr>
                    <w:snapToGrid w:val="0"/>
                    <w:spacing w:line="240" w:lineRule="auto"/>
                    <w:ind w:firstLine="0" w:firstLineChars="0"/>
                    <w:jc w:val="center"/>
                    <w:rPr>
                      <w:sz w:val="21"/>
                      <w:szCs w:val="21"/>
                    </w:rPr>
                  </w:pPr>
                </w:p>
              </w:tc>
              <w:tc>
                <w:tcPr>
                  <w:tcW w:w="2588" w:type="dxa"/>
                  <w:tcBorders>
                    <w:tl2br w:val="nil"/>
                    <w:tr2bl w:val="nil"/>
                  </w:tcBorders>
                  <w:vAlign w:val="center"/>
                </w:tcPr>
                <w:p w14:paraId="681C4842">
                  <w:pPr>
                    <w:snapToGrid w:val="0"/>
                    <w:spacing w:line="240" w:lineRule="auto"/>
                    <w:ind w:firstLine="0" w:firstLineChars="0"/>
                    <w:jc w:val="center"/>
                    <w:rPr>
                      <w:sz w:val="21"/>
                      <w:szCs w:val="21"/>
                    </w:rPr>
                  </w:pPr>
                  <w:r>
                    <w:rPr>
                      <w:sz w:val="21"/>
                      <w:szCs w:val="21"/>
                    </w:rPr>
                    <w:t>砷</w:t>
                  </w:r>
                </w:p>
              </w:tc>
              <w:tc>
                <w:tcPr>
                  <w:tcW w:w="4288" w:type="dxa"/>
                  <w:tcBorders>
                    <w:tl2br w:val="nil"/>
                    <w:tr2bl w:val="nil"/>
                  </w:tcBorders>
                  <w:vAlign w:val="center"/>
                </w:tcPr>
                <w:p w14:paraId="200CEE36">
                  <w:pPr>
                    <w:snapToGrid w:val="0"/>
                    <w:spacing w:line="240" w:lineRule="auto"/>
                    <w:ind w:firstLine="0" w:firstLineChars="0"/>
                    <w:jc w:val="center"/>
                    <w:rPr>
                      <w:sz w:val="21"/>
                      <w:szCs w:val="21"/>
                    </w:rPr>
                  </w:pPr>
                  <w:r>
                    <w:rPr>
                      <w:sz w:val="21"/>
                      <w:szCs w:val="21"/>
                    </w:rPr>
                    <w:t>5.85</w:t>
                  </w:r>
                </w:p>
              </w:tc>
            </w:tr>
            <w:tr w14:paraId="73DD79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505D9EBA">
                  <w:pPr>
                    <w:snapToGrid w:val="0"/>
                    <w:spacing w:line="240" w:lineRule="auto"/>
                    <w:ind w:firstLine="0" w:firstLineChars="0"/>
                    <w:jc w:val="center"/>
                    <w:rPr>
                      <w:sz w:val="21"/>
                      <w:szCs w:val="21"/>
                    </w:rPr>
                  </w:pPr>
                </w:p>
              </w:tc>
              <w:tc>
                <w:tcPr>
                  <w:tcW w:w="2588" w:type="dxa"/>
                  <w:tcBorders>
                    <w:tl2br w:val="nil"/>
                    <w:tr2bl w:val="nil"/>
                  </w:tcBorders>
                  <w:vAlign w:val="center"/>
                </w:tcPr>
                <w:p w14:paraId="329F1765">
                  <w:pPr>
                    <w:snapToGrid w:val="0"/>
                    <w:spacing w:line="240" w:lineRule="auto"/>
                    <w:ind w:firstLine="0" w:firstLineChars="0"/>
                    <w:jc w:val="center"/>
                    <w:rPr>
                      <w:sz w:val="21"/>
                      <w:szCs w:val="21"/>
                    </w:rPr>
                  </w:pPr>
                  <w:r>
                    <w:rPr>
                      <w:sz w:val="21"/>
                      <w:szCs w:val="21"/>
                    </w:rPr>
                    <w:t>六价铬</w:t>
                  </w:r>
                </w:p>
              </w:tc>
              <w:tc>
                <w:tcPr>
                  <w:tcW w:w="4288" w:type="dxa"/>
                  <w:tcBorders>
                    <w:tl2br w:val="nil"/>
                    <w:tr2bl w:val="nil"/>
                  </w:tcBorders>
                  <w:vAlign w:val="center"/>
                </w:tcPr>
                <w:p w14:paraId="1C513EA8">
                  <w:pPr>
                    <w:snapToGrid w:val="0"/>
                    <w:spacing w:line="240" w:lineRule="auto"/>
                    <w:ind w:firstLine="0" w:firstLineChars="0"/>
                    <w:jc w:val="center"/>
                    <w:rPr>
                      <w:sz w:val="21"/>
                      <w:szCs w:val="21"/>
                    </w:rPr>
                  </w:pPr>
                  <w:r>
                    <w:rPr>
                      <w:sz w:val="21"/>
                      <w:szCs w:val="21"/>
                    </w:rPr>
                    <w:t>ND</w:t>
                  </w:r>
                </w:p>
              </w:tc>
            </w:tr>
            <w:tr w14:paraId="610982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12785AF5">
                  <w:pPr>
                    <w:snapToGrid w:val="0"/>
                    <w:spacing w:line="240" w:lineRule="auto"/>
                    <w:ind w:firstLine="0" w:firstLineChars="0"/>
                    <w:jc w:val="center"/>
                    <w:rPr>
                      <w:sz w:val="21"/>
                      <w:szCs w:val="21"/>
                    </w:rPr>
                  </w:pPr>
                </w:p>
              </w:tc>
              <w:tc>
                <w:tcPr>
                  <w:tcW w:w="2588" w:type="dxa"/>
                  <w:tcBorders>
                    <w:tl2br w:val="nil"/>
                    <w:tr2bl w:val="nil"/>
                  </w:tcBorders>
                  <w:vAlign w:val="center"/>
                </w:tcPr>
                <w:p w14:paraId="2E462E04">
                  <w:pPr>
                    <w:snapToGrid w:val="0"/>
                    <w:spacing w:line="240" w:lineRule="auto"/>
                    <w:ind w:firstLine="0" w:firstLineChars="0"/>
                    <w:jc w:val="center"/>
                    <w:rPr>
                      <w:sz w:val="21"/>
                      <w:szCs w:val="21"/>
                    </w:rPr>
                  </w:pPr>
                  <w:r>
                    <w:rPr>
                      <w:sz w:val="21"/>
                      <w:szCs w:val="21"/>
                    </w:rPr>
                    <w:t>镉</w:t>
                  </w:r>
                </w:p>
              </w:tc>
              <w:tc>
                <w:tcPr>
                  <w:tcW w:w="4288" w:type="dxa"/>
                  <w:tcBorders>
                    <w:tl2br w:val="nil"/>
                    <w:tr2bl w:val="nil"/>
                  </w:tcBorders>
                  <w:vAlign w:val="center"/>
                </w:tcPr>
                <w:p w14:paraId="55600E18">
                  <w:pPr>
                    <w:snapToGrid w:val="0"/>
                    <w:spacing w:line="240" w:lineRule="auto"/>
                    <w:ind w:firstLine="0" w:firstLineChars="0"/>
                    <w:jc w:val="center"/>
                    <w:rPr>
                      <w:sz w:val="21"/>
                      <w:szCs w:val="21"/>
                    </w:rPr>
                  </w:pPr>
                  <w:r>
                    <w:rPr>
                      <w:sz w:val="21"/>
                      <w:szCs w:val="21"/>
                    </w:rPr>
                    <w:t>0.44</w:t>
                  </w:r>
                </w:p>
              </w:tc>
            </w:tr>
            <w:tr w14:paraId="78AE64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44EE3173">
                  <w:pPr>
                    <w:snapToGrid w:val="0"/>
                    <w:spacing w:line="240" w:lineRule="auto"/>
                    <w:ind w:firstLine="0" w:firstLineChars="0"/>
                    <w:jc w:val="center"/>
                    <w:rPr>
                      <w:sz w:val="21"/>
                      <w:szCs w:val="21"/>
                    </w:rPr>
                  </w:pPr>
                </w:p>
              </w:tc>
              <w:tc>
                <w:tcPr>
                  <w:tcW w:w="2588" w:type="dxa"/>
                  <w:tcBorders>
                    <w:tl2br w:val="nil"/>
                    <w:tr2bl w:val="nil"/>
                  </w:tcBorders>
                  <w:vAlign w:val="center"/>
                </w:tcPr>
                <w:p w14:paraId="00EBE877">
                  <w:pPr>
                    <w:snapToGrid w:val="0"/>
                    <w:spacing w:line="240" w:lineRule="auto"/>
                    <w:ind w:firstLine="0" w:firstLineChars="0"/>
                    <w:jc w:val="center"/>
                    <w:rPr>
                      <w:sz w:val="21"/>
                      <w:szCs w:val="21"/>
                    </w:rPr>
                  </w:pPr>
                  <w:r>
                    <w:rPr>
                      <w:sz w:val="21"/>
                      <w:szCs w:val="21"/>
                    </w:rPr>
                    <w:t>铜</w:t>
                  </w:r>
                </w:p>
              </w:tc>
              <w:tc>
                <w:tcPr>
                  <w:tcW w:w="4288" w:type="dxa"/>
                  <w:tcBorders>
                    <w:tl2br w:val="nil"/>
                    <w:tr2bl w:val="nil"/>
                  </w:tcBorders>
                  <w:vAlign w:val="center"/>
                </w:tcPr>
                <w:p w14:paraId="7541CEFB">
                  <w:pPr>
                    <w:snapToGrid w:val="0"/>
                    <w:spacing w:line="240" w:lineRule="auto"/>
                    <w:ind w:firstLine="0" w:firstLineChars="0"/>
                    <w:jc w:val="center"/>
                    <w:rPr>
                      <w:sz w:val="21"/>
                      <w:szCs w:val="21"/>
                    </w:rPr>
                  </w:pPr>
                  <w:r>
                    <w:rPr>
                      <w:sz w:val="21"/>
                      <w:szCs w:val="21"/>
                    </w:rPr>
                    <w:t>26</w:t>
                  </w:r>
                </w:p>
              </w:tc>
            </w:tr>
            <w:tr w14:paraId="7CE00F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554E941D">
                  <w:pPr>
                    <w:snapToGrid w:val="0"/>
                    <w:spacing w:line="240" w:lineRule="auto"/>
                    <w:ind w:firstLine="0" w:firstLineChars="0"/>
                    <w:jc w:val="center"/>
                    <w:rPr>
                      <w:sz w:val="21"/>
                      <w:szCs w:val="21"/>
                    </w:rPr>
                  </w:pPr>
                </w:p>
              </w:tc>
              <w:tc>
                <w:tcPr>
                  <w:tcW w:w="2588" w:type="dxa"/>
                  <w:tcBorders>
                    <w:tl2br w:val="nil"/>
                    <w:tr2bl w:val="nil"/>
                  </w:tcBorders>
                  <w:vAlign w:val="center"/>
                </w:tcPr>
                <w:p w14:paraId="42950E80">
                  <w:pPr>
                    <w:snapToGrid w:val="0"/>
                    <w:spacing w:line="240" w:lineRule="auto"/>
                    <w:ind w:firstLine="0" w:firstLineChars="0"/>
                    <w:jc w:val="center"/>
                    <w:rPr>
                      <w:sz w:val="21"/>
                      <w:szCs w:val="21"/>
                    </w:rPr>
                  </w:pPr>
                  <w:r>
                    <w:rPr>
                      <w:sz w:val="21"/>
                      <w:szCs w:val="21"/>
                    </w:rPr>
                    <w:t>铅</w:t>
                  </w:r>
                </w:p>
              </w:tc>
              <w:tc>
                <w:tcPr>
                  <w:tcW w:w="4288" w:type="dxa"/>
                  <w:tcBorders>
                    <w:tl2br w:val="nil"/>
                    <w:tr2bl w:val="nil"/>
                  </w:tcBorders>
                  <w:vAlign w:val="center"/>
                </w:tcPr>
                <w:p w14:paraId="6B5A28E7">
                  <w:pPr>
                    <w:snapToGrid w:val="0"/>
                    <w:spacing w:line="240" w:lineRule="auto"/>
                    <w:ind w:firstLine="0" w:firstLineChars="0"/>
                    <w:jc w:val="center"/>
                    <w:rPr>
                      <w:sz w:val="21"/>
                      <w:szCs w:val="21"/>
                    </w:rPr>
                  </w:pPr>
                  <w:r>
                    <w:rPr>
                      <w:sz w:val="21"/>
                      <w:szCs w:val="21"/>
                    </w:rPr>
                    <w:t>60</w:t>
                  </w:r>
                </w:p>
              </w:tc>
            </w:tr>
            <w:tr w14:paraId="761983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3AADECD7">
                  <w:pPr>
                    <w:snapToGrid w:val="0"/>
                    <w:spacing w:line="240" w:lineRule="auto"/>
                    <w:ind w:firstLine="0" w:firstLineChars="0"/>
                    <w:jc w:val="center"/>
                    <w:rPr>
                      <w:sz w:val="21"/>
                      <w:szCs w:val="21"/>
                    </w:rPr>
                  </w:pPr>
                </w:p>
              </w:tc>
              <w:tc>
                <w:tcPr>
                  <w:tcW w:w="2588" w:type="dxa"/>
                  <w:tcBorders>
                    <w:tl2br w:val="nil"/>
                    <w:tr2bl w:val="nil"/>
                  </w:tcBorders>
                  <w:vAlign w:val="center"/>
                </w:tcPr>
                <w:p w14:paraId="3D63D7D6">
                  <w:pPr>
                    <w:snapToGrid w:val="0"/>
                    <w:spacing w:line="240" w:lineRule="auto"/>
                    <w:ind w:firstLine="0" w:firstLineChars="0"/>
                    <w:jc w:val="center"/>
                    <w:rPr>
                      <w:sz w:val="21"/>
                      <w:szCs w:val="21"/>
                    </w:rPr>
                  </w:pPr>
                  <w:r>
                    <w:rPr>
                      <w:sz w:val="21"/>
                      <w:szCs w:val="21"/>
                    </w:rPr>
                    <w:t>镍</w:t>
                  </w:r>
                </w:p>
              </w:tc>
              <w:tc>
                <w:tcPr>
                  <w:tcW w:w="4288" w:type="dxa"/>
                  <w:tcBorders>
                    <w:tl2br w:val="nil"/>
                    <w:tr2bl w:val="nil"/>
                  </w:tcBorders>
                  <w:vAlign w:val="center"/>
                </w:tcPr>
                <w:p w14:paraId="3A5BFD84">
                  <w:pPr>
                    <w:snapToGrid w:val="0"/>
                    <w:spacing w:line="240" w:lineRule="auto"/>
                    <w:ind w:firstLine="0" w:firstLineChars="0"/>
                    <w:jc w:val="center"/>
                    <w:rPr>
                      <w:sz w:val="21"/>
                      <w:szCs w:val="21"/>
                    </w:rPr>
                  </w:pPr>
                  <w:r>
                    <w:rPr>
                      <w:sz w:val="21"/>
                      <w:szCs w:val="21"/>
                    </w:rPr>
                    <w:t>54</w:t>
                  </w:r>
                </w:p>
              </w:tc>
            </w:tr>
            <w:tr w14:paraId="0F53D94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4BD4AC17">
                  <w:pPr>
                    <w:snapToGrid w:val="0"/>
                    <w:spacing w:line="240" w:lineRule="auto"/>
                    <w:ind w:firstLine="0" w:firstLineChars="0"/>
                    <w:jc w:val="center"/>
                    <w:rPr>
                      <w:sz w:val="21"/>
                      <w:szCs w:val="21"/>
                    </w:rPr>
                  </w:pPr>
                </w:p>
              </w:tc>
              <w:tc>
                <w:tcPr>
                  <w:tcW w:w="2588" w:type="dxa"/>
                  <w:tcBorders>
                    <w:tl2br w:val="nil"/>
                    <w:tr2bl w:val="nil"/>
                  </w:tcBorders>
                  <w:vAlign w:val="center"/>
                </w:tcPr>
                <w:p w14:paraId="38DADBFA">
                  <w:pPr>
                    <w:snapToGrid w:val="0"/>
                    <w:spacing w:line="240" w:lineRule="auto"/>
                    <w:ind w:firstLine="0" w:firstLineChars="0"/>
                    <w:jc w:val="center"/>
                    <w:rPr>
                      <w:sz w:val="21"/>
                      <w:szCs w:val="21"/>
                    </w:rPr>
                  </w:pPr>
                  <w:r>
                    <w:rPr>
                      <w:sz w:val="21"/>
                      <w:szCs w:val="21"/>
                    </w:rPr>
                    <w:t>石油烃（C10~C40）</w:t>
                  </w:r>
                </w:p>
              </w:tc>
              <w:tc>
                <w:tcPr>
                  <w:tcW w:w="4288" w:type="dxa"/>
                  <w:tcBorders>
                    <w:tl2br w:val="nil"/>
                    <w:tr2bl w:val="nil"/>
                  </w:tcBorders>
                  <w:vAlign w:val="center"/>
                </w:tcPr>
                <w:p w14:paraId="3F35D5B2">
                  <w:pPr>
                    <w:snapToGrid w:val="0"/>
                    <w:spacing w:line="240" w:lineRule="auto"/>
                    <w:ind w:firstLine="0" w:firstLineChars="0"/>
                    <w:jc w:val="center"/>
                    <w:rPr>
                      <w:sz w:val="21"/>
                      <w:szCs w:val="21"/>
                    </w:rPr>
                  </w:pPr>
                  <w:r>
                    <w:rPr>
                      <w:sz w:val="21"/>
                      <w:szCs w:val="21"/>
                    </w:rPr>
                    <w:t>ND</w:t>
                  </w:r>
                </w:p>
              </w:tc>
            </w:tr>
            <w:tr w14:paraId="43395D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1EC2EA1C">
                  <w:pPr>
                    <w:snapToGrid w:val="0"/>
                    <w:spacing w:line="240" w:lineRule="auto"/>
                    <w:ind w:firstLine="0" w:firstLineChars="0"/>
                    <w:jc w:val="center"/>
                    <w:rPr>
                      <w:sz w:val="21"/>
                      <w:szCs w:val="21"/>
                    </w:rPr>
                  </w:pPr>
                </w:p>
              </w:tc>
              <w:tc>
                <w:tcPr>
                  <w:tcW w:w="2588" w:type="dxa"/>
                  <w:tcBorders>
                    <w:tl2br w:val="nil"/>
                    <w:tr2bl w:val="nil"/>
                  </w:tcBorders>
                  <w:vAlign w:val="center"/>
                </w:tcPr>
                <w:p w14:paraId="369BF6EF">
                  <w:pPr>
                    <w:snapToGrid w:val="0"/>
                    <w:spacing w:line="240" w:lineRule="auto"/>
                    <w:ind w:firstLine="0" w:firstLineChars="0"/>
                    <w:jc w:val="center"/>
                    <w:rPr>
                      <w:sz w:val="21"/>
                      <w:szCs w:val="21"/>
                    </w:rPr>
                  </w:pPr>
                  <w:r>
                    <w:rPr>
                      <w:sz w:val="21"/>
                      <w:szCs w:val="21"/>
                    </w:rPr>
                    <w:t>四氯化碳</w:t>
                  </w:r>
                </w:p>
              </w:tc>
              <w:tc>
                <w:tcPr>
                  <w:tcW w:w="4288" w:type="dxa"/>
                  <w:tcBorders>
                    <w:tl2br w:val="nil"/>
                    <w:tr2bl w:val="nil"/>
                  </w:tcBorders>
                  <w:vAlign w:val="center"/>
                </w:tcPr>
                <w:p w14:paraId="185D0299">
                  <w:pPr>
                    <w:snapToGrid w:val="0"/>
                    <w:spacing w:line="240" w:lineRule="auto"/>
                    <w:ind w:firstLine="0" w:firstLineChars="0"/>
                    <w:jc w:val="center"/>
                    <w:rPr>
                      <w:sz w:val="21"/>
                      <w:szCs w:val="21"/>
                    </w:rPr>
                  </w:pPr>
                  <w:r>
                    <w:rPr>
                      <w:sz w:val="21"/>
                      <w:szCs w:val="21"/>
                    </w:rPr>
                    <w:t>ND</w:t>
                  </w:r>
                </w:p>
              </w:tc>
            </w:tr>
            <w:tr w14:paraId="630AA6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0AD45B36">
                  <w:pPr>
                    <w:snapToGrid w:val="0"/>
                    <w:spacing w:line="240" w:lineRule="auto"/>
                    <w:ind w:firstLine="0" w:firstLineChars="0"/>
                    <w:jc w:val="center"/>
                    <w:rPr>
                      <w:sz w:val="21"/>
                      <w:szCs w:val="21"/>
                    </w:rPr>
                  </w:pPr>
                </w:p>
              </w:tc>
              <w:tc>
                <w:tcPr>
                  <w:tcW w:w="2588" w:type="dxa"/>
                  <w:tcBorders>
                    <w:tl2br w:val="nil"/>
                    <w:tr2bl w:val="nil"/>
                  </w:tcBorders>
                  <w:vAlign w:val="center"/>
                </w:tcPr>
                <w:p w14:paraId="0FBBD680">
                  <w:pPr>
                    <w:snapToGrid w:val="0"/>
                    <w:spacing w:line="240" w:lineRule="auto"/>
                    <w:ind w:firstLine="0" w:firstLineChars="0"/>
                    <w:jc w:val="center"/>
                    <w:rPr>
                      <w:sz w:val="21"/>
                      <w:szCs w:val="21"/>
                    </w:rPr>
                  </w:pPr>
                  <w:r>
                    <w:rPr>
                      <w:sz w:val="21"/>
                      <w:szCs w:val="21"/>
                    </w:rPr>
                    <w:t>氯仿</w:t>
                  </w:r>
                </w:p>
              </w:tc>
              <w:tc>
                <w:tcPr>
                  <w:tcW w:w="4288" w:type="dxa"/>
                  <w:tcBorders>
                    <w:tl2br w:val="nil"/>
                    <w:tr2bl w:val="nil"/>
                  </w:tcBorders>
                  <w:vAlign w:val="center"/>
                </w:tcPr>
                <w:p w14:paraId="3420A299">
                  <w:pPr>
                    <w:snapToGrid w:val="0"/>
                    <w:spacing w:line="240" w:lineRule="auto"/>
                    <w:ind w:firstLine="0" w:firstLineChars="0"/>
                    <w:jc w:val="center"/>
                    <w:rPr>
                      <w:sz w:val="21"/>
                      <w:szCs w:val="21"/>
                    </w:rPr>
                  </w:pPr>
                  <w:r>
                    <w:rPr>
                      <w:sz w:val="21"/>
                      <w:szCs w:val="21"/>
                    </w:rPr>
                    <w:t>ND</w:t>
                  </w:r>
                </w:p>
              </w:tc>
            </w:tr>
            <w:tr w14:paraId="30F2CD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2AB43456">
                  <w:pPr>
                    <w:snapToGrid w:val="0"/>
                    <w:spacing w:line="240" w:lineRule="auto"/>
                    <w:ind w:firstLine="0" w:firstLineChars="0"/>
                    <w:jc w:val="center"/>
                    <w:rPr>
                      <w:sz w:val="21"/>
                      <w:szCs w:val="21"/>
                    </w:rPr>
                  </w:pPr>
                </w:p>
              </w:tc>
              <w:tc>
                <w:tcPr>
                  <w:tcW w:w="2588" w:type="dxa"/>
                  <w:tcBorders>
                    <w:tl2br w:val="nil"/>
                    <w:tr2bl w:val="nil"/>
                  </w:tcBorders>
                  <w:vAlign w:val="center"/>
                </w:tcPr>
                <w:p w14:paraId="5E48A294">
                  <w:pPr>
                    <w:snapToGrid w:val="0"/>
                    <w:spacing w:line="240" w:lineRule="auto"/>
                    <w:ind w:firstLine="0" w:firstLineChars="0"/>
                    <w:jc w:val="center"/>
                    <w:rPr>
                      <w:sz w:val="21"/>
                      <w:szCs w:val="21"/>
                    </w:rPr>
                  </w:pPr>
                  <w:r>
                    <w:rPr>
                      <w:sz w:val="21"/>
                      <w:szCs w:val="21"/>
                    </w:rPr>
                    <w:t>1,2-二氯乙烷+苯</w:t>
                  </w:r>
                </w:p>
              </w:tc>
              <w:tc>
                <w:tcPr>
                  <w:tcW w:w="4288" w:type="dxa"/>
                  <w:tcBorders>
                    <w:tl2br w:val="nil"/>
                    <w:tr2bl w:val="nil"/>
                  </w:tcBorders>
                  <w:vAlign w:val="center"/>
                </w:tcPr>
                <w:p w14:paraId="2391F1B7">
                  <w:pPr>
                    <w:snapToGrid w:val="0"/>
                    <w:spacing w:line="240" w:lineRule="auto"/>
                    <w:ind w:firstLine="0" w:firstLineChars="0"/>
                    <w:jc w:val="center"/>
                    <w:rPr>
                      <w:sz w:val="21"/>
                      <w:szCs w:val="21"/>
                    </w:rPr>
                  </w:pPr>
                  <w:r>
                    <w:rPr>
                      <w:sz w:val="21"/>
                      <w:szCs w:val="21"/>
                    </w:rPr>
                    <w:t>ND</w:t>
                  </w:r>
                </w:p>
              </w:tc>
            </w:tr>
            <w:tr w14:paraId="6D56B6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3" w:hRule="atLeast"/>
                <w:tblHeader/>
                <w:jc w:val="center"/>
              </w:trPr>
              <w:tc>
                <w:tcPr>
                  <w:tcW w:w="1583" w:type="dxa"/>
                  <w:vMerge w:val="continue"/>
                  <w:tcBorders>
                    <w:tl2br w:val="nil"/>
                    <w:tr2bl w:val="nil"/>
                  </w:tcBorders>
                  <w:vAlign w:val="center"/>
                </w:tcPr>
                <w:p w14:paraId="6DB60D10">
                  <w:pPr>
                    <w:snapToGrid w:val="0"/>
                    <w:spacing w:line="240" w:lineRule="auto"/>
                    <w:ind w:firstLine="0" w:firstLineChars="0"/>
                    <w:jc w:val="center"/>
                    <w:rPr>
                      <w:sz w:val="21"/>
                      <w:szCs w:val="21"/>
                    </w:rPr>
                  </w:pPr>
                </w:p>
              </w:tc>
              <w:tc>
                <w:tcPr>
                  <w:tcW w:w="2588" w:type="dxa"/>
                  <w:tcBorders>
                    <w:tl2br w:val="nil"/>
                    <w:tr2bl w:val="nil"/>
                  </w:tcBorders>
                  <w:vAlign w:val="center"/>
                </w:tcPr>
                <w:p w14:paraId="7C201738">
                  <w:pPr>
                    <w:snapToGrid w:val="0"/>
                    <w:spacing w:line="240" w:lineRule="auto"/>
                    <w:ind w:firstLine="0" w:firstLineChars="0"/>
                    <w:jc w:val="center"/>
                    <w:rPr>
                      <w:sz w:val="21"/>
                      <w:szCs w:val="21"/>
                    </w:rPr>
                  </w:pPr>
                  <w:r>
                    <w:rPr>
                      <w:sz w:val="21"/>
                      <w:szCs w:val="21"/>
                    </w:rPr>
                    <w:t>1,1-二氯乙烯</w:t>
                  </w:r>
                </w:p>
              </w:tc>
              <w:tc>
                <w:tcPr>
                  <w:tcW w:w="4288" w:type="dxa"/>
                  <w:tcBorders>
                    <w:tl2br w:val="nil"/>
                    <w:tr2bl w:val="nil"/>
                  </w:tcBorders>
                  <w:vAlign w:val="center"/>
                </w:tcPr>
                <w:p w14:paraId="7627BBA6">
                  <w:pPr>
                    <w:snapToGrid w:val="0"/>
                    <w:spacing w:line="240" w:lineRule="auto"/>
                    <w:ind w:firstLine="0" w:firstLineChars="0"/>
                    <w:jc w:val="center"/>
                    <w:rPr>
                      <w:sz w:val="21"/>
                      <w:szCs w:val="21"/>
                    </w:rPr>
                  </w:pPr>
                  <w:r>
                    <w:rPr>
                      <w:sz w:val="21"/>
                      <w:szCs w:val="21"/>
                    </w:rPr>
                    <w:t>ND</w:t>
                  </w:r>
                </w:p>
              </w:tc>
            </w:tr>
            <w:tr w14:paraId="716913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329DAB6E">
                  <w:pPr>
                    <w:snapToGrid w:val="0"/>
                    <w:spacing w:line="240" w:lineRule="auto"/>
                    <w:ind w:firstLine="0" w:firstLineChars="0"/>
                    <w:jc w:val="center"/>
                    <w:rPr>
                      <w:sz w:val="21"/>
                      <w:szCs w:val="21"/>
                    </w:rPr>
                  </w:pPr>
                </w:p>
              </w:tc>
              <w:tc>
                <w:tcPr>
                  <w:tcW w:w="2588" w:type="dxa"/>
                  <w:tcBorders>
                    <w:tl2br w:val="nil"/>
                    <w:tr2bl w:val="nil"/>
                  </w:tcBorders>
                  <w:vAlign w:val="center"/>
                </w:tcPr>
                <w:p w14:paraId="65C658A0">
                  <w:pPr>
                    <w:snapToGrid w:val="0"/>
                    <w:spacing w:line="240" w:lineRule="auto"/>
                    <w:ind w:firstLine="0" w:firstLineChars="0"/>
                    <w:jc w:val="center"/>
                    <w:rPr>
                      <w:sz w:val="21"/>
                      <w:szCs w:val="21"/>
                    </w:rPr>
                  </w:pPr>
                  <w:r>
                    <w:rPr>
                      <w:sz w:val="21"/>
                      <w:szCs w:val="21"/>
                    </w:rPr>
                    <w:t>二氯甲烷</w:t>
                  </w:r>
                </w:p>
              </w:tc>
              <w:tc>
                <w:tcPr>
                  <w:tcW w:w="4288" w:type="dxa"/>
                  <w:tcBorders>
                    <w:tl2br w:val="nil"/>
                    <w:tr2bl w:val="nil"/>
                  </w:tcBorders>
                  <w:vAlign w:val="center"/>
                </w:tcPr>
                <w:p w14:paraId="0542DEC6">
                  <w:pPr>
                    <w:snapToGrid w:val="0"/>
                    <w:spacing w:line="240" w:lineRule="auto"/>
                    <w:ind w:firstLine="0" w:firstLineChars="0"/>
                    <w:jc w:val="center"/>
                    <w:rPr>
                      <w:sz w:val="21"/>
                      <w:szCs w:val="21"/>
                    </w:rPr>
                  </w:pPr>
                  <w:r>
                    <w:rPr>
                      <w:sz w:val="21"/>
                      <w:szCs w:val="21"/>
                    </w:rPr>
                    <w:t>ND</w:t>
                  </w:r>
                </w:p>
              </w:tc>
            </w:tr>
            <w:tr w14:paraId="1F21C6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672EDF5D">
                  <w:pPr>
                    <w:snapToGrid w:val="0"/>
                    <w:spacing w:line="240" w:lineRule="auto"/>
                    <w:ind w:firstLine="0" w:firstLineChars="0"/>
                    <w:jc w:val="center"/>
                    <w:rPr>
                      <w:sz w:val="21"/>
                      <w:szCs w:val="21"/>
                    </w:rPr>
                  </w:pPr>
                </w:p>
              </w:tc>
              <w:tc>
                <w:tcPr>
                  <w:tcW w:w="2588" w:type="dxa"/>
                  <w:tcBorders>
                    <w:tl2br w:val="nil"/>
                    <w:tr2bl w:val="nil"/>
                  </w:tcBorders>
                  <w:vAlign w:val="center"/>
                </w:tcPr>
                <w:p w14:paraId="0C3BD252">
                  <w:pPr>
                    <w:snapToGrid w:val="0"/>
                    <w:spacing w:line="240" w:lineRule="auto"/>
                    <w:ind w:firstLine="0" w:firstLineChars="0"/>
                    <w:jc w:val="center"/>
                    <w:rPr>
                      <w:sz w:val="21"/>
                      <w:szCs w:val="21"/>
                    </w:rPr>
                  </w:pPr>
                  <w:r>
                    <w:rPr>
                      <w:sz w:val="21"/>
                      <w:szCs w:val="21"/>
                    </w:rPr>
                    <w:t>1,2-二氯丙烷</w:t>
                  </w:r>
                </w:p>
              </w:tc>
              <w:tc>
                <w:tcPr>
                  <w:tcW w:w="4288" w:type="dxa"/>
                  <w:tcBorders>
                    <w:tl2br w:val="nil"/>
                    <w:tr2bl w:val="nil"/>
                  </w:tcBorders>
                  <w:vAlign w:val="center"/>
                </w:tcPr>
                <w:p w14:paraId="6E005DF7">
                  <w:pPr>
                    <w:snapToGrid w:val="0"/>
                    <w:spacing w:line="240" w:lineRule="auto"/>
                    <w:ind w:firstLine="0" w:firstLineChars="0"/>
                    <w:jc w:val="center"/>
                    <w:rPr>
                      <w:sz w:val="21"/>
                      <w:szCs w:val="21"/>
                    </w:rPr>
                  </w:pPr>
                  <w:r>
                    <w:rPr>
                      <w:sz w:val="21"/>
                      <w:szCs w:val="21"/>
                    </w:rPr>
                    <w:t>ND</w:t>
                  </w:r>
                </w:p>
              </w:tc>
            </w:tr>
            <w:tr w14:paraId="50815F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6DBD0A35">
                  <w:pPr>
                    <w:snapToGrid w:val="0"/>
                    <w:spacing w:line="240" w:lineRule="auto"/>
                    <w:ind w:firstLine="0" w:firstLineChars="0"/>
                    <w:jc w:val="center"/>
                    <w:rPr>
                      <w:sz w:val="21"/>
                      <w:szCs w:val="21"/>
                    </w:rPr>
                  </w:pPr>
                </w:p>
              </w:tc>
              <w:tc>
                <w:tcPr>
                  <w:tcW w:w="2588" w:type="dxa"/>
                  <w:tcBorders>
                    <w:tl2br w:val="nil"/>
                    <w:tr2bl w:val="nil"/>
                  </w:tcBorders>
                  <w:vAlign w:val="center"/>
                </w:tcPr>
                <w:p w14:paraId="083D8D3E">
                  <w:pPr>
                    <w:snapToGrid w:val="0"/>
                    <w:spacing w:line="240" w:lineRule="auto"/>
                    <w:ind w:firstLine="0" w:firstLineChars="0"/>
                    <w:jc w:val="center"/>
                    <w:rPr>
                      <w:sz w:val="21"/>
                      <w:szCs w:val="21"/>
                    </w:rPr>
                  </w:pPr>
                  <w:r>
                    <w:rPr>
                      <w:sz w:val="21"/>
                      <w:szCs w:val="21"/>
                    </w:rPr>
                    <w:t>四氯乙烯</w:t>
                  </w:r>
                </w:p>
              </w:tc>
              <w:tc>
                <w:tcPr>
                  <w:tcW w:w="4288" w:type="dxa"/>
                  <w:tcBorders>
                    <w:tl2br w:val="nil"/>
                    <w:tr2bl w:val="nil"/>
                  </w:tcBorders>
                  <w:vAlign w:val="center"/>
                </w:tcPr>
                <w:p w14:paraId="3C602BE9">
                  <w:pPr>
                    <w:snapToGrid w:val="0"/>
                    <w:spacing w:line="240" w:lineRule="auto"/>
                    <w:ind w:firstLine="0" w:firstLineChars="0"/>
                    <w:jc w:val="center"/>
                    <w:rPr>
                      <w:sz w:val="21"/>
                      <w:szCs w:val="21"/>
                    </w:rPr>
                  </w:pPr>
                  <w:r>
                    <w:rPr>
                      <w:sz w:val="21"/>
                      <w:szCs w:val="21"/>
                    </w:rPr>
                    <w:t>ND</w:t>
                  </w:r>
                </w:p>
              </w:tc>
            </w:tr>
            <w:tr w14:paraId="71B431D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0E45840F">
                  <w:pPr>
                    <w:snapToGrid w:val="0"/>
                    <w:spacing w:line="240" w:lineRule="auto"/>
                    <w:ind w:firstLine="0" w:firstLineChars="0"/>
                    <w:jc w:val="center"/>
                    <w:rPr>
                      <w:sz w:val="21"/>
                      <w:szCs w:val="21"/>
                    </w:rPr>
                  </w:pPr>
                </w:p>
              </w:tc>
              <w:tc>
                <w:tcPr>
                  <w:tcW w:w="2588" w:type="dxa"/>
                  <w:tcBorders>
                    <w:tl2br w:val="nil"/>
                    <w:tr2bl w:val="nil"/>
                  </w:tcBorders>
                  <w:vAlign w:val="center"/>
                </w:tcPr>
                <w:p w14:paraId="1BE7F098">
                  <w:pPr>
                    <w:snapToGrid w:val="0"/>
                    <w:spacing w:line="240" w:lineRule="auto"/>
                    <w:ind w:firstLine="0" w:firstLineChars="0"/>
                    <w:jc w:val="center"/>
                    <w:rPr>
                      <w:sz w:val="21"/>
                      <w:szCs w:val="21"/>
                    </w:rPr>
                  </w:pPr>
                  <w:r>
                    <w:rPr>
                      <w:sz w:val="21"/>
                      <w:szCs w:val="21"/>
                    </w:rPr>
                    <w:t>三氯乙烯</w:t>
                  </w:r>
                </w:p>
              </w:tc>
              <w:tc>
                <w:tcPr>
                  <w:tcW w:w="4288" w:type="dxa"/>
                  <w:tcBorders>
                    <w:tl2br w:val="nil"/>
                    <w:tr2bl w:val="nil"/>
                  </w:tcBorders>
                  <w:vAlign w:val="center"/>
                </w:tcPr>
                <w:p w14:paraId="2C05B317">
                  <w:pPr>
                    <w:snapToGrid w:val="0"/>
                    <w:spacing w:line="240" w:lineRule="auto"/>
                    <w:ind w:firstLine="0" w:firstLineChars="0"/>
                    <w:jc w:val="center"/>
                    <w:rPr>
                      <w:sz w:val="21"/>
                      <w:szCs w:val="21"/>
                    </w:rPr>
                  </w:pPr>
                  <w:r>
                    <w:rPr>
                      <w:sz w:val="21"/>
                      <w:szCs w:val="21"/>
                    </w:rPr>
                    <w:t>ND</w:t>
                  </w:r>
                </w:p>
              </w:tc>
            </w:tr>
            <w:tr w14:paraId="19F563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28E95063">
                  <w:pPr>
                    <w:snapToGrid w:val="0"/>
                    <w:spacing w:line="240" w:lineRule="auto"/>
                    <w:ind w:firstLine="0" w:firstLineChars="0"/>
                    <w:jc w:val="center"/>
                    <w:rPr>
                      <w:sz w:val="21"/>
                      <w:szCs w:val="21"/>
                    </w:rPr>
                  </w:pPr>
                </w:p>
              </w:tc>
              <w:tc>
                <w:tcPr>
                  <w:tcW w:w="2588" w:type="dxa"/>
                  <w:tcBorders>
                    <w:tl2br w:val="nil"/>
                    <w:tr2bl w:val="nil"/>
                  </w:tcBorders>
                  <w:vAlign w:val="center"/>
                </w:tcPr>
                <w:p w14:paraId="19BDB7DD">
                  <w:pPr>
                    <w:snapToGrid w:val="0"/>
                    <w:spacing w:line="240" w:lineRule="auto"/>
                    <w:ind w:firstLine="0" w:firstLineChars="0"/>
                    <w:jc w:val="center"/>
                    <w:rPr>
                      <w:sz w:val="21"/>
                      <w:szCs w:val="21"/>
                    </w:rPr>
                  </w:pPr>
                  <w:r>
                    <w:rPr>
                      <w:sz w:val="21"/>
                      <w:szCs w:val="21"/>
                    </w:rPr>
                    <w:t>1,2,3-三氯丙烷</w:t>
                  </w:r>
                </w:p>
              </w:tc>
              <w:tc>
                <w:tcPr>
                  <w:tcW w:w="4288" w:type="dxa"/>
                  <w:tcBorders>
                    <w:tl2br w:val="nil"/>
                    <w:tr2bl w:val="nil"/>
                  </w:tcBorders>
                  <w:vAlign w:val="center"/>
                </w:tcPr>
                <w:p w14:paraId="1E436138">
                  <w:pPr>
                    <w:snapToGrid w:val="0"/>
                    <w:spacing w:line="240" w:lineRule="auto"/>
                    <w:ind w:firstLine="0" w:firstLineChars="0"/>
                    <w:jc w:val="center"/>
                    <w:rPr>
                      <w:sz w:val="21"/>
                      <w:szCs w:val="21"/>
                    </w:rPr>
                  </w:pPr>
                  <w:r>
                    <w:rPr>
                      <w:sz w:val="21"/>
                      <w:szCs w:val="21"/>
                    </w:rPr>
                    <w:t>ND</w:t>
                  </w:r>
                </w:p>
              </w:tc>
            </w:tr>
            <w:tr w14:paraId="32A372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75EBB521">
                  <w:pPr>
                    <w:snapToGrid w:val="0"/>
                    <w:spacing w:line="240" w:lineRule="auto"/>
                    <w:ind w:firstLine="0" w:firstLineChars="0"/>
                    <w:jc w:val="center"/>
                    <w:rPr>
                      <w:sz w:val="21"/>
                      <w:szCs w:val="21"/>
                    </w:rPr>
                  </w:pPr>
                </w:p>
              </w:tc>
              <w:tc>
                <w:tcPr>
                  <w:tcW w:w="2588" w:type="dxa"/>
                  <w:tcBorders>
                    <w:tl2br w:val="nil"/>
                    <w:tr2bl w:val="nil"/>
                  </w:tcBorders>
                  <w:vAlign w:val="center"/>
                </w:tcPr>
                <w:p w14:paraId="6E909AC3">
                  <w:pPr>
                    <w:snapToGrid w:val="0"/>
                    <w:spacing w:line="240" w:lineRule="auto"/>
                    <w:ind w:firstLine="0" w:firstLineChars="0"/>
                    <w:jc w:val="center"/>
                    <w:rPr>
                      <w:sz w:val="21"/>
                      <w:szCs w:val="21"/>
                    </w:rPr>
                  </w:pPr>
                  <w:r>
                    <w:rPr>
                      <w:sz w:val="21"/>
                      <w:szCs w:val="21"/>
                    </w:rPr>
                    <w:t>氯乙烯</w:t>
                  </w:r>
                </w:p>
              </w:tc>
              <w:tc>
                <w:tcPr>
                  <w:tcW w:w="4288" w:type="dxa"/>
                  <w:tcBorders>
                    <w:tl2br w:val="nil"/>
                    <w:tr2bl w:val="nil"/>
                  </w:tcBorders>
                  <w:vAlign w:val="center"/>
                </w:tcPr>
                <w:p w14:paraId="3C8E1AB5">
                  <w:pPr>
                    <w:snapToGrid w:val="0"/>
                    <w:spacing w:line="240" w:lineRule="auto"/>
                    <w:ind w:firstLine="0" w:firstLineChars="0"/>
                    <w:jc w:val="center"/>
                    <w:rPr>
                      <w:sz w:val="21"/>
                      <w:szCs w:val="21"/>
                    </w:rPr>
                  </w:pPr>
                  <w:r>
                    <w:rPr>
                      <w:sz w:val="21"/>
                      <w:szCs w:val="21"/>
                    </w:rPr>
                    <w:t>ND</w:t>
                  </w:r>
                </w:p>
              </w:tc>
            </w:tr>
            <w:tr w14:paraId="409BBF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437D2B37">
                  <w:pPr>
                    <w:snapToGrid w:val="0"/>
                    <w:spacing w:line="240" w:lineRule="auto"/>
                    <w:ind w:firstLine="0" w:firstLineChars="0"/>
                    <w:jc w:val="center"/>
                    <w:rPr>
                      <w:sz w:val="21"/>
                      <w:szCs w:val="21"/>
                    </w:rPr>
                  </w:pPr>
                </w:p>
              </w:tc>
              <w:tc>
                <w:tcPr>
                  <w:tcW w:w="2588" w:type="dxa"/>
                  <w:tcBorders>
                    <w:tl2br w:val="nil"/>
                    <w:tr2bl w:val="nil"/>
                  </w:tcBorders>
                  <w:vAlign w:val="center"/>
                </w:tcPr>
                <w:p w14:paraId="33EFC881">
                  <w:pPr>
                    <w:snapToGrid w:val="0"/>
                    <w:spacing w:line="240" w:lineRule="auto"/>
                    <w:ind w:firstLine="0" w:firstLineChars="0"/>
                    <w:jc w:val="center"/>
                    <w:rPr>
                      <w:sz w:val="21"/>
                      <w:szCs w:val="21"/>
                    </w:rPr>
                  </w:pPr>
                  <w:r>
                    <w:rPr>
                      <w:sz w:val="21"/>
                      <w:szCs w:val="21"/>
                    </w:rPr>
                    <w:t>氯苯</w:t>
                  </w:r>
                </w:p>
              </w:tc>
              <w:tc>
                <w:tcPr>
                  <w:tcW w:w="4288" w:type="dxa"/>
                  <w:tcBorders>
                    <w:tl2br w:val="nil"/>
                    <w:tr2bl w:val="nil"/>
                  </w:tcBorders>
                  <w:vAlign w:val="center"/>
                </w:tcPr>
                <w:p w14:paraId="10EBC971">
                  <w:pPr>
                    <w:snapToGrid w:val="0"/>
                    <w:spacing w:line="240" w:lineRule="auto"/>
                    <w:ind w:firstLine="0" w:firstLineChars="0"/>
                    <w:jc w:val="center"/>
                    <w:rPr>
                      <w:sz w:val="21"/>
                      <w:szCs w:val="21"/>
                    </w:rPr>
                  </w:pPr>
                  <w:r>
                    <w:rPr>
                      <w:sz w:val="21"/>
                      <w:szCs w:val="21"/>
                    </w:rPr>
                    <w:t>ND</w:t>
                  </w:r>
                </w:p>
              </w:tc>
            </w:tr>
            <w:tr w14:paraId="4D01A7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321FCD8E">
                  <w:pPr>
                    <w:snapToGrid w:val="0"/>
                    <w:spacing w:line="240" w:lineRule="auto"/>
                    <w:ind w:firstLine="0" w:firstLineChars="0"/>
                    <w:jc w:val="center"/>
                    <w:rPr>
                      <w:sz w:val="21"/>
                      <w:szCs w:val="21"/>
                    </w:rPr>
                  </w:pPr>
                </w:p>
              </w:tc>
              <w:tc>
                <w:tcPr>
                  <w:tcW w:w="2588" w:type="dxa"/>
                  <w:tcBorders>
                    <w:tl2br w:val="nil"/>
                    <w:tr2bl w:val="nil"/>
                  </w:tcBorders>
                  <w:vAlign w:val="center"/>
                </w:tcPr>
                <w:p w14:paraId="091D993B">
                  <w:pPr>
                    <w:snapToGrid w:val="0"/>
                    <w:spacing w:line="240" w:lineRule="auto"/>
                    <w:ind w:firstLine="0" w:firstLineChars="0"/>
                    <w:jc w:val="center"/>
                    <w:rPr>
                      <w:sz w:val="21"/>
                      <w:szCs w:val="21"/>
                    </w:rPr>
                  </w:pPr>
                  <w:r>
                    <w:rPr>
                      <w:sz w:val="21"/>
                      <w:szCs w:val="21"/>
                    </w:rPr>
                    <w:t>1,4-二氯苯</w:t>
                  </w:r>
                </w:p>
              </w:tc>
              <w:tc>
                <w:tcPr>
                  <w:tcW w:w="4288" w:type="dxa"/>
                  <w:tcBorders>
                    <w:tl2br w:val="nil"/>
                    <w:tr2bl w:val="nil"/>
                  </w:tcBorders>
                  <w:vAlign w:val="center"/>
                </w:tcPr>
                <w:p w14:paraId="4F8C1B57">
                  <w:pPr>
                    <w:snapToGrid w:val="0"/>
                    <w:spacing w:line="240" w:lineRule="auto"/>
                    <w:ind w:firstLine="0" w:firstLineChars="0"/>
                    <w:jc w:val="center"/>
                    <w:rPr>
                      <w:sz w:val="21"/>
                      <w:szCs w:val="21"/>
                    </w:rPr>
                  </w:pPr>
                  <w:r>
                    <w:rPr>
                      <w:sz w:val="21"/>
                      <w:szCs w:val="21"/>
                    </w:rPr>
                    <w:t>ND</w:t>
                  </w:r>
                </w:p>
              </w:tc>
            </w:tr>
            <w:tr w14:paraId="0284AA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5378647C">
                  <w:pPr>
                    <w:snapToGrid w:val="0"/>
                    <w:spacing w:line="240" w:lineRule="auto"/>
                    <w:ind w:firstLine="0" w:firstLineChars="0"/>
                    <w:jc w:val="center"/>
                    <w:rPr>
                      <w:sz w:val="21"/>
                      <w:szCs w:val="21"/>
                    </w:rPr>
                  </w:pPr>
                </w:p>
              </w:tc>
              <w:tc>
                <w:tcPr>
                  <w:tcW w:w="2588" w:type="dxa"/>
                  <w:tcBorders>
                    <w:tl2br w:val="nil"/>
                    <w:tr2bl w:val="nil"/>
                  </w:tcBorders>
                  <w:vAlign w:val="center"/>
                </w:tcPr>
                <w:p w14:paraId="4CB3C6C8">
                  <w:pPr>
                    <w:snapToGrid w:val="0"/>
                    <w:spacing w:line="240" w:lineRule="auto"/>
                    <w:ind w:firstLine="0" w:firstLineChars="0"/>
                    <w:jc w:val="center"/>
                    <w:rPr>
                      <w:sz w:val="21"/>
                      <w:szCs w:val="21"/>
                    </w:rPr>
                  </w:pPr>
                  <w:r>
                    <w:rPr>
                      <w:sz w:val="21"/>
                      <w:szCs w:val="21"/>
                    </w:rPr>
                    <w:t>乙苯</w:t>
                  </w:r>
                </w:p>
              </w:tc>
              <w:tc>
                <w:tcPr>
                  <w:tcW w:w="4288" w:type="dxa"/>
                  <w:tcBorders>
                    <w:tl2br w:val="nil"/>
                    <w:tr2bl w:val="nil"/>
                  </w:tcBorders>
                  <w:vAlign w:val="center"/>
                </w:tcPr>
                <w:p w14:paraId="27DDC96A">
                  <w:pPr>
                    <w:snapToGrid w:val="0"/>
                    <w:spacing w:line="240" w:lineRule="auto"/>
                    <w:ind w:firstLine="0" w:firstLineChars="0"/>
                    <w:jc w:val="center"/>
                    <w:rPr>
                      <w:sz w:val="21"/>
                      <w:szCs w:val="21"/>
                    </w:rPr>
                  </w:pPr>
                  <w:r>
                    <w:rPr>
                      <w:sz w:val="21"/>
                      <w:szCs w:val="21"/>
                    </w:rPr>
                    <w:t>ND</w:t>
                  </w:r>
                </w:p>
              </w:tc>
            </w:tr>
            <w:tr w14:paraId="5F5200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368AAC94">
                  <w:pPr>
                    <w:snapToGrid w:val="0"/>
                    <w:spacing w:line="240" w:lineRule="auto"/>
                    <w:ind w:firstLine="0" w:firstLineChars="0"/>
                    <w:jc w:val="center"/>
                    <w:rPr>
                      <w:sz w:val="21"/>
                      <w:szCs w:val="21"/>
                    </w:rPr>
                  </w:pPr>
                </w:p>
              </w:tc>
              <w:tc>
                <w:tcPr>
                  <w:tcW w:w="2588" w:type="dxa"/>
                  <w:tcBorders>
                    <w:tl2br w:val="nil"/>
                    <w:tr2bl w:val="nil"/>
                  </w:tcBorders>
                  <w:vAlign w:val="center"/>
                </w:tcPr>
                <w:p w14:paraId="010B7E37">
                  <w:pPr>
                    <w:snapToGrid w:val="0"/>
                    <w:spacing w:line="240" w:lineRule="auto"/>
                    <w:ind w:firstLine="0" w:firstLineChars="0"/>
                    <w:jc w:val="center"/>
                    <w:rPr>
                      <w:sz w:val="21"/>
                      <w:szCs w:val="21"/>
                    </w:rPr>
                  </w:pPr>
                  <w:r>
                    <w:rPr>
                      <w:sz w:val="21"/>
                      <w:szCs w:val="21"/>
                    </w:rPr>
                    <w:t>甲苯</w:t>
                  </w:r>
                </w:p>
              </w:tc>
              <w:tc>
                <w:tcPr>
                  <w:tcW w:w="4288" w:type="dxa"/>
                  <w:tcBorders>
                    <w:tl2br w:val="nil"/>
                    <w:tr2bl w:val="nil"/>
                  </w:tcBorders>
                  <w:vAlign w:val="center"/>
                </w:tcPr>
                <w:p w14:paraId="30F5C34C">
                  <w:pPr>
                    <w:snapToGrid w:val="0"/>
                    <w:spacing w:line="240" w:lineRule="auto"/>
                    <w:ind w:firstLine="0" w:firstLineChars="0"/>
                    <w:jc w:val="center"/>
                    <w:rPr>
                      <w:sz w:val="21"/>
                      <w:szCs w:val="21"/>
                    </w:rPr>
                  </w:pPr>
                  <w:r>
                    <w:rPr>
                      <w:sz w:val="21"/>
                      <w:szCs w:val="21"/>
                    </w:rPr>
                    <w:t>ND</w:t>
                  </w:r>
                </w:p>
              </w:tc>
            </w:tr>
            <w:tr w14:paraId="2A994F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67F35EF6">
                  <w:pPr>
                    <w:snapToGrid w:val="0"/>
                    <w:spacing w:line="240" w:lineRule="auto"/>
                    <w:ind w:firstLine="0" w:firstLineChars="0"/>
                    <w:jc w:val="center"/>
                    <w:rPr>
                      <w:sz w:val="21"/>
                      <w:szCs w:val="21"/>
                    </w:rPr>
                  </w:pPr>
                </w:p>
              </w:tc>
              <w:tc>
                <w:tcPr>
                  <w:tcW w:w="2588" w:type="dxa"/>
                  <w:tcBorders>
                    <w:tl2br w:val="nil"/>
                    <w:tr2bl w:val="nil"/>
                  </w:tcBorders>
                  <w:vAlign w:val="center"/>
                </w:tcPr>
                <w:p w14:paraId="7E8EF51B">
                  <w:pPr>
                    <w:snapToGrid w:val="0"/>
                    <w:spacing w:line="240" w:lineRule="auto"/>
                    <w:ind w:firstLine="0" w:firstLineChars="0"/>
                    <w:jc w:val="center"/>
                    <w:rPr>
                      <w:sz w:val="21"/>
                      <w:szCs w:val="21"/>
                    </w:rPr>
                  </w:pPr>
                  <w:r>
                    <w:rPr>
                      <w:sz w:val="21"/>
                      <w:szCs w:val="21"/>
                    </w:rPr>
                    <w:t>间二甲苯+对二甲苯</w:t>
                  </w:r>
                </w:p>
              </w:tc>
              <w:tc>
                <w:tcPr>
                  <w:tcW w:w="4288" w:type="dxa"/>
                  <w:tcBorders>
                    <w:tl2br w:val="nil"/>
                    <w:tr2bl w:val="nil"/>
                  </w:tcBorders>
                  <w:vAlign w:val="center"/>
                </w:tcPr>
                <w:p w14:paraId="4D5E02AC">
                  <w:pPr>
                    <w:snapToGrid w:val="0"/>
                    <w:spacing w:line="240" w:lineRule="auto"/>
                    <w:ind w:firstLine="0" w:firstLineChars="0"/>
                    <w:jc w:val="center"/>
                    <w:rPr>
                      <w:sz w:val="21"/>
                      <w:szCs w:val="21"/>
                    </w:rPr>
                  </w:pPr>
                  <w:r>
                    <w:rPr>
                      <w:sz w:val="21"/>
                      <w:szCs w:val="21"/>
                    </w:rPr>
                    <w:t>ND</w:t>
                  </w:r>
                </w:p>
              </w:tc>
            </w:tr>
            <w:tr w14:paraId="2986FB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5692C630">
                  <w:pPr>
                    <w:snapToGrid w:val="0"/>
                    <w:spacing w:line="240" w:lineRule="auto"/>
                    <w:ind w:firstLine="0" w:firstLineChars="0"/>
                    <w:jc w:val="center"/>
                    <w:rPr>
                      <w:sz w:val="21"/>
                      <w:szCs w:val="21"/>
                    </w:rPr>
                  </w:pPr>
                </w:p>
              </w:tc>
              <w:tc>
                <w:tcPr>
                  <w:tcW w:w="2588" w:type="dxa"/>
                  <w:tcBorders>
                    <w:tl2br w:val="nil"/>
                    <w:tr2bl w:val="nil"/>
                  </w:tcBorders>
                  <w:vAlign w:val="center"/>
                </w:tcPr>
                <w:p w14:paraId="57CA0291">
                  <w:pPr>
                    <w:snapToGrid w:val="0"/>
                    <w:spacing w:line="240" w:lineRule="auto"/>
                    <w:ind w:firstLine="0" w:firstLineChars="0"/>
                    <w:jc w:val="center"/>
                    <w:rPr>
                      <w:sz w:val="21"/>
                      <w:szCs w:val="21"/>
                    </w:rPr>
                  </w:pPr>
                  <w:r>
                    <w:rPr>
                      <w:sz w:val="21"/>
                      <w:szCs w:val="21"/>
                    </w:rPr>
                    <w:t>邻二甲苯+苯乙烯</w:t>
                  </w:r>
                </w:p>
              </w:tc>
              <w:tc>
                <w:tcPr>
                  <w:tcW w:w="4288" w:type="dxa"/>
                  <w:tcBorders>
                    <w:tl2br w:val="nil"/>
                    <w:tr2bl w:val="nil"/>
                  </w:tcBorders>
                  <w:vAlign w:val="center"/>
                </w:tcPr>
                <w:p w14:paraId="7BD15A6D">
                  <w:pPr>
                    <w:snapToGrid w:val="0"/>
                    <w:spacing w:line="240" w:lineRule="auto"/>
                    <w:ind w:firstLine="0" w:firstLineChars="0"/>
                    <w:jc w:val="center"/>
                    <w:rPr>
                      <w:sz w:val="21"/>
                      <w:szCs w:val="21"/>
                    </w:rPr>
                  </w:pPr>
                  <w:r>
                    <w:rPr>
                      <w:sz w:val="21"/>
                      <w:szCs w:val="21"/>
                    </w:rPr>
                    <w:t>ND</w:t>
                  </w:r>
                </w:p>
              </w:tc>
            </w:tr>
            <w:tr w14:paraId="105273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3A5A6B35">
                  <w:pPr>
                    <w:snapToGrid w:val="0"/>
                    <w:spacing w:line="240" w:lineRule="auto"/>
                    <w:ind w:firstLine="0" w:firstLineChars="0"/>
                    <w:jc w:val="center"/>
                    <w:rPr>
                      <w:sz w:val="21"/>
                      <w:szCs w:val="21"/>
                    </w:rPr>
                  </w:pPr>
                </w:p>
              </w:tc>
              <w:tc>
                <w:tcPr>
                  <w:tcW w:w="2588" w:type="dxa"/>
                  <w:tcBorders>
                    <w:tl2br w:val="nil"/>
                    <w:tr2bl w:val="nil"/>
                  </w:tcBorders>
                  <w:vAlign w:val="center"/>
                </w:tcPr>
                <w:p w14:paraId="39CF944A">
                  <w:pPr>
                    <w:snapToGrid w:val="0"/>
                    <w:spacing w:line="240" w:lineRule="auto"/>
                    <w:ind w:firstLine="0" w:firstLineChars="0"/>
                    <w:jc w:val="center"/>
                    <w:rPr>
                      <w:sz w:val="21"/>
                      <w:szCs w:val="21"/>
                    </w:rPr>
                  </w:pPr>
                  <w:r>
                    <w:rPr>
                      <w:sz w:val="21"/>
                      <w:szCs w:val="21"/>
                    </w:rPr>
                    <w:t>1,1-二氯乙烷</w:t>
                  </w:r>
                </w:p>
              </w:tc>
              <w:tc>
                <w:tcPr>
                  <w:tcW w:w="4288" w:type="dxa"/>
                  <w:tcBorders>
                    <w:tl2br w:val="nil"/>
                    <w:tr2bl w:val="nil"/>
                  </w:tcBorders>
                  <w:vAlign w:val="center"/>
                </w:tcPr>
                <w:p w14:paraId="6B78B206">
                  <w:pPr>
                    <w:snapToGrid w:val="0"/>
                    <w:spacing w:line="240" w:lineRule="auto"/>
                    <w:ind w:firstLine="0" w:firstLineChars="0"/>
                    <w:jc w:val="center"/>
                    <w:rPr>
                      <w:sz w:val="21"/>
                      <w:szCs w:val="21"/>
                    </w:rPr>
                  </w:pPr>
                  <w:r>
                    <w:rPr>
                      <w:sz w:val="21"/>
                      <w:szCs w:val="21"/>
                    </w:rPr>
                    <w:t>ND</w:t>
                  </w:r>
                </w:p>
              </w:tc>
            </w:tr>
            <w:tr w14:paraId="27C858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46272337">
                  <w:pPr>
                    <w:snapToGrid w:val="0"/>
                    <w:spacing w:line="240" w:lineRule="auto"/>
                    <w:ind w:firstLine="0" w:firstLineChars="0"/>
                    <w:jc w:val="center"/>
                    <w:rPr>
                      <w:sz w:val="21"/>
                      <w:szCs w:val="21"/>
                    </w:rPr>
                  </w:pPr>
                </w:p>
              </w:tc>
              <w:tc>
                <w:tcPr>
                  <w:tcW w:w="2588" w:type="dxa"/>
                  <w:tcBorders>
                    <w:tl2br w:val="nil"/>
                    <w:tr2bl w:val="nil"/>
                  </w:tcBorders>
                  <w:vAlign w:val="center"/>
                </w:tcPr>
                <w:p w14:paraId="667EC3A7">
                  <w:pPr>
                    <w:snapToGrid w:val="0"/>
                    <w:spacing w:line="240" w:lineRule="auto"/>
                    <w:ind w:firstLine="0" w:firstLineChars="0"/>
                    <w:jc w:val="center"/>
                    <w:rPr>
                      <w:sz w:val="21"/>
                      <w:szCs w:val="21"/>
                    </w:rPr>
                  </w:pPr>
                  <w:r>
                    <w:rPr>
                      <w:sz w:val="21"/>
                      <w:szCs w:val="21"/>
                    </w:rPr>
                    <w:t>顺-1,2-二氯乙烯</w:t>
                  </w:r>
                </w:p>
              </w:tc>
              <w:tc>
                <w:tcPr>
                  <w:tcW w:w="4288" w:type="dxa"/>
                  <w:tcBorders>
                    <w:tl2br w:val="nil"/>
                    <w:tr2bl w:val="nil"/>
                  </w:tcBorders>
                  <w:vAlign w:val="center"/>
                </w:tcPr>
                <w:p w14:paraId="2824D33B">
                  <w:pPr>
                    <w:snapToGrid w:val="0"/>
                    <w:spacing w:line="240" w:lineRule="auto"/>
                    <w:ind w:firstLine="0" w:firstLineChars="0"/>
                    <w:jc w:val="center"/>
                    <w:rPr>
                      <w:sz w:val="21"/>
                      <w:szCs w:val="21"/>
                    </w:rPr>
                  </w:pPr>
                  <w:r>
                    <w:rPr>
                      <w:sz w:val="21"/>
                      <w:szCs w:val="21"/>
                    </w:rPr>
                    <w:t>ND</w:t>
                  </w:r>
                </w:p>
              </w:tc>
            </w:tr>
            <w:tr w14:paraId="5E4603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4BE6A77D">
                  <w:pPr>
                    <w:snapToGrid w:val="0"/>
                    <w:spacing w:line="240" w:lineRule="auto"/>
                    <w:ind w:firstLine="0" w:firstLineChars="0"/>
                    <w:jc w:val="center"/>
                    <w:rPr>
                      <w:sz w:val="21"/>
                      <w:szCs w:val="21"/>
                    </w:rPr>
                  </w:pPr>
                </w:p>
              </w:tc>
              <w:tc>
                <w:tcPr>
                  <w:tcW w:w="2588" w:type="dxa"/>
                  <w:tcBorders>
                    <w:tl2br w:val="nil"/>
                    <w:tr2bl w:val="nil"/>
                  </w:tcBorders>
                  <w:vAlign w:val="center"/>
                </w:tcPr>
                <w:p w14:paraId="6AB44C29">
                  <w:pPr>
                    <w:snapToGrid w:val="0"/>
                    <w:spacing w:line="240" w:lineRule="auto"/>
                    <w:ind w:firstLine="0" w:firstLineChars="0"/>
                    <w:jc w:val="center"/>
                    <w:rPr>
                      <w:sz w:val="21"/>
                      <w:szCs w:val="21"/>
                    </w:rPr>
                  </w:pPr>
                  <w:r>
                    <w:rPr>
                      <w:sz w:val="21"/>
                      <w:szCs w:val="21"/>
                    </w:rPr>
                    <w:t>反-1,2-二氯乙烯</w:t>
                  </w:r>
                </w:p>
              </w:tc>
              <w:tc>
                <w:tcPr>
                  <w:tcW w:w="4288" w:type="dxa"/>
                  <w:tcBorders>
                    <w:tl2br w:val="nil"/>
                    <w:tr2bl w:val="nil"/>
                  </w:tcBorders>
                  <w:vAlign w:val="center"/>
                </w:tcPr>
                <w:p w14:paraId="21DAB45C">
                  <w:pPr>
                    <w:snapToGrid w:val="0"/>
                    <w:spacing w:line="240" w:lineRule="auto"/>
                    <w:ind w:firstLine="0" w:firstLineChars="0"/>
                    <w:jc w:val="center"/>
                    <w:rPr>
                      <w:sz w:val="21"/>
                      <w:szCs w:val="21"/>
                    </w:rPr>
                  </w:pPr>
                  <w:r>
                    <w:rPr>
                      <w:sz w:val="21"/>
                      <w:szCs w:val="21"/>
                    </w:rPr>
                    <w:t>ND</w:t>
                  </w:r>
                </w:p>
              </w:tc>
            </w:tr>
            <w:tr w14:paraId="5EC4A7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3F0A4D17">
                  <w:pPr>
                    <w:snapToGrid w:val="0"/>
                    <w:spacing w:line="240" w:lineRule="auto"/>
                    <w:ind w:firstLine="0" w:firstLineChars="0"/>
                    <w:jc w:val="center"/>
                    <w:rPr>
                      <w:sz w:val="21"/>
                      <w:szCs w:val="21"/>
                    </w:rPr>
                  </w:pPr>
                </w:p>
              </w:tc>
              <w:tc>
                <w:tcPr>
                  <w:tcW w:w="2588" w:type="dxa"/>
                  <w:tcBorders>
                    <w:tl2br w:val="nil"/>
                    <w:tr2bl w:val="nil"/>
                  </w:tcBorders>
                  <w:vAlign w:val="center"/>
                </w:tcPr>
                <w:p w14:paraId="093C469F">
                  <w:pPr>
                    <w:snapToGrid w:val="0"/>
                    <w:spacing w:line="240" w:lineRule="auto"/>
                    <w:ind w:firstLine="0" w:firstLineChars="0"/>
                    <w:jc w:val="center"/>
                    <w:rPr>
                      <w:sz w:val="21"/>
                      <w:szCs w:val="21"/>
                    </w:rPr>
                  </w:pPr>
                  <w:r>
                    <w:rPr>
                      <w:sz w:val="21"/>
                      <w:szCs w:val="21"/>
                    </w:rPr>
                    <w:t>1,1,1,2-四氯乙烷</w:t>
                  </w:r>
                </w:p>
              </w:tc>
              <w:tc>
                <w:tcPr>
                  <w:tcW w:w="4288" w:type="dxa"/>
                  <w:tcBorders>
                    <w:tl2br w:val="nil"/>
                    <w:tr2bl w:val="nil"/>
                  </w:tcBorders>
                  <w:vAlign w:val="center"/>
                </w:tcPr>
                <w:p w14:paraId="686DFE60">
                  <w:pPr>
                    <w:snapToGrid w:val="0"/>
                    <w:spacing w:line="240" w:lineRule="auto"/>
                    <w:ind w:firstLine="0" w:firstLineChars="0"/>
                    <w:jc w:val="center"/>
                    <w:rPr>
                      <w:sz w:val="21"/>
                      <w:szCs w:val="21"/>
                    </w:rPr>
                  </w:pPr>
                  <w:r>
                    <w:rPr>
                      <w:sz w:val="21"/>
                      <w:szCs w:val="21"/>
                    </w:rPr>
                    <w:t>ND</w:t>
                  </w:r>
                </w:p>
              </w:tc>
            </w:tr>
            <w:tr w14:paraId="7872AD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3949996E">
                  <w:pPr>
                    <w:snapToGrid w:val="0"/>
                    <w:spacing w:line="240" w:lineRule="auto"/>
                    <w:ind w:firstLine="0" w:firstLineChars="0"/>
                    <w:jc w:val="center"/>
                    <w:rPr>
                      <w:sz w:val="21"/>
                      <w:szCs w:val="21"/>
                    </w:rPr>
                  </w:pPr>
                </w:p>
              </w:tc>
              <w:tc>
                <w:tcPr>
                  <w:tcW w:w="2588" w:type="dxa"/>
                  <w:tcBorders>
                    <w:tl2br w:val="nil"/>
                    <w:tr2bl w:val="nil"/>
                  </w:tcBorders>
                  <w:vAlign w:val="center"/>
                </w:tcPr>
                <w:p w14:paraId="578FE687">
                  <w:pPr>
                    <w:snapToGrid w:val="0"/>
                    <w:spacing w:line="240" w:lineRule="auto"/>
                    <w:ind w:firstLine="0" w:firstLineChars="0"/>
                    <w:jc w:val="center"/>
                    <w:rPr>
                      <w:sz w:val="21"/>
                      <w:szCs w:val="21"/>
                    </w:rPr>
                  </w:pPr>
                  <w:r>
                    <w:rPr>
                      <w:sz w:val="21"/>
                      <w:szCs w:val="21"/>
                    </w:rPr>
                    <w:t>1,1,2,2-四氯乙烷</w:t>
                  </w:r>
                </w:p>
              </w:tc>
              <w:tc>
                <w:tcPr>
                  <w:tcW w:w="4288" w:type="dxa"/>
                  <w:tcBorders>
                    <w:tl2br w:val="nil"/>
                    <w:tr2bl w:val="nil"/>
                  </w:tcBorders>
                  <w:vAlign w:val="center"/>
                </w:tcPr>
                <w:p w14:paraId="468BB384">
                  <w:pPr>
                    <w:snapToGrid w:val="0"/>
                    <w:spacing w:line="240" w:lineRule="auto"/>
                    <w:ind w:firstLine="0" w:firstLineChars="0"/>
                    <w:jc w:val="center"/>
                    <w:rPr>
                      <w:sz w:val="21"/>
                      <w:szCs w:val="21"/>
                    </w:rPr>
                  </w:pPr>
                  <w:r>
                    <w:rPr>
                      <w:sz w:val="21"/>
                      <w:szCs w:val="21"/>
                    </w:rPr>
                    <w:t>ND</w:t>
                  </w:r>
                </w:p>
              </w:tc>
            </w:tr>
            <w:tr w14:paraId="06D027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62661E0B">
                  <w:pPr>
                    <w:snapToGrid w:val="0"/>
                    <w:spacing w:line="240" w:lineRule="auto"/>
                    <w:ind w:firstLine="0" w:firstLineChars="0"/>
                    <w:jc w:val="center"/>
                    <w:rPr>
                      <w:sz w:val="21"/>
                      <w:szCs w:val="21"/>
                    </w:rPr>
                  </w:pPr>
                </w:p>
              </w:tc>
              <w:tc>
                <w:tcPr>
                  <w:tcW w:w="2588" w:type="dxa"/>
                  <w:tcBorders>
                    <w:tl2br w:val="nil"/>
                    <w:tr2bl w:val="nil"/>
                  </w:tcBorders>
                  <w:vAlign w:val="center"/>
                </w:tcPr>
                <w:p w14:paraId="029B871B">
                  <w:pPr>
                    <w:snapToGrid w:val="0"/>
                    <w:spacing w:line="240" w:lineRule="auto"/>
                    <w:ind w:firstLine="0" w:firstLineChars="0"/>
                    <w:jc w:val="center"/>
                    <w:rPr>
                      <w:sz w:val="21"/>
                      <w:szCs w:val="21"/>
                    </w:rPr>
                  </w:pPr>
                  <w:r>
                    <w:rPr>
                      <w:sz w:val="21"/>
                      <w:szCs w:val="21"/>
                    </w:rPr>
                    <w:t>1,1,1,-三氯乙烷</w:t>
                  </w:r>
                </w:p>
              </w:tc>
              <w:tc>
                <w:tcPr>
                  <w:tcW w:w="4288" w:type="dxa"/>
                  <w:tcBorders>
                    <w:tl2br w:val="nil"/>
                    <w:tr2bl w:val="nil"/>
                  </w:tcBorders>
                  <w:vAlign w:val="center"/>
                </w:tcPr>
                <w:p w14:paraId="239ADAFF">
                  <w:pPr>
                    <w:snapToGrid w:val="0"/>
                    <w:spacing w:line="240" w:lineRule="auto"/>
                    <w:ind w:firstLine="0" w:firstLineChars="0"/>
                    <w:jc w:val="center"/>
                    <w:rPr>
                      <w:sz w:val="21"/>
                      <w:szCs w:val="21"/>
                    </w:rPr>
                  </w:pPr>
                  <w:r>
                    <w:rPr>
                      <w:sz w:val="21"/>
                      <w:szCs w:val="21"/>
                    </w:rPr>
                    <w:t>ND</w:t>
                  </w:r>
                </w:p>
              </w:tc>
            </w:tr>
            <w:tr w14:paraId="0C730C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7A8299CF">
                  <w:pPr>
                    <w:snapToGrid w:val="0"/>
                    <w:spacing w:line="240" w:lineRule="auto"/>
                    <w:ind w:firstLine="0" w:firstLineChars="0"/>
                    <w:jc w:val="center"/>
                    <w:rPr>
                      <w:sz w:val="21"/>
                      <w:szCs w:val="21"/>
                    </w:rPr>
                  </w:pPr>
                </w:p>
              </w:tc>
              <w:tc>
                <w:tcPr>
                  <w:tcW w:w="2588" w:type="dxa"/>
                  <w:tcBorders>
                    <w:tl2br w:val="nil"/>
                    <w:tr2bl w:val="nil"/>
                  </w:tcBorders>
                  <w:vAlign w:val="center"/>
                </w:tcPr>
                <w:p w14:paraId="7F538C89">
                  <w:pPr>
                    <w:snapToGrid w:val="0"/>
                    <w:spacing w:line="240" w:lineRule="auto"/>
                    <w:ind w:firstLine="0" w:firstLineChars="0"/>
                    <w:jc w:val="center"/>
                    <w:rPr>
                      <w:sz w:val="21"/>
                      <w:szCs w:val="21"/>
                    </w:rPr>
                  </w:pPr>
                  <w:r>
                    <w:rPr>
                      <w:sz w:val="21"/>
                      <w:szCs w:val="21"/>
                    </w:rPr>
                    <w:t>1,1,2-三氯乙烷</w:t>
                  </w:r>
                </w:p>
              </w:tc>
              <w:tc>
                <w:tcPr>
                  <w:tcW w:w="4288" w:type="dxa"/>
                  <w:tcBorders>
                    <w:tl2br w:val="nil"/>
                    <w:tr2bl w:val="nil"/>
                  </w:tcBorders>
                  <w:vAlign w:val="center"/>
                </w:tcPr>
                <w:p w14:paraId="43436B2A">
                  <w:pPr>
                    <w:snapToGrid w:val="0"/>
                    <w:spacing w:line="240" w:lineRule="auto"/>
                    <w:ind w:firstLine="0" w:firstLineChars="0"/>
                    <w:jc w:val="center"/>
                    <w:rPr>
                      <w:sz w:val="21"/>
                      <w:szCs w:val="21"/>
                    </w:rPr>
                  </w:pPr>
                  <w:r>
                    <w:rPr>
                      <w:sz w:val="21"/>
                      <w:szCs w:val="21"/>
                    </w:rPr>
                    <w:t>ND</w:t>
                  </w:r>
                </w:p>
              </w:tc>
            </w:tr>
            <w:tr w14:paraId="79624C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34BE75C1">
                  <w:pPr>
                    <w:snapToGrid w:val="0"/>
                    <w:spacing w:line="240" w:lineRule="auto"/>
                    <w:ind w:firstLine="0" w:firstLineChars="0"/>
                    <w:jc w:val="center"/>
                    <w:rPr>
                      <w:sz w:val="21"/>
                      <w:szCs w:val="21"/>
                    </w:rPr>
                  </w:pPr>
                </w:p>
              </w:tc>
              <w:tc>
                <w:tcPr>
                  <w:tcW w:w="2588" w:type="dxa"/>
                  <w:tcBorders>
                    <w:tl2br w:val="nil"/>
                    <w:tr2bl w:val="nil"/>
                  </w:tcBorders>
                  <w:vAlign w:val="center"/>
                </w:tcPr>
                <w:p w14:paraId="09B834D3">
                  <w:pPr>
                    <w:snapToGrid w:val="0"/>
                    <w:spacing w:line="240" w:lineRule="auto"/>
                    <w:ind w:firstLine="0" w:firstLineChars="0"/>
                    <w:jc w:val="center"/>
                    <w:rPr>
                      <w:sz w:val="21"/>
                      <w:szCs w:val="21"/>
                    </w:rPr>
                  </w:pPr>
                  <w:r>
                    <w:rPr>
                      <w:sz w:val="21"/>
                      <w:szCs w:val="21"/>
                    </w:rPr>
                    <w:t>1,2-二氯苯</w:t>
                  </w:r>
                </w:p>
              </w:tc>
              <w:tc>
                <w:tcPr>
                  <w:tcW w:w="4288" w:type="dxa"/>
                  <w:tcBorders>
                    <w:tl2br w:val="nil"/>
                    <w:tr2bl w:val="nil"/>
                  </w:tcBorders>
                  <w:vAlign w:val="center"/>
                </w:tcPr>
                <w:p w14:paraId="7ACF2F9B">
                  <w:pPr>
                    <w:snapToGrid w:val="0"/>
                    <w:spacing w:line="240" w:lineRule="auto"/>
                    <w:ind w:firstLine="0" w:firstLineChars="0"/>
                    <w:jc w:val="center"/>
                    <w:rPr>
                      <w:sz w:val="21"/>
                      <w:szCs w:val="21"/>
                    </w:rPr>
                  </w:pPr>
                  <w:r>
                    <w:rPr>
                      <w:sz w:val="21"/>
                      <w:szCs w:val="21"/>
                    </w:rPr>
                    <w:t>ND</w:t>
                  </w:r>
                </w:p>
              </w:tc>
            </w:tr>
            <w:tr w14:paraId="3D314A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4B2D6D5F">
                  <w:pPr>
                    <w:snapToGrid w:val="0"/>
                    <w:spacing w:line="240" w:lineRule="auto"/>
                    <w:ind w:firstLine="0" w:firstLineChars="0"/>
                    <w:jc w:val="center"/>
                    <w:rPr>
                      <w:sz w:val="21"/>
                      <w:szCs w:val="21"/>
                    </w:rPr>
                  </w:pPr>
                </w:p>
              </w:tc>
              <w:tc>
                <w:tcPr>
                  <w:tcW w:w="2588" w:type="dxa"/>
                  <w:tcBorders>
                    <w:tl2br w:val="nil"/>
                    <w:tr2bl w:val="nil"/>
                  </w:tcBorders>
                  <w:vAlign w:val="center"/>
                </w:tcPr>
                <w:p w14:paraId="28C9B08D">
                  <w:pPr>
                    <w:snapToGrid w:val="0"/>
                    <w:spacing w:line="240" w:lineRule="auto"/>
                    <w:ind w:firstLine="0" w:firstLineChars="0"/>
                    <w:jc w:val="center"/>
                    <w:rPr>
                      <w:sz w:val="21"/>
                      <w:szCs w:val="21"/>
                    </w:rPr>
                  </w:pPr>
                  <w:r>
                    <w:rPr>
                      <w:sz w:val="21"/>
                      <w:szCs w:val="21"/>
                    </w:rPr>
                    <w:t>苯并[a]蒽</w:t>
                  </w:r>
                </w:p>
              </w:tc>
              <w:tc>
                <w:tcPr>
                  <w:tcW w:w="4288" w:type="dxa"/>
                  <w:tcBorders>
                    <w:tl2br w:val="nil"/>
                    <w:tr2bl w:val="nil"/>
                  </w:tcBorders>
                  <w:vAlign w:val="center"/>
                </w:tcPr>
                <w:p w14:paraId="5C86DF4C">
                  <w:pPr>
                    <w:snapToGrid w:val="0"/>
                    <w:spacing w:line="240" w:lineRule="auto"/>
                    <w:ind w:firstLine="0" w:firstLineChars="0"/>
                    <w:jc w:val="center"/>
                    <w:rPr>
                      <w:sz w:val="21"/>
                      <w:szCs w:val="21"/>
                    </w:rPr>
                  </w:pPr>
                  <w:r>
                    <w:rPr>
                      <w:sz w:val="21"/>
                      <w:szCs w:val="21"/>
                    </w:rPr>
                    <w:t>ND</w:t>
                  </w:r>
                </w:p>
              </w:tc>
            </w:tr>
            <w:tr w14:paraId="090C4A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270EFB9B">
                  <w:pPr>
                    <w:snapToGrid w:val="0"/>
                    <w:spacing w:line="240" w:lineRule="auto"/>
                    <w:ind w:firstLine="0" w:firstLineChars="0"/>
                    <w:jc w:val="center"/>
                    <w:rPr>
                      <w:sz w:val="21"/>
                      <w:szCs w:val="21"/>
                    </w:rPr>
                  </w:pPr>
                </w:p>
              </w:tc>
              <w:tc>
                <w:tcPr>
                  <w:tcW w:w="2588" w:type="dxa"/>
                  <w:tcBorders>
                    <w:tl2br w:val="nil"/>
                    <w:tr2bl w:val="nil"/>
                  </w:tcBorders>
                  <w:vAlign w:val="center"/>
                </w:tcPr>
                <w:p w14:paraId="04D72315">
                  <w:pPr>
                    <w:snapToGrid w:val="0"/>
                    <w:spacing w:line="240" w:lineRule="auto"/>
                    <w:ind w:firstLine="0" w:firstLineChars="0"/>
                    <w:jc w:val="center"/>
                    <w:rPr>
                      <w:sz w:val="21"/>
                      <w:szCs w:val="21"/>
                    </w:rPr>
                  </w:pPr>
                  <w:r>
                    <w:rPr>
                      <w:sz w:val="21"/>
                      <w:szCs w:val="21"/>
                    </w:rPr>
                    <w:t>苯并[a]芘</w:t>
                  </w:r>
                </w:p>
              </w:tc>
              <w:tc>
                <w:tcPr>
                  <w:tcW w:w="4288" w:type="dxa"/>
                  <w:tcBorders>
                    <w:tl2br w:val="nil"/>
                    <w:tr2bl w:val="nil"/>
                  </w:tcBorders>
                  <w:vAlign w:val="center"/>
                </w:tcPr>
                <w:p w14:paraId="4C6991D4">
                  <w:pPr>
                    <w:snapToGrid w:val="0"/>
                    <w:spacing w:line="240" w:lineRule="auto"/>
                    <w:ind w:firstLine="0" w:firstLineChars="0"/>
                    <w:jc w:val="center"/>
                    <w:rPr>
                      <w:sz w:val="21"/>
                      <w:szCs w:val="21"/>
                    </w:rPr>
                  </w:pPr>
                  <w:r>
                    <w:rPr>
                      <w:sz w:val="21"/>
                      <w:szCs w:val="21"/>
                    </w:rPr>
                    <w:t>ND</w:t>
                  </w:r>
                </w:p>
              </w:tc>
            </w:tr>
            <w:tr w14:paraId="6F7434D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3793248F">
                  <w:pPr>
                    <w:snapToGrid w:val="0"/>
                    <w:spacing w:line="240" w:lineRule="auto"/>
                    <w:ind w:firstLine="0" w:firstLineChars="0"/>
                    <w:jc w:val="center"/>
                    <w:rPr>
                      <w:sz w:val="21"/>
                      <w:szCs w:val="21"/>
                    </w:rPr>
                  </w:pPr>
                </w:p>
              </w:tc>
              <w:tc>
                <w:tcPr>
                  <w:tcW w:w="2588" w:type="dxa"/>
                  <w:tcBorders>
                    <w:tl2br w:val="nil"/>
                    <w:tr2bl w:val="nil"/>
                  </w:tcBorders>
                  <w:vAlign w:val="center"/>
                </w:tcPr>
                <w:p w14:paraId="22EE58CB">
                  <w:pPr>
                    <w:snapToGrid w:val="0"/>
                    <w:spacing w:line="240" w:lineRule="auto"/>
                    <w:ind w:firstLine="0" w:firstLineChars="0"/>
                    <w:jc w:val="center"/>
                    <w:rPr>
                      <w:sz w:val="21"/>
                      <w:szCs w:val="21"/>
                    </w:rPr>
                  </w:pPr>
                  <w:r>
                    <w:rPr>
                      <w:sz w:val="21"/>
                      <w:szCs w:val="21"/>
                    </w:rPr>
                    <w:t>苯并[b]荧蒽</w:t>
                  </w:r>
                </w:p>
              </w:tc>
              <w:tc>
                <w:tcPr>
                  <w:tcW w:w="4288" w:type="dxa"/>
                  <w:tcBorders>
                    <w:tl2br w:val="nil"/>
                    <w:tr2bl w:val="nil"/>
                  </w:tcBorders>
                  <w:vAlign w:val="center"/>
                </w:tcPr>
                <w:p w14:paraId="2CD12B3B">
                  <w:pPr>
                    <w:snapToGrid w:val="0"/>
                    <w:spacing w:line="240" w:lineRule="auto"/>
                    <w:ind w:firstLine="0" w:firstLineChars="0"/>
                    <w:jc w:val="center"/>
                    <w:rPr>
                      <w:sz w:val="21"/>
                      <w:szCs w:val="21"/>
                    </w:rPr>
                  </w:pPr>
                  <w:r>
                    <w:rPr>
                      <w:sz w:val="21"/>
                      <w:szCs w:val="21"/>
                    </w:rPr>
                    <w:t>ND</w:t>
                  </w:r>
                </w:p>
              </w:tc>
            </w:tr>
            <w:tr w14:paraId="2C6218C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581C4E6F">
                  <w:pPr>
                    <w:snapToGrid w:val="0"/>
                    <w:spacing w:line="240" w:lineRule="auto"/>
                    <w:ind w:firstLine="0" w:firstLineChars="0"/>
                    <w:jc w:val="center"/>
                    <w:rPr>
                      <w:sz w:val="21"/>
                      <w:szCs w:val="21"/>
                    </w:rPr>
                  </w:pPr>
                </w:p>
              </w:tc>
              <w:tc>
                <w:tcPr>
                  <w:tcW w:w="2588" w:type="dxa"/>
                  <w:tcBorders>
                    <w:tl2br w:val="nil"/>
                    <w:tr2bl w:val="nil"/>
                  </w:tcBorders>
                  <w:vAlign w:val="center"/>
                </w:tcPr>
                <w:p w14:paraId="50F9DDDA">
                  <w:pPr>
                    <w:snapToGrid w:val="0"/>
                    <w:spacing w:line="240" w:lineRule="auto"/>
                    <w:ind w:firstLine="0" w:firstLineChars="0"/>
                    <w:jc w:val="center"/>
                    <w:rPr>
                      <w:sz w:val="21"/>
                      <w:szCs w:val="21"/>
                    </w:rPr>
                  </w:pPr>
                  <w:r>
                    <w:rPr>
                      <w:sz w:val="21"/>
                      <w:szCs w:val="21"/>
                    </w:rPr>
                    <w:t>苯并[k]荧蒽</w:t>
                  </w:r>
                </w:p>
              </w:tc>
              <w:tc>
                <w:tcPr>
                  <w:tcW w:w="4288" w:type="dxa"/>
                  <w:tcBorders>
                    <w:tl2br w:val="nil"/>
                    <w:tr2bl w:val="nil"/>
                  </w:tcBorders>
                  <w:vAlign w:val="center"/>
                </w:tcPr>
                <w:p w14:paraId="1CC0D2C2">
                  <w:pPr>
                    <w:snapToGrid w:val="0"/>
                    <w:spacing w:line="240" w:lineRule="auto"/>
                    <w:ind w:firstLine="0" w:firstLineChars="0"/>
                    <w:jc w:val="center"/>
                    <w:rPr>
                      <w:sz w:val="21"/>
                      <w:szCs w:val="21"/>
                    </w:rPr>
                  </w:pPr>
                  <w:r>
                    <w:rPr>
                      <w:sz w:val="21"/>
                      <w:szCs w:val="21"/>
                    </w:rPr>
                    <w:t>ND</w:t>
                  </w:r>
                </w:p>
              </w:tc>
            </w:tr>
            <w:tr w14:paraId="3771C6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4A5E060D">
                  <w:pPr>
                    <w:snapToGrid w:val="0"/>
                    <w:spacing w:line="240" w:lineRule="auto"/>
                    <w:ind w:firstLine="0" w:firstLineChars="0"/>
                    <w:jc w:val="center"/>
                    <w:rPr>
                      <w:sz w:val="21"/>
                      <w:szCs w:val="21"/>
                    </w:rPr>
                  </w:pPr>
                </w:p>
              </w:tc>
              <w:tc>
                <w:tcPr>
                  <w:tcW w:w="2588" w:type="dxa"/>
                  <w:tcBorders>
                    <w:tl2br w:val="nil"/>
                    <w:tr2bl w:val="nil"/>
                  </w:tcBorders>
                  <w:vAlign w:val="center"/>
                </w:tcPr>
                <w:p w14:paraId="141B068E">
                  <w:pPr>
                    <w:snapToGrid w:val="0"/>
                    <w:spacing w:line="240" w:lineRule="auto"/>
                    <w:ind w:firstLine="0" w:firstLineChars="0"/>
                    <w:jc w:val="center"/>
                    <w:rPr>
                      <w:sz w:val="21"/>
                      <w:szCs w:val="21"/>
                    </w:rPr>
                  </w:pPr>
                  <w:r>
                    <w:rPr>
                      <w:sz w:val="21"/>
                      <w:szCs w:val="21"/>
                    </w:rPr>
                    <w:t>二苯并[a,h]蒽</w:t>
                  </w:r>
                </w:p>
              </w:tc>
              <w:tc>
                <w:tcPr>
                  <w:tcW w:w="4288" w:type="dxa"/>
                  <w:tcBorders>
                    <w:tl2br w:val="nil"/>
                    <w:tr2bl w:val="nil"/>
                  </w:tcBorders>
                  <w:vAlign w:val="center"/>
                </w:tcPr>
                <w:p w14:paraId="6BD7234A">
                  <w:pPr>
                    <w:snapToGrid w:val="0"/>
                    <w:spacing w:line="240" w:lineRule="auto"/>
                    <w:ind w:firstLine="0" w:firstLineChars="0"/>
                    <w:jc w:val="center"/>
                    <w:rPr>
                      <w:sz w:val="21"/>
                      <w:szCs w:val="21"/>
                    </w:rPr>
                  </w:pPr>
                  <w:r>
                    <w:rPr>
                      <w:sz w:val="21"/>
                      <w:szCs w:val="21"/>
                    </w:rPr>
                    <w:t>ND</w:t>
                  </w:r>
                </w:p>
              </w:tc>
            </w:tr>
            <w:tr w14:paraId="6B1EE9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22D6C0EF">
                  <w:pPr>
                    <w:snapToGrid w:val="0"/>
                    <w:spacing w:line="240" w:lineRule="auto"/>
                    <w:ind w:firstLine="0" w:firstLineChars="0"/>
                    <w:jc w:val="center"/>
                    <w:rPr>
                      <w:sz w:val="21"/>
                      <w:szCs w:val="21"/>
                    </w:rPr>
                  </w:pPr>
                </w:p>
              </w:tc>
              <w:tc>
                <w:tcPr>
                  <w:tcW w:w="2588" w:type="dxa"/>
                  <w:tcBorders>
                    <w:tl2br w:val="nil"/>
                    <w:tr2bl w:val="nil"/>
                  </w:tcBorders>
                  <w:vAlign w:val="center"/>
                </w:tcPr>
                <w:p w14:paraId="23B4492C">
                  <w:pPr>
                    <w:snapToGrid w:val="0"/>
                    <w:spacing w:line="240" w:lineRule="auto"/>
                    <w:ind w:firstLine="0" w:firstLineChars="0"/>
                    <w:jc w:val="center"/>
                    <w:rPr>
                      <w:sz w:val="21"/>
                      <w:szCs w:val="21"/>
                    </w:rPr>
                  </w:pPr>
                  <w:r>
                    <w:rPr>
                      <w:sz w:val="21"/>
                      <w:szCs w:val="21"/>
                    </w:rPr>
                    <w:t>茚并[1,2,3-cd]芘</w:t>
                  </w:r>
                </w:p>
              </w:tc>
              <w:tc>
                <w:tcPr>
                  <w:tcW w:w="4288" w:type="dxa"/>
                  <w:tcBorders>
                    <w:tl2br w:val="nil"/>
                    <w:tr2bl w:val="nil"/>
                  </w:tcBorders>
                  <w:vAlign w:val="center"/>
                </w:tcPr>
                <w:p w14:paraId="5667E73D">
                  <w:pPr>
                    <w:snapToGrid w:val="0"/>
                    <w:spacing w:line="240" w:lineRule="auto"/>
                    <w:ind w:firstLine="0" w:firstLineChars="0"/>
                    <w:jc w:val="center"/>
                    <w:rPr>
                      <w:sz w:val="21"/>
                      <w:szCs w:val="21"/>
                    </w:rPr>
                  </w:pPr>
                  <w:r>
                    <w:rPr>
                      <w:sz w:val="21"/>
                      <w:szCs w:val="21"/>
                    </w:rPr>
                    <w:t>ND</w:t>
                  </w:r>
                </w:p>
              </w:tc>
            </w:tr>
            <w:tr w14:paraId="267877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1BE61649">
                  <w:pPr>
                    <w:snapToGrid w:val="0"/>
                    <w:spacing w:line="240" w:lineRule="auto"/>
                    <w:ind w:firstLine="0" w:firstLineChars="0"/>
                    <w:jc w:val="center"/>
                    <w:rPr>
                      <w:sz w:val="21"/>
                      <w:szCs w:val="21"/>
                    </w:rPr>
                  </w:pPr>
                </w:p>
              </w:tc>
              <w:tc>
                <w:tcPr>
                  <w:tcW w:w="2588" w:type="dxa"/>
                  <w:tcBorders>
                    <w:tl2br w:val="nil"/>
                    <w:tr2bl w:val="nil"/>
                  </w:tcBorders>
                  <w:vAlign w:val="center"/>
                </w:tcPr>
                <w:p w14:paraId="64F1BB9E">
                  <w:pPr>
                    <w:snapToGrid w:val="0"/>
                    <w:spacing w:line="240" w:lineRule="auto"/>
                    <w:ind w:firstLine="0" w:firstLineChars="0"/>
                    <w:jc w:val="center"/>
                    <w:rPr>
                      <w:sz w:val="21"/>
                      <w:szCs w:val="21"/>
                    </w:rPr>
                  </w:pPr>
                  <w:r>
                    <w:rPr>
                      <w:sz w:val="21"/>
                      <w:szCs w:val="21"/>
                    </w:rPr>
                    <w:t>萘</w:t>
                  </w:r>
                </w:p>
              </w:tc>
              <w:tc>
                <w:tcPr>
                  <w:tcW w:w="4288" w:type="dxa"/>
                  <w:tcBorders>
                    <w:tl2br w:val="nil"/>
                    <w:tr2bl w:val="nil"/>
                  </w:tcBorders>
                  <w:vAlign w:val="center"/>
                </w:tcPr>
                <w:p w14:paraId="28B79915">
                  <w:pPr>
                    <w:snapToGrid w:val="0"/>
                    <w:spacing w:line="240" w:lineRule="auto"/>
                    <w:ind w:firstLine="0" w:firstLineChars="0"/>
                    <w:jc w:val="center"/>
                    <w:rPr>
                      <w:sz w:val="21"/>
                      <w:szCs w:val="21"/>
                    </w:rPr>
                  </w:pPr>
                  <w:r>
                    <w:rPr>
                      <w:sz w:val="21"/>
                      <w:szCs w:val="21"/>
                    </w:rPr>
                    <w:t>ND</w:t>
                  </w:r>
                </w:p>
              </w:tc>
            </w:tr>
            <w:tr w14:paraId="26419E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7694C2EC">
                  <w:pPr>
                    <w:snapToGrid w:val="0"/>
                    <w:spacing w:line="240" w:lineRule="auto"/>
                    <w:ind w:firstLine="0" w:firstLineChars="0"/>
                    <w:jc w:val="center"/>
                    <w:rPr>
                      <w:sz w:val="21"/>
                      <w:szCs w:val="21"/>
                    </w:rPr>
                  </w:pPr>
                </w:p>
              </w:tc>
              <w:tc>
                <w:tcPr>
                  <w:tcW w:w="2588" w:type="dxa"/>
                  <w:tcBorders>
                    <w:tl2br w:val="nil"/>
                    <w:tr2bl w:val="nil"/>
                  </w:tcBorders>
                  <w:vAlign w:val="center"/>
                </w:tcPr>
                <w:p w14:paraId="4406E114">
                  <w:pPr>
                    <w:snapToGrid w:val="0"/>
                    <w:spacing w:line="240" w:lineRule="auto"/>
                    <w:ind w:firstLine="0" w:firstLineChars="0"/>
                    <w:jc w:val="center"/>
                    <w:rPr>
                      <w:sz w:val="21"/>
                      <w:szCs w:val="21"/>
                    </w:rPr>
                  </w:pPr>
                  <w:r>
                    <w:rPr>
                      <w:sz w:val="21"/>
                      <w:szCs w:val="21"/>
                    </w:rPr>
                    <w:t>䓛</w:t>
                  </w:r>
                </w:p>
              </w:tc>
              <w:tc>
                <w:tcPr>
                  <w:tcW w:w="4288" w:type="dxa"/>
                  <w:tcBorders>
                    <w:tl2br w:val="nil"/>
                    <w:tr2bl w:val="nil"/>
                  </w:tcBorders>
                  <w:vAlign w:val="center"/>
                </w:tcPr>
                <w:p w14:paraId="56F59428">
                  <w:pPr>
                    <w:snapToGrid w:val="0"/>
                    <w:spacing w:line="240" w:lineRule="auto"/>
                    <w:ind w:firstLine="0" w:firstLineChars="0"/>
                    <w:jc w:val="center"/>
                    <w:rPr>
                      <w:sz w:val="21"/>
                      <w:szCs w:val="21"/>
                    </w:rPr>
                  </w:pPr>
                  <w:r>
                    <w:rPr>
                      <w:sz w:val="21"/>
                      <w:szCs w:val="21"/>
                    </w:rPr>
                    <w:t>ND</w:t>
                  </w:r>
                </w:p>
              </w:tc>
            </w:tr>
            <w:tr w14:paraId="3FEAF4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3E7795EB">
                  <w:pPr>
                    <w:snapToGrid w:val="0"/>
                    <w:spacing w:line="240" w:lineRule="auto"/>
                    <w:ind w:firstLine="0" w:firstLineChars="0"/>
                    <w:jc w:val="center"/>
                    <w:rPr>
                      <w:sz w:val="21"/>
                      <w:szCs w:val="21"/>
                    </w:rPr>
                  </w:pPr>
                </w:p>
              </w:tc>
              <w:tc>
                <w:tcPr>
                  <w:tcW w:w="2588" w:type="dxa"/>
                  <w:tcBorders>
                    <w:tl2br w:val="nil"/>
                    <w:tr2bl w:val="nil"/>
                  </w:tcBorders>
                  <w:vAlign w:val="center"/>
                </w:tcPr>
                <w:p w14:paraId="0CBF1CDC">
                  <w:pPr>
                    <w:snapToGrid w:val="0"/>
                    <w:spacing w:line="240" w:lineRule="auto"/>
                    <w:ind w:firstLine="0" w:firstLineChars="0"/>
                    <w:jc w:val="center"/>
                    <w:rPr>
                      <w:sz w:val="21"/>
                      <w:szCs w:val="21"/>
                    </w:rPr>
                  </w:pPr>
                  <w:r>
                    <w:rPr>
                      <w:rFonts w:hint="eastAsia"/>
                      <w:sz w:val="21"/>
                      <w:szCs w:val="21"/>
                    </w:rPr>
                    <w:t>氯甲烷</w:t>
                  </w:r>
                </w:p>
              </w:tc>
              <w:tc>
                <w:tcPr>
                  <w:tcW w:w="4288" w:type="dxa"/>
                  <w:tcBorders>
                    <w:tl2br w:val="nil"/>
                    <w:tr2bl w:val="nil"/>
                  </w:tcBorders>
                  <w:vAlign w:val="center"/>
                </w:tcPr>
                <w:p w14:paraId="1AC2D826">
                  <w:pPr>
                    <w:snapToGrid w:val="0"/>
                    <w:spacing w:line="240" w:lineRule="auto"/>
                    <w:ind w:firstLine="0" w:firstLineChars="0"/>
                    <w:jc w:val="center"/>
                    <w:rPr>
                      <w:sz w:val="21"/>
                      <w:szCs w:val="21"/>
                    </w:rPr>
                  </w:pPr>
                  <w:r>
                    <w:rPr>
                      <w:rFonts w:hint="eastAsia"/>
                      <w:sz w:val="21"/>
                      <w:szCs w:val="21"/>
                    </w:rPr>
                    <w:t>ND</w:t>
                  </w:r>
                </w:p>
              </w:tc>
            </w:tr>
            <w:tr w14:paraId="5B3EE3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33B01CDE">
                  <w:pPr>
                    <w:snapToGrid w:val="0"/>
                    <w:spacing w:line="240" w:lineRule="auto"/>
                    <w:ind w:firstLine="0" w:firstLineChars="0"/>
                    <w:jc w:val="center"/>
                    <w:rPr>
                      <w:sz w:val="21"/>
                      <w:szCs w:val="21"/>
                    </w:rPr>
                  </w:pPr>
                </w:p>
              </w:tc>
              <w:tc>
                <w:tcPr>
                  <w:tcW w:w="2588" w:type="dxa"/>
                  <w:tcBorders>
                    <w:tl2br w:val="nil"/>
                    <w:tr2bl w:val="nil"/>
                  </w:tcBorders>
                  <w:vAlign w:val="center"/>
                </w:tcPr>
                <w:p w14:paraId="065042A0">
                  <w:pPr>
                    <w:snapToGrid w:val="0"/>
                    <w:spacing w:line="240" w:lineRule="auto"/>
                    <w:ind w:firstLine="0" w:firstLineChars="0"/>
                    <w:jc w:val="center"/>
                    <w:rPr>
                      <w:sz w:val="21"/>
                      <w:szCs w:val="21"/>
                    </w:rPr>
                  </w:pPr>
                  <w:r>
                    <w:rPr>
                      <w:rFonts w:hint="eastAsia"/>
                      <w:sz w:val="21"/>
                      <w:szCs w:val="21"/>
                    </w:rPr>
                    <w:t>苯胺</w:t>
                  </w:r>
                </w:p>
              </w:tc>
              <w:tc>
                <w:tcPr>
                  <w:tcW w:w="4288" w:type="dxa"/>
                  <w:tcBorders>
                    <w:tl2br w:val="nil"/>
                    <w:tr2bl w:val="nil"/>
                  </w:tcBorders>
                  <w:vAlign w:val="center"/>
                </w:tcPr>
                <w:p w14:paraId="50189CA9">
                  <w:pPr>
                    <w:snapToGrid w:val="0"/>
                    <w:spacing w:line="240" w:lineRule="auto"/>
                    <w:ind w:firstLine="0" w:firstLineChars="0"/>
                    <w:jc w:val="center"/>
                    <w:rPr>
                      <w:sz w:val="21"/>
                      <w:szCs w:val="21"/>
                    </w:rPr>
                  </w:pPr>
                  <w:r>
                    <w:rPr>
                      <w:rFonts w:hint="eastAsia"/>
                      <w:sz w:val="21"/>
                      <w:szCs w:val="21"/>
                    </w:rPr>
                    <w:t>ND</w:t>
                  </w:r>
                </w:p>
              </w:tc>
            </w:tr>
            <w:tr w14:paraId="599E0E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16AA72C1">
                  <w:pPr>
                    <w:snapToGrid w:val="0"/>
                    <w:spacing w:line="240" w:lineRule="auto"/>
                    <w:ind w:firstLine="0" w:firstLineChars="0"/>
                    <w:jc w:val="center"/>
                    <w:rPr>
                      <w:sz w:val="21"/>
                      <w:szCs w:val="21"/>
                    </w:rPr>
                  </w:pPr>
                </w:p>
              </w:tc>
              <w:tc>
                <w:tcPr>
                  <w:tcW w:w="2588" w:type="dxa"/>
                  <w:tcBorders>
                    <w:tl2br w:val="nil"/>
                    <w:tr2bl w:val="nil"/>
                  </w:tcBorders>
                  <w:vAlign w:val="center"/>
                </w:tcPr>
                <w:p w14:paraId="24011402">
                  <w:pPr>
                    <w:snapToGrid w:val="0"/>
                    <w:spacing w:line="240" w:lineRule="auto"/>
                    <w:ind w:firstLine="0" w:firstLineChars="0"/>
                    <w:jc w:val="center"/>
                    <w:rPr>
                      <w:sz w:val="21"/>
                      <w:szCs w:val="21"/>
                    </w:rPr>
                  </w:pPr>
                  <w:r>
                    <w:rPr>
                      <w:rFonts w:hint="eastAsia"/>
                      <w:sz w:val="21"/>
                      <w:szCs w:val="21"/>
                    </w:rPr>
                    <w:t>硝基苯</w:t>
                  </w:r>
                </w:p>
              </w:tc>
              <w:tc>
                <w:tcPr>
                  <w:tcW w:w="4288" w:type="dxa"/>
                  <w:tcBorders>
                    <w:tl2br w:val="nil"/>
                    <w:tr2bl w:val="nil"/>
                  </w:tcBorders>
                  <w:vAlign w:val="center"/>
                </w:tcPr>
                <w:p w14:paraId="5869458D">
                  <w:pPr>
                    <w:snapToGrid w:val="0"/>
                    <w:spacing w:line="240" w:lineRule="auto"/>
                    <w:ind w:firstLine="0" w:firstLineChars="0"/>
                    <w:jc w:val="center"/>
                    <w:rPr>
                      <w:sz w:val="21"/>
                      <w:szCs w:val="21"/>
                    </w:rPr>
                  </w:pPr>
                  <w:r>
                    <w:rPr>
                      <w:rFonts w:hint="eastAsia"/>
                      <w:sz w:val="21"/>
                      <w:szCs w:val="21"/>
                    </w:rPr>
                    <w:t>ND</w:t>
                  </w:r>
                </w:p>
              </w:tc>
            </w:tr>
            <w:tr w14:paraId="2B6EFD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583" w:type="dxa"/>
                  <w:vMerge w:val="continue"/>
                  <w:tcBorders>
                    <w:tl2br w:val="nil"/>
                    <w:tr2bl w:val="nil"/>
                  </w:tcBorders>
                  <w:vAlign w:val="center"/>
                </w:tcPr>
                <w:p w14:paraId="1F94EFBC">
                  <w:pPr>
                    <w:snapToGrid w:val="0"/>
                    <w:spacing w:line="240" w:lineRule="auto"/>
                    <w:ind w:firstLine="0" w:firstLineChars="0"/>
                    <w:jc w:val="center"/>
                    <w:rPr>
                      <w:sz w:val="21"/>
                      <w:szCs w:val="21"/>
                    </w:rPr>
                  </w:pPr>
                </w:p>
              </w:tc>
              <w:tc>
                <w:tcPr>
                  <w:tcW w:w="2588" w:type="dxa"/>
                  <w:tcBorders>
                    <w:tl2br w:val="nil"/>
                    <w:tr2bl w:val="nil"/>
                  </w:tcBorders>
                  <w:vAlign w:val="center"/>
                </w:tcPr>
                <w:p w14:paraId="2FBDD444">
                  <w:pPr>
                    <w:snapToGrid w:val="0"/>
                    <w:spacing w:line="240" w:lineRule="auto"/>
                    <w:ind w:firstLine="0" w:firstLineChars="0"/>
                    <w:jc w:val="center"/>
                    <w:rPr>
                      <w:sz w:val="21"/>
                      <w:szCs w:val="21"/>
                    </w:rPr>
                  </w:pPr>
                  <w:r>
                    <w:rPr>
                      <w:rFonts w:hint="eastAsia"/>
                      <w:sz w:val="21"/>
                      <w:szCs w:val="21"/>
                    </w:rPr>
                    <w:t>2-氯酚</w:t>
                  </w:r>
                </w:p>
              </w:tc>
              <w:tc>
                <w:tcPr>
                  <w:tcW w:w="4288" w:type="dxa"/>
                  <w:tcBorders>
                    <w:tl2br w:val="nil"/>
                    <w:tr2bl w:val="nil"/>
                  </w:tcBorders>
                  <w:vAlign w:val="center"/>
                </w:tcPr>
                <w:p w14:paraId="20850DCC">
                  <w:pPr>
                    <w:snapToGrid w:val="0"/>
                    <w:spacing w:line="240" w:lineRule="auto"/>
                    <w:ind w:firstLine="0" w:firstLineChars="0"/>
                    <w:jc w:val="center"/>
                    <w:rPr>
                      <w:sz w:val="21"/>
                      <w:szCs w:val="21"/>
                    </w:rPr>
                  </w:pPr>
                  <w:r>
                    <w:rPr>
                      <w:rFonts w:hint="eastAsia"/>
                      <w:sz w:val="21"/>
                      <w:szCs w:val="21"/>
                    </w:rPr>
                    <w:t>ND</w:t>
                  </w:r>
                </w:p>
              </w:tc>
            </w:tr>
          </w:tbl>
          <w:p w14:paraId="5BFE741A">
            <w:pPr>
              <w:ind w:firstLine="480"/>
              <w:rPr>
                <w:b/>
                <w:bCs/>
              </w:rPr>
            </w:pPr>
            <w:r>
              <w:t>由上表可以看出</w:t>
            </w:r>
            <w:r>
              <w:rPr>
                <w:rFonts w:hint="eastAsia"/>
              </w:rPr>
              <w:t>，项目区域上述监测指标均能满足《土壤环境质量 建设用地土壤污染风险管控标准》（GB36600-2018）二类用地筛选值。</w:t>
            </w:r>
          </w:p>
        </w:tc>
      </w:tr>
      <w:tr w14:paraId="54178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dxa"/>
          </w:tcPr>
          <w:p w14:paraId="1266B17E">
            <w:pPr>
              <w:spacing w:line="240" w:lineRule="auto"/>
              <w:ind w:firstLine="0" w:firstLineChars="0"/>
              <w:jc w:val="center"/>
            </w:pPr>
            <w:r>
              <w:rPr>
                <w:rFonts w:hint="eastAsia"/>
              </w:rPr>
              <w:t>与原项目有关的原有环境污染和生态破坏问题</w:t>
            </w:r>
          </w:p>
        </w:tc>
        <w:tc>
          <w:tcPr>
            <w:tcW w:w="8788" w:type="dxa"/>
          </w:tcPr>
          <w:p w14:paraId="08B3E2A1">
            <w:pPr>
              <w:ind w:firstLine="480"/>
            </w:pPr>
          </w:p>
          <w:p w14:paraId="7809E246">
            <w:pPr>
              <w:ind w:firstLine="480"/>
            </w:pPr>
          </w:p>
          <w:p w14:paraId="2E3A8294">
            <w:pPr>
              <w:ind w:firstLine="480"/>
            </w:pPr>
          </w:p>
          <w:p w14:paraId="15B03804">
            <w:pPr>
              <w:ind w:firstLine="480"/>
            </w:pPr>
          </w:p>
          <w:p w14:paraId="2461B989">
            <w:pPr>
              <w:ind w:firstLine="480"/>
            </w:pPr>
            <w:r>
              <w:t>本项目为新建项目，无原有环境污染和生态破坏问题。</w:t>
            </w:r>
          </w:p>
        </w:tc>
      </w:tr>
      <w:tr w14:paraId="5AEFF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dxa"/>
            <w:vAlign w:val="center"/>
          </w:tcPr>
          <w:p w14:paraId="267881AD">
            <w:pPr>
              <w:spacing w:line="240" w:lineRule="auto"/>
              <w:ind w:firstLine="0" w:firstLineChars="0"/>
              <w:jc w:val="center"/>
            </w:pPr>
            <w:r>
              <w:rPr>
                <w:rFonts w:hint="eastAsia"/>
              </w:rPr>
              <w:t>生态环境保护目标</w:t>
            </w:r>
          </w:p>
        </w:tc>
        <w:tc>
          <w:tcPr>
            <w:tcW w:w="8788" w:type="dxa"/>
          </w:tcPr>
          <w:p w14:paraId="78138C02">
            <w:pPr>
              <w:ind w:firstLine="0" w:firstLineChars="0"/>
              <w:rPr>
                <w:b/>
                <w:bCs/>
              </w:rPr>
            </w:pPr>
            <w:r>
              <w:rPr>
                <w:rFonts w:hint="eastAsia"/>
                <w:b/>
                <w:bCs/>
              </w:rPr>
              <w:t>一、环境保护保护目标</w:t>
            </w:r>
          </w:p>
          <w:p w14:paraId="20EF117B">
            <w:pPr>
              <w:ind w:firstLine="482"/>
            </w:pPr>
            <w:r>
              <w:rPr>
                <w:rFonts w:hint="eastAsia"/>
                <w:b/>
                <w:bCs/>
              </w:rPr>
              <w:t>（1）地表水环境</w:t>
            </w:r>
          </w:p>
          <w:p w14:paraId="0E7E4CC4">
            <w:pPr>
              <w:ind w:firstLine="480"/>
            </w:pPr>
            <w:r>
              <w:t>地表水：檬子河执行《地表水环境质量标准》（GB3838-2002）中Ⅲ类水体标准，巴河巴州区段执行《地表水环境质量标准》（GB3838-2002）Ⅱ类水体标准</w:t>
            </w:r>
            <w:r>
              <w:rPr>
                <w:rFonts w:hint="eastAsia"/>
              </w:rPr>
              <w:t>。</w:t>
            </w:r>
          </w:p>
          <w:p w14:paraId="1E53ADB5">
            <w:pPr>
              <w:numPr>
                <w:ilvl w:val="0"/>
                <w:numId w:val="7"/>
              </w:numPr>
              <w:ind w:left="0" w:leftChars="0" w:firstLine="482" w:firstLineChars="200"/>
              <w:rPr>
                <w:rFonts w:hint="eastAsia"/>
                <w:b/>
                <w:bCs/>
              </w:rPr>
            </w:pPr>
            <w:r>
              <w:rPr>
                <w:rFonts w:hint="eastAsia"/>
                <w:b/>
                <w:bCs/>
              </w:rPr>
              <w:t>环境空气</w:t>
            </w:r>
          </w:p>
          <w:p w14:paraId="0B3BBC91">
            <w:r>
              <w:rPr>
                <w:rFonts w:hint="eastAsia"/>
              </w:rPr>
              <w:t>评价区域内的环境空气质量执行《环境空气质量标准》（GB3092-2026）过渡阶段二级标准限值。</w:t>
            </w:r>
          </w:p>
          <w:p w14:paraId="0DBDC8EA">
            <w:pPr>
              <w:ind w:firstLine="482"/>
            </w:pPr>
            <w:r>
              <w:rPr>
                <w:b/>
                <w:bCs/>
              </w:rPr>
              <w:t>（3）声环境质量</w:t>
            </w:r>
          </w:p>
          <w:p w14:paraId="44D1825D">
            <w:pPr>
              <w:ind w:firstLine="480"/>
            </w:pPr>
            <w:r>
              <w:t>以项目周边200m范围内为声环境保护目标，区域声环境质量执行《声环境质量标准》（GB 3096-2008）2类区标准要求。</w:t>
            </w:r>
          </w:p>
          <w:p w14:paraId="3482FCF5">
            <w:pPr>
              <w:ind w:firstLine="480"/>
            </w:pPr>
            <w:r>
              <w:rPr>
                <w:rFonts w:hint="eastAsia"/>
              </w:rPr>
              <w:t>根据《巴中市城区噪声功能区调整划分方案》，城市主干道、次干道道路两侧35m内执行《声环境质量标准》（GB3096-2008）、中4a类声环境功能区标准；35m外执行《声环境质量标准》（GB3096-2008）中2类声环境功能区标准</w:t>
            </w:r>
          </w:p>
          <w:p w14:paraId="202F0E4F">
            <w:pPr>
              <w:ind w:firstLine="480"/>
            </w:pPr>
            <w:r>
              <w:t>根据现场踏勘，本项目附近区域无自然保护区、风景区、名胜古迹等需要特殊保护的敏感目标。评价区域内未发现野生保护植物物种以及古树名木分布，未发现国家级、省级野生保护动物物种。本项目生态环境保护目标见下表。</w:t>
            </w:r>
          </w:p>
          <w:p w14:paraId="4844B53B">
            <w:pPr>
              <w:ind w:firstLine="0" w:firstLineChars="0"/>
              <w:jc w:val="center"/>
              <w:rPr>
                <w:b/>
                <w:bCs/>
                <w:sz w:val="21"/>
                <w:szCs w:val="21"/>
              </w:rPr>
            </w:pPr>
            <w:r>
              <w:rPr>
                <w:rFonts w:hint="eastAsia"/>
                <w:b/>
                <w:bCs/>
                <w:sz w:val="21"/>
                <w:szCs w:val="21"/>
              </w:rPr>
              <w:t>表3-  项目环境保护目标一览表</w:t>
            </w:r>
          </w:p>
          <w:tbl>
            <w:tblPr>
              <w:tblStyle w:val="19"/>
              <w:tblW w:w="8572"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66"/>
              <w:gridCol w:w="1784"/>
              <w:gridCol w:w="1133"/>
              <w:gridCol w:w="1019"/>
              <w:gridCol w:w="1225"/>
              <w:gridCol w:w="1225"/>
            </w:tblGrid>
            <w:tr w14:paraId="28FC75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tcBorders>
                    <w:tl2br w:val="nil"/>
                    <w:tr2bl w:val="nil"/>
                  </w:tcBorders>
                  <w:vAlign w:val="center"/>
                </w:tcPr>
                <w:p w14:paraId="0EE96BAF">
                  <w:pPr>
                    <w:pStyle w:val="30"/>
                    <w:widowControl/>
                    <w:spacing w:line="240" w:lineRule="auto"/>
                    <w:ind w:firstLine="0" w:firstLineChars="0"/>
                    <w:jc w:val="center"/>
                    <w:rPr>
                      <w:rFonts w:eastAsia="宋体"/>
                      <w:b/>
                      <w:bCs/>
                      <w:sz w:val="21"/>
                    </w:rPr>
                  </w:pPr>
                  <w:r>
                    <w:rPr>
                      <w:rFonts w:hint="eastAsia" w:eastAsia="宋体"/>
                      <w:b/>
                      <w:bCs/>
                      <w:sz w:val="21"/>
                    </w:rPr>
                    <w:t>环境类别</w:t>
                  </w:r>
                </w:p>
              </w:tc>
              <w:tc>
                <w:tcPr>
                  <w:tcW w:w="1466" w:type="dxa"/>
                  <w:tcBorders>
                    <w:tl2br w:val="nil"/>
                    <w:tr2bl w:val="nil"/>
                  </w:tcBorders>
                  <w:vAlign w:val="center"/>
                </w:tcPr>
                <w:p w14:paraId="2BD4C47C">
                  <w:pPr>
                    <w:pStyle w:val="30"/>
                    <w:widowControl/>
                    <w:spacing w:line="240" w:lineRule="auto"/>
                    <w:ind w:firstLine="0" w:firstLineChars="0"/>
                    <w:jc w:val="center"/>
                    <w:rPr>
                      <w:rFonts w:eastAsia="宋体"/>
                      <w:b/>
                      <w:bCs/>
                      <w:sz w:val="21"/>
                    </w:rPr>
                  </w:pPr>
                  <w:r>
                    <w:rPr>
                      <w:rFonts w:hint="eastAsia" w:eastAsia="宋体"/>
                      <w:b/>
                      <w:bCs/>
                      <w:sz w:val="21"/>
                    </w:rPr>
                    <w:t>环境保护目标</w:t>
                  </w:r>
                </w:p>
              </w:tc>
              <w:tc>
                <w:tcPr>
                  <w:tcW w:w="1784" w:type="dxa"/>
                  <w:tcBorders>
                    <w:tl2br w:val="nil"/>
                    <w:tr2bl w:val="nil"/>
                  </w:tcBorders>
                  <w:vAlign w:val="center"/>
                </w:tcPr>
                <w:p w14:paraId="1C828D75">
                  <w:pPr>
                    <w:pStyle w:val="30"/>
                    <w:widowControl/>
                    <w:spacing w:line="240" w:lineRule="auto"/>
                    <w:ind w:firstLine="0" w:firstLineChars="0"/>
                    <w:jc w:val="center"/>
                    <w:rPr>
                      <w:rFonts w:eastAsia="宋体"/>
                      <w:b/>
                      <w:bCs/>
                      <w:sz w:val="21"/>
                    </w:rPr>
                  </w:pPr>
                  <w:r>
                    <w:rPr>
                      <w:rFonts w:hint="eastAsia" w:eastAsia="宋体"/>
                      <w:b/>
                      <w:bCs/>
                      <w:sz w:val="21"/>
                    </w:rPr>
                    <w:t>方位</w:t>
                  </w:r>
                </w:p>
              </w:tc>
              <w:tc>
                <w:tcPr>
                  <w:tcW w:w="1133" w:type="dxa"/>
                  <w:tcBorders>
                    <w:tl2br w:val="nil"/>
                    <w:tr2bl w:val="nil"/>
                  </w:tcBorders>
                  <w:vAlign w:val="center"/>
                </w:tcPr>
                <w:p w14:paraId="5779951F">
                  <w:pPr>
                    <w:pStyle w:val="30"/>
                    <w:widowControl/>
                    <w:spacing w:line="240" w:lineRule="auto"/>
                    <w:ind w:firstLine="0" w:firstLineChars="0"/>
                    <w:jc w:val="center"/>
                    <w:rPr>
                      <w:rFonts w:eastAsia="宋体"/>
                      <w:b/>
                      <w:bCs/>
                      <w:sz w:val="21"/>
                    </w:rPr>
                  </w:pPr>
                  <w:r>
                    <w:rPr>
                      <w:rFonts w:hint="eastAsia" w:eastAsia="宋体"/>
                      <w:b/>
                      <w:bCs/>
                      <w:sz w:val="21"/>
                    </w:rPr>
                    <w:t>距离</w:t>
                  </w:r>
                </w:p>
              </w:tc>
              <w:tc>
                <w:tcPr>
                  <w:tcW w:w="1019" w:type="dxa"/>
                  <w:tcBorders>
                    <w:tl2br w:val="nil"/>
                    <w:tr2bl w:val="nil"/>
                  </w:tcBorders>
                  <w:vAlign w:val="center"/>
                </w:tcPr>
                <w:p w14:paraId="6E5ABB5F">
                  <w:pPr>
                    <w:pStyle w:val="30"/>
                    <w:widowControl/>
                    <w:spacing w:line="240" w:lineRule="auto"/>
                    <w:ind w:firstLine="0" w:firstLineChars="0"/>
                    <w:jc w:val="center"/>
                    <w:rPr>
                      <w:rFonts w:eastAsia="宋体"/>
                      <w:b/>
                      <w:bCs/>
                      <w:sz w:val="21"/>
                    </w:rPr>
                  </w:pPr>
                  <w:r>
                    <w:rPr>
                      <w:rFonts w:hint="eastAsia" w:eastAsia="宋体"/>
                      <w:b/>
                      <w:bCs/>
                      <w:sz w:val="21"/>
                    </w:rPr>
                    <w:t>性质</w:t>
                  </w:r>
                </w:p>
              </w:tc>
              <w:tc>
                <w:tcPr>
                  <w:tcW w:w="1225" w:type="dxa"/>
                  <w:tcBorders>
                    <w:tl2br w:val="nil"/>
                    <w:tr2bl w:val="nil"/>
                  </w:tcBorders>
                  <w:vAlign w:val="center"/>
                </w:tcPr>
                <w:p w14:paraId="29D3280B">
                  <w:pPr>
                    <w:pStyle w:val="30"/>
                    <w:widowControl/>
                    <w:spacing w:line="240" w:lineRule="auto"/>
                    <w:ind w:firstLine="0" w:firstLineChars="0"/>
                    <w:jc w:val="center"/>
                    <w:rPr>
                      <w:rFonts w:eastAsia="宋体"/>
                      <w:b/>
                      <w:bCs/>
                      <w:sz w:val="21"/>
                    </w:rPr>
                  </w:pPr>
                  <w:r>
                    <w:rPr>
                      <w:rFonts w:hint="eastAsia" w:eastAsia="宋体"/>
                      <w:b/>
                      <w:bCs/>
                      <w:sz w:val="21"/>
                    </w:rPr>
                    <w:t>规模</w:t>
                  </w:r>
                </w:p>
              </w:tc>
              <w:tc>
                <w:tcPr>
                  <w:tcW w:w="1225" w:type="dxa"/>
                  <w:tcBorders>
                    <w:tl2br w:val="nil"/>
                    <w:tr2bl w:val="nil"/>
                  </w:tcBorders>
                  <w:vAlign w:val="center"/>
                </w:tcPr>
                <w:p w14:paraId="24B403A4">
                  <w:pPr>
                    <w:pStyle w:val="30"/>
                    <w:widowControl/>
                    <w:spacing w:line="240" w:lineRule="auto"/>
                    <w:ind w:firstLine="0" w:firstLineChars="0"/>
                    <w:jc w:val="center"/>
                    <w:rPr>
                      <w:rFonts w:eastAsia="宋体"/>
                      <w:b/>
                      <w:bCs/>
                      <w:sz w:val="21"/>
                    </w:rPr>
                  </w:pPr>
                  <w:r>
                    <w:rPr>
                      <w:rFonts w:hint="eastAsia" w:eastAsia="宋体"/>
                      <w:b/>
                      <w:bCs/>
                      <w:sz w:val="21"/>
                    </w:rPr>
                    <w:t>执行标准</w:t>
                  </w:r>
                </w:p>
              </w:tc>
            </w:tr>
            <w:tr w14:paraId="09EB54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restart"/>
                  <w:tcBorders>
                    <w:tl2br w:val="nil"/>
                    <w:tr2bl w:val="nil"/>
                  </w:tcBorders>
                  <w:vAlign w:val="center"/>
                </w:tcPr>
                <w:p w14:paraId="783A8804">
                  <w:pPr>
                    <w:pStyle w:val="30"/>
                    <w:widowControl/>
                    <w:spacing w:line="240" w:lineRule="auto"/>
                    <w:ind w:firstLine="0" w:firstLineChars="0"/>
                    <w:jc w:val="center"/>
                    <w:rPr>
                      <w:rFonts w:eastAsia="宋体"/>
                      <w:sz w:val="21"/>
                    </w:rPr>
                  </w:pPr>
                  <w:r>
                    <w:rPr>
                      <w:rFonts w:hint="eastAsia" w:eastAsia="宋体"/>
                      <w:sz w:val="21"/>
                    </w:rPr>
                    <w:t>大气环境</w:t>
                  </w:r>
                </w:p>
              </w:tc>
              <w:tc>
                <w:tcPr>
                  <w:tcW w:w="1466" w:type="dxa"/>
                  <w:tcBorders>
                    <w:tl2br w:val="nil"/>
                    <w:tr2bl w:val="nil"/>
                  </w:tcBorders>
                  <w:vAlign w:val="center"/>
                </w:tcPr>
                <w:p w14:paraId="7881076C">
                  <w:pPr>
                    <w:pStyle w:val="30"/>
                    <w:widowControl/>
                    <w:spacing w:line="240" w:lineRule="auto"/>
                    <w:ind w:firstLine="0" w:firstLineChars="0"/>
                    <w:jc w:val="center"/>
                    <w:rPr>
                      <w:rFonts w:eastAsia="宋体"/>
                      <w:sz w:val="21"/>
                    </w:rPr>
                  </w:pPr>
                  <w:r>
                    <w:rPr>
                      <w:rFonts w:eastAsia="宋体"/>
                      <w:sz w:val="21"/>
                    </w:rPr>
                    <w:t>丰泽北岸</w:t>
                  </w:r>
                </w:p>
              </w:tc>
              <w:tc>
                <w:tcPr>
                  <w:tcW w:w="1784" w:type="dxa"/>
                  <w:tcBorders>
                    <w:tl2br w:val="nil"/>
                    <w:tr2bl w:val="nil"/>
                  </w:tcBorders>
                  <w:vAlign w:val="center"/>
                </w:tcPr>
                <w:p w14:paraId="0906B1C0">
                  <w:pPr>
                    <w:pStyle w:val="30"/>
                    <w:widowControl/>
                    <w:spacing w:line="240" w:lineRule="auto"/>
                    <w:ind w:firstLine="0" w:firstLineChars="0"/>
                    <w:jc w:val="center"/>
                    <w:rPr>
                      <w:rFonts w:eastAsia="宋体"/>
                      <w:sz w:val="21"/>
                    </w:rPr>
                  </w:pPr>
                  <w:r>
                    <w:rPr>
                      <w:rFonts w:hint="eastAsia" w:eastAsia="宋体"/>
                      <w:sz w:val="21"/>
                    </w:rPr>
                    <w:t>项目河段起点左岸北侧</w:t>
                  </w:r>
                </w:p>
              </w:tc>
              <w:tc>
                <w:tcPr>
                  <w:tcW w:w="1133" w:type="dxa"/>
                  <w:tcBorders>
                    <w:tl2br w:val="nil"/>
                    <w:tr2bl w:val="nil"/>
                  </w:tcBorders>
                  <w:vAlign w:val="center"/>
                </w:tcPr>
                <w:p w14:paraId="60DDBB6F">
                  <w:pPr>
                    <w:pStyle w:val="30"/>
                    <w:widowControl/>
                    <w:spacing w:line="240" w:lineRule="auto"/>
                    <w:ind w:firstLine="0" w:firstLineChars="0"/>
                    <w:jc w:val="center"/>
                    <w:rPr>
                      <w:rFonts w:eastAsia="宋体"/>
                      <w:sz w:val="21"/>
                    </w:rPr>
                  </w:pPr>
                  <w:r>
                    <w:rPr>
                      <w:rFonts w:hint="eastAsia" w:eastAsia="宋体"/>
                      <w:sz w:val="21"/>
                    </w:rPr>
                    <w:t>57-500m</w:t>
                  </w:r>
                </w:p>
              </w:tc>
              <w:tc>
                <w:tcPr>
                  <w:tcW w:w="1019" w:type="dxa"/>
                  <w:tcBorders>
                    <w:tl2br w:val="nil"/>
                    <w:tr2bl w:val="nil"/>
                  </w:tcBorders>
                  <w:vAlign w:val="center"/>
                </w:tcPr>
                <w:p w14:paraId="356C835E">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1EF87229">
                  <w:pPr>
                    <w:pStyle w:val="30"/>
                    <w:widowControl/>
                    <w:spacing w:line="240" w:lineRule="auto"/>
                    <w:ind w:firstLine="0" w:firstLineChars="0"/>
                    <w:jc w:val="center"/>
                    <w:rPr>
                      <w:rFonts w:eastAsia="宋体"/>
                      <w:sz w:val="21"/>
                    </w:rPr>
                  </w:pPr>
                  <w:r>
                    <w:rPr>
                      <w:rFonts w:eastAsia="宋体"/>
                      <w:sz w:val="21"/>
                    </w:rPr>
                    <w:t>1705户</w:t>
                  </w:r>
                  <w:r>
                    <w:rPr>
                      <w:rFonts w:hint="eastAsia" w:eastAsia="宋体"/>
                      <w:sz w:val="21"/>
                    </w:rPr>
                    <w:t>，约4600人</w:t>
                  </w:r>
                </w:p>
              </w:tc>
              <w:tc>
                <w:tcPr>
                  <w:tcW w:w="1225" w:type="dxa"/>
                  <w:vMerge w:val="restart"/>
                  <w:tcBorders>
                    <w:tl2br w:val="nil"/>
                    <w:tr2bl w:val="nil"/>
                  </w:tcBorders>
                  <w:vAlign w:val="center"/>
                </w:tcPr>
                <w:p w14:paraId="3C404D89">
                  <w:pPr>
                    <w:pStyle w:val="30"/>
                    <w:widowControl/>
                    <w:spacing w:line="240" w:lineRule="auto"/>
                    <w:ind w:firstLine="0" w:firstLineChars="0"/>
                    <w:jc w:val="center"/>
                    <w:rPr>
                      <w:rFonts w:eastAsia="宋体"/>
                      <w:sz w:val="21"/>
                    </w:rPr>
                  </w:pPr>
                  <w:r>
                    <w:rPr>
                      <w:rFonts w:eastAsia="宋体"/>
                      <w:sz w:val="21"/>
                    </w:rPr>
                    <w:t>《环境空气质量标准（GB3095-2026）》过渡阶段浓度限值二级标准要求</w:t>
                  </w:r>
                </w:p>
              </w:tc>
            </w:tr>
            <w:tr w14:paraId="682A27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24256E2D">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4B006DAB">
                  <w:pPr>
                    <w:pStyle w:val="30"/>
                    <w:widowControl/>
                    <w:spacing w:line="240" w:lineRule="auto"/>
                    <w:ind w:firstLine="0" w:firstLineChars="0"/>
                    <w:jc w:val="center"/>
                    <w:rPr>
                      <w:rFonts w:eastAsia="宋体"/>
                      <w:sz w:val="21"/>
                    </w:rPr>
                  </w:pPr>
                  <w:r>
                    <w:rPr>
                      <w:rFonts w:hint="eastAsia" w:eastAsia="宋体"/>
                      <w:sz w:val="21"/>
                    </w:rPr>
                    <w:t>巴中康达医院</w:t>
                  </w:r>
                </w:p>
              </w:tc>
              <w:tc>
                <w:tcPr>
                  <w:tcW w:w="1784" w:type="dxa"/>
                  <w:tcBorders>
                    <w:tl2br w:val="nil"/>
                    <w:tr2bl w:val="nil"/>
                  </w:tcBorders>
                  <w:vAlign w:val="center"/>
                </w:tcPr>
                <w:p w14:paraId="6A7C113C">
                  <w:pPr>
                    <w:pStyle w:val="30"/>
                    <w:widowControl/>
                    <w:spacing w:line="240" w:lineRule="auto"/>
                    <w:ind w:firstLine="0" w:firstLineChars="0"/>
                    <w:jc w:val="center"/>
                    <w:rPr>
                      <w:rFonts w:eastAsia="宋体"/>
                      <w:sz w:val="21"/>
                    </w:rPr>
                  </w:pPr>
                  <w:r>
                    <w:rPr>
                      <w:rFonts w:hint="eastAsia" w:eastAsia="宋体"/>
                      <w:sz w:val="21"/>
                    </w:rPr>
                    <w:t>项目河段起点右岸西北侧</w:t>
                  </w:r>
                </w:p>
              </w:tc>
              <w:tc>
                <w:tcPr>
                  <w:tcW w:w="1133" w:type="dxa"/>
                  <w:tcBorders>
                    <w:tl2br w:val="nil"/>
                    <w:tr2bl w:val="nil"/>
                  </w:tcBorders>
                  <w:vAlign w:val="center"/>
                </w:tcPr>
                <w:p w14:paraId="34AE1C04">
                  <w:pPr>
                    <w:pStyle w:val="30"/>
                    <w:widowControl/>
                    <w:spacing w:line="240" w:lineRule="auto"/>
                    <w:ind w:firstLine="0" w:firstLineChars="0"/>
                    <w:jc w:val="center"/>
                    <w:rPr>
                      <w:rFonts w:eastAsia="宋体"/>
                      <w:sz w:val="21"/>
                    </w:rPr>
                  </w:pPr>
                  <w:r>
                    <w:rPr>
                      <w:rFonts w:hint="eastAsia" w:eastAsia="宋体"/>
                      <w:sz w:val="21"/>
                    </w:rPr>
                    <w:t>300m</w:t>
                  </w:r>
                </w:p>
              </w:tc>
              <w:tc>
                <w:tcPr>
                  <w:tcW w:w="1019" w:type="dxa"/>
                  <w:tcBorders>
                    <w:tl2br w:val="nil"/>
                    <w:tr2bl w:val="nil"/>
                  </w:tcBorders>
                  <w:vAlign w:val="center"/>
                </w:tcPr>
                <w:p w14:paraId="16758A8A">
                  <w:pPr>
                    <w:pStyle w:val="30"/>
                    <w:widowControl/>
                    <w:spacing w:line="240" w:lineRule="auto"/>
                    <w:ind w:firstLine="0" w:firstLineChars="0"/>
                    <w:jc w:val="center"/>
                    <w:rPr>
                      <w:rFonts w:eastAsia="宋体"/>
                      <w:sz w:val="21"/>
                    </w:rPr>
                  </w:pPr>
                  <w:r>
                    <w:rPr>
                      <w:rFonts w:hint="eastAsia" w:eastAsia="宋体"/>
                      <w:sz w:val="21"/>
                    </w:rPr>
                    <w:t>医院</w:t>
                  </w:r>
                </w:p>
              </w:tc>
              <w:tc>
                <w:tcPr>
                  <w:tcW w:w="1225" w:type="dxa"/>
                  <w:tcBorders>
                    <w:tl2br w:val="nil"/>
                    <w:tr2bl w:val="nil"/>
                  </w:tcBorders>
                  <w:vAlign w:val="center"/>
                </w:tcPr>
                <w:p w14:paraId="365095BE">
                  <w:pPr>
                    <w:pStyle w:val="30"/>
                    <w:widowControl/>
                    <w:spacing w:line="240" w:lineRule="auto"/>
                    <w:ind w:firstLine="0" w:firstLineChars="0"/>
                    <w:jc w:val="center"/>
                    <w:rPr>
                      <w:rFonts w:eastAsia="宋体"/>
                      <w:sz w:val="21"/>
                    </w:rPr>
                  </w:pPr>
                  <w:r>
                    <w:rPr>
                      <w:rFonts w:eastAsia="宋体"/>
                      <w:sz w:val="21"/>
                    </w:rPr>
                    <w:t>约800人</w:t>
                  </w:r>
                </w:p>
              </w:tc>
              <w:tc>
                <w:tcPr>
                  <w:tcW w:w="1225" w:type="dxa"/>
                  <w:vMerge w:val="continue"/>
                  <w:tcBorders>
                    <w:tl2br w:val="nil"/>
                    <w:tr2bl w:val="nil"/>
                  </w:tcBorders>
                  <w:vAlign w:val="center"/>
                </w:tcPr>
                <w:p w14:paraId="4C8D6A0C">
                  <w:pPr>
                    <w:pStyle w:val="30"/>
                    <w:widowControl/>
                    <w:spacing w:line="240" w:lineRule="auto"/>
                    <w:ind w:firstLine="0" w:firstLineChars="0"/>
                    <w:jc w:val="center"/>
                    <w:rPr>
                      <w:rFonts w:eastAsia="宋体"/>
                      <w:sz w:val="21"/>
                    </w:rPr>
                  </w:pPr>
                </w:p>
              </w:tc>
            </w:tr>
            <w:tr w14:paraId="2A8B15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34497EB8">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028F1C5C">
                  <w:pPr>
                    <w:pStyle w:val="30"/>
                    <w:widowControl/>
                    <w:spacing w:line="240" w:lineRule="auto"/>
                    <w:ind w:firstLine="0" w:firstLineChars="0"/>
                    <w:jc w:val="center"/>
                    <w:rPr>
                      <w:rFonts w:eastAsia="宋体"/>
                      <w:sz w:val="21"/>
                    </w:rPr>
                  </w:pPr>
                  <w:r>
                    <w:rPr>
                      <w:rFonts w:hint="eastAsia" w:eastAsia="宋体"/>
                      <w:sz w:val="21"/>
                    </w:rPr>
                    <w:t>巴州区第七中学</w:t>
                  </w:r>
                </w:p>
              </w:tc>
              <w:tc>
                <w:tcPr>
                  <w:tcW w:w="1784" w:type="dxa"/>
                  <w:tcBorders>
                    <w:tl2br w:val="nil"/>
                    <w:tr2bl w:val="nil"/>
                  </w:tcBorders>
                  <w:vAlign w:val="center"/>
                </w:tcPr>
                <w:p w14:paraId="473F9BC9">
                  <w:pPr>
                    <w:pStyle w:val="30"/>
                    <w:widowControl/>
                    <w:spacing w:line="240" w:lineRule="auto"/>
                    <w:ind w:firstLine="0" w:firstLineChars="0"/>
                    <w:jc w:val="center"/>
                    <w:rPr>
                      <w:rFonts w:eastAsia="宋体"/>
                      <w:sz w:val="21"/>
                    </w:rPr>
                  </w:pPr>
                  <w:r>
                    <w:rPr>
                      <w:rFonts w:hint="eastAsia" w:eastAsia="宋体"/>
                      <w:sz w:val="21"/>
                    </w:rPr>
                    <w:t>项目河段起点右岸西侧</w:t>
                  </w:r>
                </w:p>
              </w:tc>
              <w:tc>
                <w:tcPr>
                  <w:tcW w:w="1133" w:type="dxa"/>
                  <w:tcBorders>
                    <w:tl2br w:val="nil"/>
                    <w:tr2bl w:val="nil"/>
                  </w:tcBorders>
                  <w:vAlign w:val="center"/>
                </w:tcPr>
                <w:p w14:paraId="6E4847DC">
                  <w:pPr>
                    <w:pStyle w:val="30"/>
                    <w:widowControl/>
                    <w:spacing w:line="240" w:lineRule="auto"/>
                    <w:ind w:firstLine="0" w:firstLineChars="0"/>
                    <w:jc w:val="center"/>
                    <w:rPr>
                      <w:rFonts w:eastAsia="宋体"/>
                      <w:sz w:val="21"/>
                    </w:rPr>
                  </w:pPr>
                  <w:r>
                    <w:rPr>
                      <w:rFonts w:hint="eastAsia" w:eastAsia="宋体"/>
                      <w:sz w:val="21"/>
                    </w:rPr>
                    <w:t>378m</w:t>
                  </w:r>
                </w:p>
              </w:tc>
              <w:tc>
                <w:tcPr>
                  <w:tcW w:w="1019" w:type="dxa"/>
                  <w:tcBorders>
                    <w:tl2br w:val="nil"/>
                    <w:tr2bl w:val="nil"/>
                  </w:tcBorders>
                  <w:vAlign w:val="center"/>
                </w:tcPr>
                <w:p w14:paraId="65F9AB98">
                  <w:pPr>
                    <w:pStyle w:val="30"/>
                    <w:widowControl/>
                    <w:spacing w:line="240" w:lineRule="auto"/>
                    <w:ind w:firstLine="0" w:firstLineChars="0"/>
                    <w:jc w:val="center"/>
                    <w:rPr>
                      <w:rFonts w:eastAsia="宋体"/>
                      <w:sz w:val="21"/>
                    </w:rPr>
                  </w:pPr>
                  <w:r>
                    <w:rPr>
                      <w:rFonts w:hint="eastAsia" w:eastAsia="宋体"/>
                      <w:sz w:val="21"/>
                    </w:rPr>
                    <w:t>学校</w:t>
                  </w:r>
                </w:p>
              </w:tc>
              <w:tc>
                <w:tcPr>
                  <w:tcW w:w="1225" w:type="dxa"/>
                  <w:tcBorders>
                    <w:tl2br w:val="nil"/>
                    <w:tr2bl w:val="nil"/>
                  </w:tcBorders>
                  <w:vAlign w:val="center"/>
                </w:tcPr>
                <w:p w14:paraId="3638DCFB">
                  <w:pPr>
                    <w:pStyle w:val="30"/>
                    <w:widowControl/>
                    <w:spacing w:line="240" w:lineRule="auto"/>
                    <w:ind w:firstLine="0" w:firstLineChars="0"/>
                    <w:jc w:val="center"/>
                    <w:rPr>
                      <w:rFonts w:eastAsia="宋体"/>
                      <w:sz w:val="21"/>
                    </w:rPr>
                  </w:pPr>
                  <w:r>
                    <w:rPr>
                      <w:rFonts w:hint="eastAsia" w:eastAsia="宋体"/>
                      <w:sz w:val="21"/>
                    </w:rPr>
                    <w:t>约</w:t>
                  </w:r>
                  <w:r>
                    <w:rPr>
                      <w:rFonts w:eastAsia="宋体"/>
                      <w:sz w:val="21"/>
                    </w:rPr>
                    <w:t>2425人</w:t>
                  </w:r>
                </w:p>
              </w:tc>
              <w:tc>
                <w:tcPr>
                  <w:tcW w:w="1225" w:type="dxa"/>
                  <w:vMerge w:val="continue"/>
                  <w:tcBorders>
                    <w:tl2br w:val="nil"/>
                    <w:tr2bl w:val="nil"/>
                  </w:tcBorders>
                  <w:vAlign w:val="center"/>
                </w:tcPr>
                <w:p w14:paraId="3E825F34">
                  <w:pPr>
                    <w:pStyle w:val="30"/>
                    <w:widowControl/>
                    <w:spacing w:line="240" w:lineRule="auto"/>
                    <w:ind w:firstLine="0" w:firstLineChars="0"/>
                    <w:jc w:val="center"/>
                    <w:rPr>
                      <w:rFonts w:eastAsia="宋体"/>
                      <w:sz w:val="21"/>
                    </w:rPr>
                  </w:pPr>
                </w:p>
              </w:tc>
            </w:tr>
            <w:tr w14:paraId="558F62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34C2A229">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29D3E061">
                  <w:pPr>
                    <w:pStyle w:val="30"/>
                    <w:widowControl/>
                    <w:spacing w:line="240" w:lineRule="auto"/>
                    <w:ind w:firstLine="0" w:firstLineChars="0"/>
                    <w:jc w:val="center"/>
                    <w:rPr>
                      <w:rFonts w:eastAsia="宋体"/>
                      <w:sz w:val="21"/>
                    </w:rPr>
                  </w:pPr>
                  <w:r>
                    <w:rPr>
                      <w:rFonts w:hint="eastAsia" w:eastAsia="宋体"/>
                      <w:sz w:val="21"/>
                    </w:rPr>
                    <w:t>东怡苑小区</w:t>
                  </w:r>
                </w:p>
              </w:tc>
              <w:tc>
                <w:tcPr>
                  <w:tcW w:w="1784" w:type="dxa"/>
                  <w:tcBorders>
                    <w:tl2br w:val="nil"/>
                    <w:tr2bl w:val="nil"/>
                  </w:tcBorders>
                  <w:vAlign w:val="center"/>
                </w:tcPr>
                <w:p w14:paraId="4053A8C7">
                  <w:pPr>
                    <w:pStyle w:val="30"/>
                    <w:widowControl/>
                    <w:spacing w:line="240" w:lineRule="auto"/>
                    <w:ind w:firstLine="0" w:firstLineChars="0"/>
                    <w:jc w:val="center"/>
                    <w:rPr>
                      <w:rFonts w:eastAsia="宋体"/>
                      <w:sz w:val="21"/>
                    </w:rPr>
                  </w:pPr>
                  <w:r>
                    <w:rPr>
                      <w:rFonts w:hint="eastAsia" w:eastAsia="宋体"/>
                      <w:sz w:val="21"/>
                    </w:rPr>
                    <w:t>项目河段起点右岸西侧</w:t>
                  </w:r>
                </w:p>
              </w:tc>
              <w:tc>
                <w:tcPr>
                  <w:tcW w:w="1133" w:type="dxa"/>
                  <w:tcBorders>
                    <w:tl2br w:val="nil"/>
                    <w:tr2bl w:val="nil"/>
                  </w:tcBorders>
                  <w:vAlign w:val="center"/>
                </w:tcPr>
                <w:p w14:paraId="647EB554">
                  <w:pPr>
                    <w:pStyle w:val="30"/>
                    <w:widowControl/>
                    <w:spacing w:line="240" w:lineRule="auto"/>
                    <w:ind w:firstLine="0" w:firstLineChars="0"/>
                    <w:jc w:val="center"/>
                    <w:rPr>
                      <w:rFonts w:eastAsia="宋体"/>
                      <w:sz w:val="21"/>
                    </w:rPr>
                  </w:pPr>
                  <w:r>
                    <w:rPr>
                      <w:rFonts w:hint="eastAsia" w:eastAsia="宋体"/>
                      <w:sz w:val="21"/>
                    </w:rPr>
                    <w:t>20-490m</w:t>
                  </w:r>
                </w:p>
              </w:tc>
              <w:tc>
                <w:tcPr>
                  <w:tcW w:w="1019" w:type="dxa"/>
                  <w:tcBorders>
                    <w:tl2br w:val="nil"/>
                    <w:tr2bl w:val="nil"/>
                  </w:tcBorders>
                  <w:vAlign w:val="center"/>
                </w:tcPr>
                <w:p w14:paraId="6BFF4BF4">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3C11B3D2">
                  <w:pPr>
                    <w:pStyle w:val="30"/>
                    <w:widowControl/>
                    <w:spacing w:line="240" w:lineRule="auto"/>
                    <w:ind w:firstLine="0" w:firstLineChars="0"/>
                    <w:jc w:val="center"/>
                    <w:rPr>
                      <w:rFonts w:eastAsia="宋体"/>
                      <w:sz w:val="21"/>
                    </w:rPr>
                  </w:pPr>
                  <w:r>
                    <w:rPr>
                      <w:rFonts w:eastAsia="宋体"/>
                      <w:sz w:val="21"/>
                    </w:rPr>
                    <w:t>126户</w:t>
                  </w:r>
                  <w:r>
                    <w:rPr>
                      <w:rFonts w:hint="eastAsia" w:eastAsia="宋体"/>
                      <w:sz w:val="21"/>
                    </w:rPr>
                    <w:t>，约400人</w:t>
                  </w:r>
                </w:p>
              </w:tc>
              <w:tc>
                <w:tcPr>
                  <w:tcW w:w="1225" w:type="dxa"/>
                  <w:vMerge w:val="continue"/>
                  <w:tcBorders>
                    <w:tl2br w:val="nil"/>
                    <w:tr2bl w:val="nil"/>
                  </w:tcBorders>
                  <w:vAlign w:val="center"/>
                </w:tcPr>
                <w:p w14:paraId="0E2C5396">
                  <w:pPr>
                    <w:pStyle w:val="30"/>
                    <w:widowControl/>
                    <w:spacing w:line="240" w:lineRule="auto"/>
                    <w:ind w:firstLine="0" w:firstLineChars="0"/>
                    <w:jc w:val="center"/>
                    <w:rPr>
                      <w:rFonts w:eastAsia="宋体"/>
                      <w:sz w:val="21"/>
                    </w:rPr>
                  </w:pPr>
                </w:p>
              </w:tc>
            </w:tr>
            <w:tr w14:paraId="2EBE3C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78B848DF">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50D0923D">
                  <w:pPr>
                    <w:pStyle w:val="30"/>
                    <w:widowControl/>
                    <w:spacing w:line="240" w:lineRule="auto"/>
                    <w:ind w:firstLine="0" w:firstLineChars="0"/>
                    <w:jc w:val="center"/>
                    <w:rPr>
                      <w:rFonts w:eastAsia="宋体"/>
                      <w:sz w:val="21"/>
                    </w:rPr>
                  </w:pPr>
                  <w:r>
                    <w:rPr>
                      <w:rFonts w:hint="eastAsia" w:eastAsia="宋体"/>
                      <w:sz w:val="21"/>
                    </w:rPr>
                    <w:t>惠民苑小区</w:t>
                  </w:r>
                </w:p>
              </w:tc>
              <w:tc>
                <w:tcPr>
                  <w:tcW w:w="1784" w:type="dxa"/>
                  <w:tcBorders>
                    <w:tl2br w:val="nil"/>
                    <w:tr2bl w:val="nil"/>
                  </w:tcBorders>
                  <w:vAlign w:val="center"/>
                </w:tcPr>
                <w:p w14:paraId="6C87187B">
                  <w:pPr>
                    <w:pStyle w:val="30"/>
                    <w:widowControl/>
                    <w:spacing w:line="240" w:lineRule="auto"/>
                    <w:ind w:firstLine="0" w:firstLineChars="0"/>
                    <w:jc w:val="center"/>
                    <w:rPr>
                      <w:rFonts w:eastAsia="宋体"/>
                      <w:sz w:val="21"/>
                    </w:rPr>
                  </w:pPr>
                  <w:r>
                    <w:rPr>
                      <w:rFonts w:hint="eastAsia" w:eastAsia="宋体"/>
                      <w:sz w:val="21"/>
                    </w:rPr>
                    <w:t>项目河段起点右岸西南侧</w:t>
                  </w:r>
                </w:p>
              </w:tc>
              <w:tc>
                <w:tcPr>
                  <w:tcW w:w="1133" w:type="dxa"/>
                  <w:tcBorders>
                    <w:tl2br w:val="nil"/>
                    <w:tr2bl w:val="nil"/>
                  </w:tcBorders>
                  <w:vAlign w:val="center"/>
                </w:tcPr>
                <w:p w14:paraId="15C31D39">
                  <w:pPr>
                    <w:pStyle w:val="30"/>
                    <w:widowControl/>
                    <w:spacing w:line="240" w:lineRule="auto"/>
                    <w:ind w:firstLine="0" w:firstLineChars="0"/>
                    <w:jc w:val="center"/>
                    <w:rPr>
                      <w:rFonts w:eastAsia="宋体"/>
                      <w:sz w:val="21"/>
                    </w:rPr>
                  </w:pPr>
                  <w:r>
                    <w:rPr>
                      <w:rFonts w:hint="eastAsia" w:eastAsia="宋体"/>
                      <w:sz w:val="21"/>
                    </w:rPr>
                    <w:t>107-374m</w:t>
                  </w:r>
                </w:p>
              </w:tc>
              <w:tc>
                <w:tcPr>
                  <w:tcW w:w="1019" w:type="dxa"/>
                  <w:tcBorders>
                    <w:tl2br w:val="nil"/>
                    <w:tr2bl w:val="nil"/>
                  </w:tcBorders>
                  <w:vAlign w:val="center"/>
                </w:tcPr>
                <w:p w14:paraId="7944D4F7">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60AB0FF3">
                  <w:pPr>
                    <w:pStyle w:val="30"/>
                    <w:widowControl/>
                    <w:spacing w:line="240" w:lineRule="auto"/>
                    <w:ind w:firstLine="0" w:firstLineChars="0"/>
                    <w:jc w:val="center"/>
                    <w:rPr>
                      <w:rFonts w:eastAsia="宋体"/>
                      <w:sz w:val="21"/>
                    </w:rPr>
                  </w:pPr>
                  <w:r>
                    <w:rPr>
                      <w:rFonts w:eastAsia="宋体"/>
                      <w:sz w:val="21"/>
                    </w:rPr>
                    <w:t>216户</w:t>
                  </w:r>
                  <w:r>
                    <w:rPr>
                      <w:rFonts w:hint="eastAsia" w:eastAsia="宋体"/>
                      <w:sz w:val="21"/>
                    </w:rPr>
                    <w:t>，约680人</w:t>
                  </w:r>
                </w:p>
              </w:tc>
              <w:tc>
                <w:tcPr>
                  <w:tcW w:w="1225" w:type="dxa"/>
                  <w:vMerge w:val="continue"/>
                  <w:tcBorders>
                    <w:tl2br w:val="nil"/>
                    <w:tr2bl w:val="nil"/>
                  </w:tcBorders>
                  <w:vAlign w:val="center"/>
                </w:tcPr>
                <w:p w14:paraId="1D8FBFCF">
                  <w:pPr>
                    <w:pStyle w:val="30"/>
                    <w:widowControl/>
                    <w:spacing w:line="240" w:lineRule="auto"/>
                    <w:ind w:firstLine="0" w:firstLineChars="0"/>
                    <w:jc w:val="center"/>
                    <w:rPr>
                      <w:rFonts w:eastAsia="宋体"/>
                      <w:sz w:val="21"/>
                    </w:rPr>
                  </w:pPr>
                </w:p>
              </w:tc>
            </w:tr>
            <w:tr w14:paraId="146735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532674BF">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055996B6">
                  <w:pPr>
                    <w:pStyle w:val="30"/>
                    <w:widowControl/>
                    <w:spacing w:line="240" w:lineRule="auto"/>
                    <w:ind w:firstLine="0" w:firstLineChars="0"/>
                    <w:jc w:val="center"/>
                    <w:rPr>
                      <w:rFonts w:eastAsia="宋体"/>
                      <w:sz w:val="21"/>
                    </w:rPr>
                  </w:pPr>
                  <w:r>
                    <w:rPr>
                      <w:rFonts w:hint="eastAsia" w:eastAsia="宋体"/>
                      <w:sz w:val="21"/>
                    </w:rPr>
                    <w:t>和平园</w:t>
                  </w:r>
                </w:p>
              </w:tc>
              <w:tc>
                <w:tcPr>
                  <w:tcW w:w="1784" w:type="dxa"/>
                  <w:tcBorders>
                    <w:tl2br w:val="nil"/>
                    <w:tr2bl w:val="nil"/>
                  </w:tcBorders>
                  <w:vAlign w:val="center"/>
                </w:tcPr>
                <w:p w14:paraId="58F776FE">
                  <w:pPr>
                    <w:pStyle w:val="30"/>
                    <w:widowControl/>
                    <w:spacing w:line="240" w:lineRule="auto"/>
                    <w:ind w:firstLine="0" w:firstLineChars="0"/>
                    <w:jc w:val="center"/>
                    <w:rPr>
                      <w:rFonts w:eastAsia="宋体"/>
                      <w:sz w:val="21"/>
                    </w:rPr>
                  </w:pPr>
                  <w:r>
                    <w:rPr>
                      <w:rFonts w:hint="eastAsia" w:eastAsia="宋体"/>
                      <w:sz w:val="21"/>
                    </w:rPr>
                    <w:t>项目河段起点右岸西南侧</w:t>
                  </w:r>
                </w:p>
              </w:tc>
              <w:tc>
                <w:tcPr>
                  <w:tcW w:w="1133" w:type="dxa"/>
                  <w:tcBorders>
                    <w:tl2br w:val="nil"/>
                    <w:tr2bl w:val="nil"/>
                  </w:tcBorders>
                  <w:vAlign w:val="center"/>
                </w:tcPr>
                <w:p w14:paraId="289CD4ED">
                  <w:pPr>
                    <w:pStyle w:val="30"/>
                    <w:widowControl/>
                    <w:spacing w:line="240" w:lineRule="auto"/>
                    <w:ind w:firstLine="0" w:firstLineChars="0"/>
                    <w:jc w:val="center"/>
                    <w:rPr>
                      <w:rFonts w:eastAsia="宋体"/>
                      <w:sz w:val="21"/>
                    </w:rPr>
                  </w:pPr>
                  <w:r>
                    <w:rPr>
                      <w:rFonts w:hint="eastAsia" w:eastAsia="宋体"/>
                      <w:sz w:val="21"/>
                    </w:rPr>
                    <w:t>382-571m</w:t>
                  </w:r>
                </w:p>
              </w:tc>
              <w:tc>
                <w:tcPr>
                  <w:tcW w:w="1019" w:type="dxa"/>
                  <w:tcBorders>
                    <w:tl2br w:val="nil"/>
                    <w:tr2bl w:val="nil"/>
                  </w:tcBorders>
                  <w:vAlign w:val="center"/>
                </w:tcPr>
                <w:p w14:paraId="23A15C18">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0056CFF3">
                  <w:pPr>
                    <w:pStyle w:val="30"/>
                    <w:widowControl/>
                    <w:spacing w:line="240" w:lineRule="auto"/>
                    <w:ind w:firstLine="0" w:firstLineChars="0"/>
                    <w:jc w:val="center"/>
                    <w:rPr>
                      <w:rFonts w:eastAsia="宋体"/>
                      <w:sz w:val="21"/>
                    </w:rPr>
                  </w:pPr>
                  <w:r>
                    <w:rPr>
                      <w:rFonts w:eastAsia="宋体"/>
                      <w:sz w:val="21"/>
                    </w:rPr>
                    <w:t>96户，约300人</w:t>
                  </w:r>
                </w:p>
              </w:tc>
              <w:tc>
                <w:tcPr>
                  <w:tcW w:w="1225" w:type="dxa"/>
                  <w:vMerge w:val="continue"/>
                  <w:tcBorders>
                    <w:tl2br w:val="nil"/>
                    <w:tr2bl w:val="nil"/>
                  </w:tcBorders>
                  <w:vAlign w:val="center"/>
                </w:tcPr>
                <w:p w14:paraId="1D745ED8">
                  <w:pPr>
                    <w:pStyle w:val="30"/>
                    <w:widowControl/>
                    <w:spacing w:line="240" w:lineRule="auto"/>
                    <w:ind w:firstLine="0" w:firstLineChars="0"/>
                    <w:jc w:val="center"/>
                    <w:rPr>
                      <w:rFonts w:eastAsia="宋体"/>
                      <w:sz w:val="21"/>
                    </w:rPr>
                  </w:pPr>
                </w:p>
              </w:tc>
            </w:tr>
            <w:tr w14:paraId="431335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567B433D">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51CF64A9">
                  <w:pPr>
                    <w:pStyle w:val="30"/>
                    <w:widowControl/>
                    <w:spacing w:line="240" w:lineRule="auto"/>
                    <w:ind w:firstLine="0" w:firstLineChars="0"/>
                    <w:jc w:val="center"/>
                    <w:rPr>
                      <w:rFonts w:eastAsia="宋体"/>
                      <w:sz w:val="21"/>
                    </w:rPr>
                  </w:pPr>
                  <w:r>
                    <w:rPr>
                      <w:rFonts w:hint="eastAsia" w:eastAsia="宋体"/>
                      <w:sz w:val="21"/>
                    </w:rPr>
                    <w:t>柏瑞四季</w:t>
                  </w:r>
                </w:p>
              </w:tc>
              <w:tc>
                <w:tcPr>
                  <w:tcW w:w="1784" w:type="dxa"/>
                  <w:tcBorders>
                    <w:tl2br w:val="nil"/>
                    <w:tr2bl w:val="nil"/>
                  </w:tcBorders>
                  <w:vAlign w:val="center"/>
                </w:tcPr>
                <w:p w14:paraId="1C5577A5">
                  <w:pPr>
                    <w:pStyle w:val="30"/>
                    <w:widowControl/>
                    <w:spacing w:line="240" w:lineRule="auto"/>
                    <w:ind w:firstLine="0" w:firstLineChars="0"/>
                    <w:jc w:val="center"/>
                    <w:rPr>
                      <w:rFonts w:eastAsia="宋体"/>
                      <w:sz w:val="21"/>
                    </w:rPr>
                  </w:pPr>
                  <w:r>
                    <w:rPr>
                      <w:rFonts w:hint="eastAsia" w:eastAsia="宋体"/>
                      <w:sz w:val="21"/>
                    </w:rPr>
                    <w:t>项目河段起点左岸东北侧</w:t>
                  </w:r>
                </w:p>
              </w:tc>
              <w:tc>
                <w:tcPr>
                  <w:tcW w:w="1133" w:type="dxa"/>
                  <w:tcBorders>
                    <w:tl2br w:val="nil"/>
                    <w:tr2bl w:val="nil"/>
                  </w:tcBorders>
                  <w:vAlign w:val="center"/>
                </w:tcPr>
                <w:p w14:paraId="15DBBD06">
                  <w:pPr>
                    <w:pStyle w:val="30"/>
                    <w:widowControl/>
                    <w:spacing w:line="240" w:lineRule="auto"/>
                    <w:ind w:firstLine="0" w:firstLineChars="0"/>
                    <w:jc w:val="center"/>
                    <w:rPr>
                      <w:rFonts w:eastAsia="宋体"/>
                      <w:sz w:val="21"/>
                    </w:rPr>
                  </w:pPr>
                  <w:r>
                    <w:rPr>
                      <w:rFonts w:hint="eastAsia" w:eastAsia="宋体"/>
                      <w:sz w:val="21"/>
                    </w:rPr>
                    <w:t>30-200m</w:t>
                  </w:r>
                </w:p>
              </w:tc>
              <w:tc>
                <w:tcPr>
                  <w:tcW w:w="1019" w:type="dxa"/>
                  <w:tcBorders>
                    <w:tl2br w:val="nil"/>
                    <w:tr2bl w:val="nil"/>
                  </w:tcBorders>
                  <w:vAlign w:val="center"/>
                </w:tcPr>
                <w:p w14:paraId="29EF5EFB">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5F1B87D1">
                  <w:pPr>
                    <w:pStyle w:val="30"/>
                    <w:widowControl/>
                    <w:spacing w:line="240" w:lineRule="auto"/>
                    <w:ind w:firstLine="0" w:firstLineChars="0"/>
                    <w:jc w:val="center"/>
                    <w:rPr>
                      <w:rFonts w:eastAsia="宋体"/>
                      <w:sz w:val="21"/>
                    </w:rPr>
                  </w:pPr>
                  <w:r>
                    <w:rPr>
                      <w:rFonts w:eastAsia="宋体"/>
                      <w:sz w:val="21"/>
                    </w:rPr>
                    <w:t>2458户，约8200人</w:t>
                  </w:r>
                </w:p>
              </w:tc>
              <w:tc>
                <w:tcPr>
                  <w:tcW w:w="1225" w:type="dxa"/>
                  <w:vMerge w:val="continue"/>
                  <w:tcBorders>
                    <w:tl2br w:val="nil"/>
                    <w:tr2bl w:val="nil"/>
                  </w:tcBorders>
                  <w:vAlign w:val="center"/>
                </w:tcPr>
                <w:p w14:paraId="3E364574">
                  <w:pPr>
                    <w:pStyle w:val="30"/>
                    <w:widowControl/>
                    <w:spacing w:line="240" w:lineRule="auto"/>
                    <w:ind w:firstLine="0" w:firstLineChars="0"/>
                    <w:jc w:val="center"/>
                    <w:rPr>
                      <w:rFonts w:eastAsia="宋体"/>
                      <w:sz w:val="21"/>
                    </w:rPr>
                  </w:pPr>
                </w:p>
              </w:tc>
            </w:tr>
            <w:tr w14:paraId="44CFFF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52F95355">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41FED52C">
                  <w:pPr>
                    <w:pStyle w:val="30"/>
                    <w:widowControl/>
                    <w:spacing w:line="240" w:lineRule="auto"/>
                    <w:ind w:firstLine="0" w:firstLineChars="0"/>
                    <w:jc w:val="center"/>
                    <w:rPr>
                      <w:rFonts w:eastAsia="宋体"/>
                      <w:sz w:val="21"/>
                    </w:rPr>
                  </w:pPr>
                  <w:r>
                    <w:rPr>
                      <w:rFonts w:hint="eastAsia" w:eastAsia="宋体"/>
                      <w:sz w:val="21"/>
                    </w:rPr>
                    <w:t>怡景花园</w:t>
                  </w:r>
                </w:p>
              </w:tc>
              <w:tc>
                <w:tcPr>
                  <w:tcW w:w="1784" w:type="dxa"/>
                  <w:tcBorders>
                    <w:tl2br w:val="nil"/>
                    <w:tr2bl w:val="nil"/>
                  </w:tcBorders>
                  <w:vAlign w:val="center"/>
                </w:tcPr>
                <w:p w14:paraId="6844C509">
                  <w:pPr>
                    <w:pStyle w:val="30"/>
                    <w:widowControl/>
                    <w:spacing w:line="240" w:lineRule="auto"/>
                    <w:ind w:firstLine="0" w:firstLineChars="0"/>
                    <w:jc w:val="center"/>
                    <w:rPr>
                      <w:rFonts w:eastAsia="宋体"/>
                      <w:sz w:val="21"/>
                    </w:rPr>
                  </w:pPr>
                  <w:r>
                    <w:rPr>
                      <w:rFonts w:hint="eastAsia" w:eastAsia="宋体"/>
                      <w:sz w:val="21"/>
                    </w:rPr>
                    <w:t>项目河段起点左岸东南侧</w:t>
                  </w:r>
                </w:p>
              </w:tc>
              <w:tc>
                <w:tcPr>
                  <w:tcW w:w="1133" w:type="dxa"/>
                  <w:tcBorders>
                    <w:tl2br w:val="nil"/>
                    <w:tr2bl w:val="nil"/>
                  </w:tcBorders>
                  <w:vAlign w:val="center"/>
                </w:tcPr>
                <w:p w14:paraId="3147D21F">
                  <w:pPr>
                    <w:pStyle w:val="30"/>
                    <w:widowControl/>
                    <w:spacing w:line="240" w:lineRule="auto"/>
                    <w:ind w:firstLine="0" w:firstLineChars="0"/>
                    <w:jc w:val="center"/>
                    <w:rPr>
                      <w:rFonts w:eastAsia="宋体"/>
                      <w:sz w:val="21"/>
                    </w:rPr>
                  </w:pPr>
                  <w:r>
                    <w:rPr>
                      <w:rFonts w:hint="eastAsia" w:eastAsia="宋体"/>
                      <w:sz w:val="21"/>
                    </w:rPr>
                    <w:t>178-430m</w:t>
                  </w:r>
                </w:p>
              </w:tc>
              <w:tc>
                <w:tcPr>
                  <w:tcW w:w="1019" w:type="dxa"/>
                  <w:tcBorders>
                    <w:tl2br w:val="nil"/>
                    <w:tr2bl w:val="nil"/>
                  </w:tcBorders>
                  <w:vAlign w:val="center"/>
                </w:tcPr>
                <w:p w14:paraId="2B54BFA9">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6D498C69">
                  <w:pPr>
                    <w:pStyle w:val="30"/>
                    <w:widowControl/>
                    <w:spacing w:line="240" w:lineRule="auto"/>
                    <w:ind w:firstLine="0" w:firstLineChars="0"/>
                    <w:jc w:val="center"/>
                    <w:rPr>
                      <w:rFonts w:eastAsia="宋体"/>
                      <w:sz w:val="21"/>
                    </w:rPr>
                  </w:pPr>
                  <w:r>
                    <w:rPr>
                      <w:rFonts w:eastAsia="宋体"/>
                      <w:sz w:val="21"/>
                    </w:rPr>
                    <w:t>486户，约1630人</w:t>
                  </w:r>
                </w:p>
              </w:tc>
              <w:tc>
                <w:tcPr>
                  <w:tcW w:w="1225" w:type="dxa"/>
                  <w:vMerge w:val="continue"/>
                  <w:tcBorders>
                    <w:tl2br w:val="nil"/>
                    <w:tr2bl w:val="nil"/>
                  </w:tcBorders>
                  <w:vAlign w:val="center"/>
                </w:tcPr>
                <w:p w14:paraId="399C8611">
                  <w:pPr>
                    <w:pStyle w:val="30"/>
                    <w:widowControl/>
                    <w:spacing w:line="240" w:lineRule="auto"/>
                    <w:ind w:firstLine="0" w:firstLineChars="0"/>
                    <w:jc w:val="center"/>
                    <w:rPr>
                      <w:rFonts w:eastAsia="宋体"/>
                      <w:sz w:val="21"/>
                    </w:rPr>
                  </w:pPr>
                </w:p>
              </w:tc>
            </w:tr>
            <w:tr w14:paraId="1CE0E0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vMerge w:val="continue"/>
                  <w:tcBorders>
                    <w:tl2br w:val="nil"/>
                    <w:tr2bl w:val="nil"/>
                  </w:tcBorders>
                  <w:vAlign w:val="center"/>
                </w:tcPr>
                <w:p w14:paraId="7A8ED24C">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5426B5C1">
                  <w:pPr>
                    <w:pStyle w:val="30"/>
                    <w:widowControl/>
                    <w:spacing w:line="240" w:lineRule="auto"/>
                    <w:ind w:firstLine="0" w:firstLineChars="0"/>
                    <w:jc w:val="center"/>
                    <w:rPr>
                      <w:rFonts w:eastAsia="宋体"/>
                      <w:sz w:val="21"/>
                    </w:rPr>
                  </w:pPr>
                  <w:r>
                    <w:rPr>
                      <w:rFonts w:hint="eastAsia" w:eastAsia="宋体"/>
                      <w:sz w:val="21"/>
                    </w:rPr>
                    <w:t>玉堂街78号</w:t>
                  </w:r>
                </w:p>
              </w:tc>
              <w:tc>
                <w:tcPr>
                  <w:tcW w:w="1784" w:type="dxa"/>
                  <w:tcBorders>
                    <w:tl2br w:val="nil"/>
                    <w:tr2bl w:val="nil"/>
                  </w:tcBorders>
                  <w:shd w:val="clear" w:color="auto" w:fill="auto"/>
                  <w:vAlign w:val="center"/>
                </w:tcPr>
                <w:p w14:paraId="6C178899">
                  <w:pPr>
                    <w:pStyle w:val="30"/>
                    <w:widowControl/>
                    <w:spacing w:line="240" w:lineRule="auto"/>
                    <w:ind w:firstLine="0" w:firstLineChars="0"/>
                    <w:jc w:val="center"/>
                    <w:rPr>
                      <w:rFonts w:eastAsia="宋体"/>
                      <w:sz w:val="21"/>
                    </w:rPr>
                  </w:pPr>
                  <w:r>
                    <w:rPr>
                      <w:rFonts w:hint="eastAsia" w:eastAsia="宋体"/>
                      <w:sz w:val="21"/>
                    </w:rPr>
                    <w:t>项目河段左岸起点东侧</w:t>
                  </w:r>
                </w:p>
              </w:tc>
              <w:tc>
                <w:tcPr>
                  <w:tcW w:w="1133" w:type="dxa"/>
                  <w:tcBorders>
                    <w:tl2br w:val="nil"/>
                    <w:tr2bl w:val="nil"/>
                  </w:tcBorders>
                  <w:vAlign w:val="center"/>
                </w:tcPr>
                <w:p w14:paraId="5DE04D77">
                  <w:pPr>
                    <w:pStyle w:val="30"/>
                    <w:widowControl/>
                    <w:spacing w:line="240" w:lineRule="auto"/>
                    <w:ind w:firstLine="0" w:firstLineChars="0"/>
                    <w:jc w:val="center"/>
                    <w:rPr>
                      <w:rFonts w:eastAsia="宋体"/>
                      <w:sz w:val="21"/>
                    </w:rPr>
                  </w:pPr>
                  <w:r>
                    <w:rPr>
                      <w:rFonts w:hint="eastAsia" w:eastAsia="宋体"/>
                      <w:sz w:val="21"/>
                    </w:rPr>
                    <w:t>143-523m</w:t>
                  </w:r>
                </w:p>
              </w:tc>
              <w:tc>
                <w:tcPr>
                  <w:tcW w:w="1019" w:type="dxa"/>
                  <w:tcBorders>
                    <w:tl2br w:val="nil"/>
                    <w:tr2bl w:val="nil"/>
                  </w:tcBorders>
                  <w:vAlign w:val="center"/>
                </w:tcPr>
                <w:p w14:paraId="0108C00D">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47BC62D4">
                  <w:pPr>
                    <w:pStyle w:val="30"/>
                    <w:widowControl/>
                    <w:spacing w:line="240" w:lineRule="auto"/>
                    <w:ind w:firstLine="0" w:firstLineChars="0"/>
                    <w:jc w:val="center"/>
                    <w:rPr>
                      <w:rFonts w:eastAsia="宋体"/>
                      <w:sz w:val="21"/>
                    </w:rPr>
                  </w:pPr>
                  <w:r>
                    <w:rPr>
                      <w:rFonts w:eastAsia="宋体"/>
                      <w:sz w:val="21"/>
                    </w:rPr>
                    <w:t>132户，约420人</w:t>
                  </w:r>
                </w:p>
              </w:tc>
              <w:tc>
                <w:tcPr>
                  <w:tcW w:w="1225" w:type="dxa"/>
                  <w:vMerge w:val="continue"/>
                  <w:tcBorders>
                    <w:tl2br w:val="nil"/>
                    <w:tr2bl w:val="nil"/>
                  </w:tcBorders>
                  <w:vAlign w:val="center"/>
                </w:tcPr>
                <w:p w14:paraId="21282A06">
                  <w:pPr>
                    <w:pStyle w:val="30"/>
                    <w:widowControl/>
                    <w:spacing w:line="240" w:lineRule="auto"/>
                    <w:ind w:firstLine="0" w:firstLineChars="0"/>
                    <w:jc w:val="center"/>
                    <w:rPr>
                      <w:rFonts w:eastAsia="宋体"/>
                      <w:sz w:val="21"/>
                    </w:rPr>
                  </w:pPr>
                </w:p>
              </w:tc>
            </w:tr>
            <w:tr w14:paraId="351893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7A09C5AF">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63F1B100">
                  <w:pPr>
                    <w:pStyle w:val="30"/>
                    <w:widowControl/>
                    <w:spacing w:line="240" w:lineRule="auto"/>
                    <w:ind w:firstLine="0" w:firstLineChars="0"/>
                    <w:jc w:val="center"/>
                    <w:rPr>
                      <w:rFonts w:eastAsia="宋体"/>
                      <w:sz w:val="21"/>
                    </w:rPr>
                  </w:pPr>
                  <w:r>
                    <w:rPr>
                      <w:rFonts w:hint="eastAsia" w:eastAsia="宋体"/>
                      <w:sz w:val="21"/>
                    </w:rPr>
                    <w:t>浅水湾</w:t>
                  </w:r>
                </w:p>
              </w:tc>
              <w:tc>
                <w:tcPr>
                  <w:tcW w:w="1784" w:type="dxa"/>
                  <w:tcBorders>
                    <w:tl2br w:val="nil"/>
                    <w:tr2bl w:val="nil"/>
                  </w:tcBorders>
                  <w:shd w:val="clear" w:color="auto" w:fill="auto"/>
                  <w:vAlign w:val="center"/>
                </w:tcPr>
                <w:p w14:paraId="4A203287">
                  <w:pPr>
                    <w:pStyle w:val="30"/>
                    <w:widowControl/>
                    <w:spacing w:line="240" w:lineRule="auto"/>
                    <w:ind w:firstLine="0" w:firstLineChars="0"/>
                    <w:jc w:val="center"/>
                    <w:rPr>
                      <w:rFonts w:eastAsia="宋体"/>
                      <w:sz w:val="21"/>
                    </w:rPr>
                  </w:pPr>
                  <w:r>
                    <w:rPr>
                      <w:rFonts w:hint="eastAsia" w:eastAsia="宋体"/>
                      <w:sz w:val="21"/>
                    </w:rPr>
                    <w:t>项目河段檬子河大桥左岸东北侧</w:t>
                  </w:r>
                </w:p>
              </w:tc>
              <w:tc>
                <w:tcPr>
                  <w:tcW w:w="1133" w:type="dxa"/>
                  <w:tcBorders>
                    <w:tl2br w:val="nil"/>
                    <w:tr2bl w:val="nil"/>
                  </w:tcBorders>
                  <w:vAlign w:val="center"/>
                </w:tcPr>
                <w:p w14:paraId="503F439A">
                  <w:pPr>
                    <w:pStyle w:val="30"/>
                    <w:widowControl/>
                    <w:spacing w:line="240" w:lineRule="auto"/>
                    <w:ind w:firstLine="0" w:firstLineChars="0"/>
                    <w:jc w:val="center"/>
                    <w:rPr>
                      <w:rFonts w:eastAsia="宋体"/>
                      <w:sz w:val="21"/>
                    </w:rPr>
                  </w:pPr>
                  <w:r>
                    <w:rPr>
                      <w:rFonts w:hint="eastAsia" w:eastAsia="宋体"/>
                      <w:sz w:val="21"/>
                    </w:rPr>
                    <w:t>50-314m</w:t>
                  </w:r>
                </w:p>
              </w:tc>
              <w:tc>
                <w:tcPr>
                  <w:tcW w:w="1019" w:type="dxa"/>
                  <w:tcBorders>
                    <w:tl2br w:val="nil"/>
                    <w:tr2bl w:val="nil"/>
                  </w:tcBorders>
                  <w:vAlign w:val="center"/>
                </w:tcPr>
                <w:p w14:paraId="26114DA1">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00DBD56F">
                  <w:pPr>
                    <w:pStyle w:val="30"/>
                    <w:widowControl/>
                    <w:spacing w:line="240" w:lineRule="auto"/>
                    <w:ind w:firstLine="0" w:firstLineChars="0"/>
                    <w:jc w:val="center"/>
                    <w:rPr>
                      <w:rFonts w:eastAsia="宋体"/>
                      <w:sz w:val="21"/>
                    </w:rPr>
                  </w:pPr>
                  <w:r>
                    <w:rPr>
                      <w:rFonts w:eastAsia="宋体"/>
                      <w:sz w:val="21"/>
                    </w:rPr>
                    <w:t>956户</w:t>
                  </w:r>
                  <w:r>
                    <w:rPr>
                      <w:rFonts w:hint="eastAsia" w:eastAsia="宋体"/>
                      <w:sz w:val="21"/>
                    </w:rPr>
                    <w:t>，约3180人</w:t>
                  </w:r>
                </w:p>
              </w:tc>
              <w:tc>
                <w:tcPr>
                  <w:tcW w:w="1225" w:type="dxa"/>
                  <w:vMerge w:val="continue"/>
                  <w:tcBorders>
                    <w:tl2br w:val="nil"/>
                    <w:tr2bl w:val="nil"/>
                  </w:tcBorders>
                  <w:vAlign w:val="center"/>
                </w:tcPr>
                <w:p w14:paraId="0C97C2CB">
                  <w:pPr>
                    <w:pStyle w:val="30"/>
                    <w:widowControl/>
                    <w:spacing w:line="240" w:lineRule="auto"/>
                    <w:ind w:firstLine="0" w:firstLineChars="0"/>
                    <w:jc w:val="center"/>
                    <w:rPr>
                      <w:rFonts w:eastAsia="宋体"/>
                      <w:sz w:val="21"/>
                    </w:rPr>
                  </w:pPr>
                </w:p>
              </w:tc>
            </w:tr>
            <w:tr w14:paraId="37828D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0ADDA6D8">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74565231">
                  <w:pPr>
                    <w:pStyle w:val="30"/>
                    <w:widowControl/>
                    <w:spacing w:line="240" w:lineRule="auto"/>
                    <w:ind w:firstLine="0" w:firstLineChars="0"/>
                    <w:jc w:val="center"/>
                    <w:rPr>
                      <w:rFonts w:eastAsia="宋体"/>
                      <w:sz w:val="21"/>
                    </w:rPr>
                  </w:pPr>
                  <w:r>
                    <w:rPr>
                      <w:rFonts w:hint="eastAsia" w:eastAsia="宋体"/>
                      <w:sz w:val="21"/>
                    </w:rPr>
                    <w:t>莲花苑</w:t>
                  </w:r>
                </w:p>
              </w:tc>
              <w:tc>
                <w:tcPr>
                  <w:tcW w:w="1784" w:type="dxa"/>
                  <w:tcBorders>
                    <w:tl2br w:val="nil"/>
                    <w:tr2bl w:val="nil"/>
                  </w:tcBorders>
                  <w:shd w:val="clear" w:color="auto" w:fill="auto"/>
                  <w:vAlign w:val="center"/>
                </w:tcPr>
                <w:p w14:paraId="2E9C2052">
                  <w:pPr>
                    <w:pStyle w:val="30"/>
                    <w:widowControl/>
                    <w:spacing w:line="240" w:lineRule="auto"/>
                    <w:ind w:firstLine="0" w:firstLineChars="0"/>
                    <w:jc w:val="center"/>
                    <w:rPr>
                      <w:rFonts w:eastAsia="宋体"/>
                      <w:sz w:val="21"/>
                    </w:rPr>
                  </w:pPr>
                  <w:r>
                    <w:rPr>
                      <w:rFonts w:hint="eastAsia" w:eastAsia="宋体"/>
                      <w:sz w:val="21"/>
                    </w:rPr>
                    <w:t>项目河段檬子河大桥右岸西北侧</w:t>
                  </w:r>
                </w:p>
              </w:tc>
              <w:tc>
                <w:tcPr>
                  <w:tcW w:w="1133" w:type="dxa"/>
                  <w:tcBorders>
                    <w:tl2br w:val="nil"/>
                    <w:tr2bl w:val="nil"/>
                  </w:tcBorders>
                  <w:shd w:val="clear" w:color="auto" w:fill="auto"/>
                  <w:vAlign w:val="center"/>
                </w:tcPr>
                <w:p w14:paraId="3690A50F">
                  <w:pPr>
                    <w:pStyle w:val="30"/>
                    <w:widowControl/>
                    <w:spacing w:line="240" w:lineRule="auto"/>
                    <w:ind w:firstLine="0" w:firstLineChars="0"/>
                    <w:jc w:val="center"/>
                    <w:rPr>
                      <w:rFonts w:eastAsia="宋体"/>
                      <w:sz w:val="21"/>
                    </w:rPr>
                  </w:pPr>
                  <w:r>
                    <w:rPr>
                      <w:rFonts w:hint="eastAsia" w:eastAsia="宋体"/>
                      <w:sz w:val="21"/>
                    </w:rPr>
                    <w:t>130-301m</w:t>
                  </w:r>
                </w:p>
              </w:tc>
              <w:tc>
                <w:tcPr>
                  <w:tcW w:w="1019" w:type="dxa"/>
                  <w:tcBorders>
                    <w:tl2br w:val="nil"/>
                    <w:tr2bl w:val="nil"/>
                  </w:tcBorders>
                  <w:vAlign w:val="center"/>
                </w:tcPr>
                <w:p w14:paraId="6618FDEC">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67D23FE4">
                  <w:pPr>
                    <w:pStyle w:val="30"/>
                    <w:widowControl/>
                    <w:spacing w:line="240" w:lineRule="auto"/>
                    <w:ind w:firstLine="0" w:firstLineChars="0"/>
                    <w:jc w:val="center"/>
                    <w:rPr>
                      <w:rFonts w:eastAsia="宋体"/>
                      <w:sz w:val="21"/>
                    </w:rPr>
                  </w:pPr>
                  <w:r>
                    <w:rPr>
                      <w:rFonts w:eastAsia="宋体"/>
                      <w:sz w:val="21"/>
                    </w:rPr>
                    <w:t>142户，约450人</w:t>
                  </w:r>
                </w:p>
              </w:tc>
              <w:tc>
                <w:tcPr>
                  <w:tcW w:w="1225" w:type="dxa"/>
                  <w:vMerge w:val="continue"/>
                  <w:tcBorders>
                    <w:tl2br w:val="nil"/>
                    <w:tr2bl w:val="nil"/>
                  </w:tcBorders>
                  <w:vAlign w:val="center"/>
                </w:tcPr>
                <w:p w14:paraId="07EA0305">
                  <w:pPr>
                    <w:pStyle w:val="30"/>
                    <w:widowControl/>
                    <w:spacing w:line="240" w:lineRule="auto"/>
                    <w:ind w:firstLine="0" w:firstLineChars="0"/>
                    <w:jc w:val="center"/>
                    <w:rPr>
                      <w:rFonts w:eastAsia="宋体"/>
                      <w:sz w:val="21"/>
                    </w:rPr>
                  </w:pPr>
                </w:p>
              </w:tc>
            </w:tr>
            <w:tr w14:paraId="5829D4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267EAB3B">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647BB3F3">
                  <w:pPr>
                    <w:pStyle w:val="30"/>
                    <w:widowControl/>
                    <w:spacing w:line="240" w:lineRule="auto"/>
                    <w:ind w:firstLine="0" w:firstLineChars="0"/>
                    <w:jc w:val="center"/>
                    <w:rPr>
                      <w:rFonts w:eastAsia="宋体"/>
                      <w:sz w:val="21"/>
                    </w:rPr>
                  </w:pPr>
                  <w:r>
                    <w:rPr>
                      <w:rFonts w:hint="eastAsia" w:eastAsia="宋体"/>
                      <w:sz w:val="21"/>
                    </w:rPr>
                    <w:t>天通名城</w:t>
                  </w:r>
                </w:p>
              </w:tc>
              <w:tc>
                <w:tcPr>
                  <w:tcW w:w="1784" w:type="dxa"/>
                  <w:tcBorders>
                    <w:tl2br w:val="nil"/>
                    <w:tr2bl w:val="nil"/>
                  </w:tcBorders>
                  <w:vAlign w:val="center"/>
                </w:tcPr>
                <w:p w14:paraId="78B34FFC">
                  <w:pPr>
                    <w:pStyle w:val="30"/>
                    <w:widowControl/>
                    <w:spacing w:line="240" w:lineRule="auto"/>
                    <w:ind w:firstLine="0" w:firstLineChars="0"/>
                    <w:jc w:val="center"/>
                    <w:rPr>
                      <w:rFonts w:eastAsia="宋体"/>
                      <w:sz w:val="21"/>
                    </w:rPr>
                  </w:pPr>
                  <w:r>
                    <w:rPr>
                      <w:rFonts w:hint="eastAsia" w:eastAsia="宋体"/>
                      <w:sz w:val="21"/>
                    </w:rPr>
                    <w:t>项目河段檬子河大桥右岸西北侧</w:t>
                  </w:r>
                </w:p>
              </w:tc>
              <w:tc>
                <w:tcPr>
                  <w:tcW w:w="1133" w:type="dxa"/>
                  <w:tcBorders>
                    <w:tl2br w:val="nil"/>
                    <w:tr2bl w:val="nil"/>
                  </w:tcBorders>
                  <w:vAlign w:val="center"/>
                </w:tcPr>
                <w:p w14:paraId="1210672B">
                  <w:pPr>
                    <w:pStyle w:val="30"/>
                    <w:widowControl/>
                    <w:spacing w:line="240" w:lineRule="auto"/>
                    <w:ind w:firstLine="0" w:firstLineChars="0"/>
                    <w:jc w:val="center"/>
                    <w:rPr>
                      <w:rFonts w:eastAsia="宋体"/>
                      <w:sz w:val="21"/>
                    </w:rPr>
                  </w:pPr>
                  <w:r>
                    <w:rPr>
                      <w:rFonts w:hint="eastAsia" w:eastAsia="宋体"/>
                      <w:sz w:val="21"/>
                    </w:rPr>
                    <w:t>300-500m</w:t>
                  </w:r>
                </w:p>
              </w:tc>
              <w:tc>
                <w:tcPr>
                  <w:tcW w:w="1019" w:type="dxa"/>
                  <w:tcBorders>
                    <w:tl2br w:val="nil"/>
                    <w:tr2bl w:val="nil"/>
                  </w:tcBorders>
                  <w:vAlign w:val="center"/>
                </w:tcPr>
                <w:p w14:paraId="1A529066">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6C7A603C">
                  <w:pPr>
                    <w:pStyle w:val="30"/>
                    <w:widowControl/>
                    <w:spacing w:line="240" w:lineRule="auto"/>
                    <w:ind w:firstLine="0" w:firstLineChars="0"/>
                    <w:jc w:val="center"/>
                    <w:rPr>
                      <w:rFonts w:eastAsia="宋体"/>
                      <w:sz w:val="21"/>
                    </w:rPr>
                  </w:pPr>
                  <w:r>
                    <w:rPr>
                      <w:rFonts w:eastAsia="宋体"/>
                      <w:sz w:val="21"/>
                    </w:rPr>
                    <w:t>627户，约2100人</w:t>
                  </w:r>
                </w:p>
              </w:tc>
              <w:tc>
                <w:tcPr>
                  <w:tcW w:w="1225" w:type="dxa"/>
                  <w:vMerge w:val="continue"/>
                  <w:tcBorders>
                    <w:tl2br w:val="nil"/>
                    <w:tr2bl w:val="nil"/>
                  </w:tcBorders>
                  <w:vAlign w:val="center"/>
                </w:tcPr>
                <w:p w14:paraId="2DCACD11">
                  <w:pPr>
                    <w:pStyle w:val="30"/>
                    <w:widowControl/>
                    <w:spacing w:line="240" w:lineRule="auto"/>
                    <w:ind w:firstLine="0" w:firstLineChars="0"/>
                    <w:jc w:val="center"/>
                    <w:rPr>
                      <w:rFonts w:eastAsia="宋体"/>
                      <w:sz w:val="21"/>
                    </w:rPr>
                  </w:pPr>
                </w:p>
              </w:tc>
            </w:tr>
            <w:tr w14:paraId="7851FC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57DC3F74">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377B2DAB">
                  <w:pPr>
                    <w:pStyle w:val="30"/>
                    <w:widowControl/>
                    <w:spacing w:line="240" w:lineRule="auto"/>
                    <w:ind w:firstLine="0" w:firstLineChars="0"/>
                    <w:jc w:val="center"/>
                    <w:rPr>
                      <w:rFonts w:eastAsia="宋体"/>
                      <w:sz w:val="21"/>
                    </w:rPr>
                  </w:pPr>
                  <w:r>
                    <w:rPr>
                      <w:rFonts w:hint="eastAsia" w:eastAsia="宋体"/>
                      <w:sz w:val="21"/>
                    </w:rPr>
                    <w:t>东方鑫村</w:t>
                  </w:r>
                </w:p>
              </w:tc>
              <w:tc>
                <w:tcPr>
                  <w:tcW w:w="1784" w:type="dxa"/>
                  <w:tcBorders>
                    <w:tl2br w:val="nil"/>
                    <w:tr2bl w:val="nil"/>
                  </w:tcBorders>
                  <w:vAlign w:val="center"/>
                </w:tcPr>
                <w:p w14:paraId="0B93BB83">
                  <w:pPr>
                    <w:pStyle w:val="30"/>
                    <w:widowControl/>
                    <w:spacing w:line="240" w:lineRule="auto"/>
                    <w:ind w:firstLine="0" w:firstLineChars="0"/>
                    <w:jc w:val="center"/>
                    <w:rPr>
                      <w:rFonts w:eastAsia="宋体"/>
                      <w:sz w:val="21"/>
                    </w:rPr>
                  </w:pPr>
                  <w:r>
                    <w:rPr>
                      <w:rFonts w:hint="eastAsia" w:eastAsia="宋体"/>
                      <w:sz w:val="21"/>
                    </w:rPr>
                    <w:t>项目河段檬子河大桥右岸西南侧</w:t>
                  </w:r>
                </w:p>
              </w:tc>
              <w:tc>
                <w:tcPr>
                  <w:tcW w:w="1133" w:type="dxa"/>
                  <w:tcBorders>
                    <w:tl2br w:val="nil"/>
                    <w:tr2bl w:val="nil"/>
                  </w:tcBorders>
                  <w:vAlign w:val="center"/>
                </w:tcPr>
                <w:p w14:paraId="3D8D4185">
                  <w:pPr>
                    <w:pStyle w:val="30"/>
                    <w:widowControl/>
                    <w:spacing w:line="240" w:lineRule="auto"/>
                    <w:ind w:firstLine="0" w:firstLineChars="0"/>
                    <w:jc w:val="center"/>
                    <w:rPr>
                      <w:rFonts w:eastAsia="宋体"/>
                      <w:sz w:val="21"/>
                    </w:rPr>
                  </w:pPr>
                  <w:r>
                    <w:rPr>
                      <w:rFonts w:hint="eastAsia" w:eastAsia="宋体"/>
                      <w:sz w:val="21"/>
                    </w:rPr>
                    <w:t>100-518m</w:t>
                  </w:r>
                </w:p>
              </w:tc>
              <w:tc>
                <w:tcPr>
                  <w:tcW w:w="1019" w:type="dxa"/>
                  <w:tcBorders>
                    <w:tl2br w:val="nil"/>
                    <w:tr2bl w:val="nil"/>
                  </w:tcBorders>
                  <w:vAlign w:val="center"/>
                </w:tcPr>
                <w:p w14:paraId="6F17563E">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6D547AF0">
                  <w:pPr>
                    <w:pStyle w:val="30"/>
                    <w:widowControl/>
                    <w:spacing w:line="240" w:lineRule="auto"/>
                    <w:ind w:firstLine="0" w:firstLineChars="0"/>
                    <w:jc w:val="center"/>
                    <w:rPr>
                      <w:rFonts w:eastAsia="宋体"/>
                      <w:sz w:val="21"/>
                    </w:rPr>
                  </w:pPr>
                  <w:r>
                    <w:rPr>
                      <w:rFonts w:eastAsia="宋体"/>
                      <w:sz w:val="21"/>
                    </w:rPr>
                    <w:t>1020户，约3400人</w:t>
                  </w:r>
                </w:p>
              </w:tc>
              <w:tc>
                <w:tcPr>
                  <w:tcW w:w="1225" w:type="dxa"/>
                  <w:vMerge w:val="continue"/>
                  <w:tcBorders>
                    <w:tl2br w:val="nil"/>
                    <w:tr2bl w:val="nil"/>
                  </w:tcBorders>
                  <w:vAlign w:val="center"/>
                </w:tcPr>
                <w:p w14:paraId="5CFD311D">
                  <w:pPr>
                    <w:pStyle w:val="30"/>
                    <w:widowControl/>
                    <w:spacing w:line="240" w:lineRule="auto"/>
                    <w:ind w:firstLine="0" w:firstLineChars="0"/>
                    <w:jc w:val="center"/>
                    <w:rPr>
                      <w:rFonts w:eastAsia="宋体"/>
                      <w:sz w:val="21"/>
                    </w:rPr>
                  </w:pPr>
                </w:p>
              </w:tc>
            </w:tr>
            <w:tr w14:paraId="47961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7C62DBAF">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7792B2E5">
                  <w:pPr>
                    <w:pStyle w:val="30"/>
                    <w:widowControl/>
                    <w:spacing w:line="240" w:lineRule="auto"/>
                    <w:ind w:firstLine="0" w:firstLineChars="0"/>
                    <w:jc w:val="center"/>
                    <w:rPr>
                      <w:rFonts w:eastAsia="宋体"/>
                      <w:sz w:val="21"/>
                    </w:rPr>
                  </w:pPr>
                  <w:r>
                    <w:rPr>
                      <w:rFonts w:hint="eastAsia" w:eastAsia="宋体"/>
                      <w:sz w:val="21"/>
                    </w:rPr>
                    <w:t>东方鑫村二期</w:t>
                  </w:r>
                </w:p>
              </w:tc>
              <w:tc>
                <w:tcPr>
                  <w:tcW w:w="1784" w:type="dxa"/>
                  <w:tcBorders>
                    <w:tl2br w:val="nil"/>
                    <w:tr2bl w:val="nil"/>
                  </w:tcBorders>
                  <w:vAlign w:val="center"/>
                </w:tcPr>
                <w:p w14:paraId="51E5F1CD">
                  <w:pPr>
                    <w:pStyle w:val="30"/>
                    <w:widowControl/>
                    <w:spacing w:line="240" w:lineRule="auto"/>
                    <w:ind w:firstLine="0" w:firstLineChars="0"/>
                    <w:jc w:val="center"/>
                    <w:rPr>
                      <w:rFonts w:eastAsia="宋体"/>
                      <w:sz w:val="21"/>
                    </w:rPr>
                  </w:pPr>
                  <w:r>
                    <w:rPr>
                      <w:rFonts w:hint="eastAsia" w:eastAsia="宋体"/>
                      <w:sz w:val="21"/>
                    </w:rPr>
                    <w:t>项目河段檬子河大桥右岸南侧</w:t>
                  </w:r>
                </w:p>
              </w:tc>
              <w:tc>
                <w:tcPr>
                  <w:tcW w:w="1133" w:type="dxa"/>
                  <w:tcBorders>
                    <w:tl2br w:val="nil"/>
                    <w:tr2bl w:val="nil"/>
                  </w:tcBorders>
                  <w:vAlign w:val="center"/>
                </w:tcPr>
                <w:p w14:paraId="7D7A33FD">
                  <w:pPr>
                    <w:pStyle w:val="30"/>
                    <w:widowControl/>
                    <w:spacing w:line="240" w:lineRule="auto"/>
                    <w:ind w:firstLine="0" w:firstLineChars="0"/>
                    <w:jc w:val="center"/>
                    <w:rPr>
                      <w:rFonts w:eastAsia="宋体"/>
                      <w:sz w:val="21"/>
                    </w:rPr>
                  </w:pPr>
                  <w:r>
                    <w:rPr>
                      <w:rFonts w:hint="eastAsia" w:eastAsia="宋体"/>
                      <w:sz w:val="21"/>
                    </w:rPr>
                    <w:t>80-380m</w:t>
                  </w:r>
                </w:p>
              </w:tc>
              <w:tc>
                <w:tcPr>
                  <w:tcW w:w="1019" w:type="dxa"/>
                  <w:tcBorders>
                    <w:tl2br w:val="nil"/>
                    <w:tr2bl w:val="nil"/>
                  </w:tcBorders>
                  <w:vAlign w:val="center"/>
                </w:tcPr>
                <w:p w14:paraId="54296E0A">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546F5CA9">
                  <w:pPr>
                    <w:pStyle w:val="30"/>
                    <w:widowControl/>
                    <w:spacing w:line="240" w:lineRule="auto"/>
                    <w:ind w:firstLine="0" w:firstLineChars="0"/>
                    <w:jc w:val="center"/>
                    <w:rPr>
                      <w:rFonts w:eastAsia="宋体"/>
                      <w:sz w:val="21"/>
                    </w:rPr>
                  </w:pPr>
                  <w:r>
                    <w:rPr>
                      <w:rFonts w:eastAsia="宋体"/>
                      <w:sz w:val="21"/>
                    </w:rPr>
                    <w:t>520户，约1770人</w:t>
                  </w:r>
                </w:p>
              </w:tc>
              <w:tc>
                <w:tcPr>
                  <w:tcW w:w="1225" w:type="dxa"/>
                  <w:vMerge w:val="continue"/>
                  <w:tcBorders>
                    <w:tl2br w:val="nil"/>
                    <w:tr2bl w:val="nil"/>
                  </w:tcBorders>
                  <w:vAlign w:val="center"/>
                </w:tcPr>
                <w:p w14:paraId="4F428FDE">
                  <w:pPr>
                    <w:pStyle w:val="30"/>
                    <w:widowControl/>
                    <w:spacing w:line="240" w:lineRule="auto"/>
                    <w:ind w:firstLine="0" w:firstLineChars="0"/>
                    <w:jc w:val="center"/>
                    <w:rPr>
                      <w:rFonts w:eastAsia="宋体"/>
                      <w:sz w:val="21"/>
                    </w:rPr>
                  </w:pPr>
                </w:p>
              </w:tc>
            </w:tr>
            <w:tr w14:paraId="48DFEF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63A274A6">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6A61F06D">
                  <w:pPr>
                    <w:pStyle w:val="30"/>
                    <w:widowControl/>
                    <w:spacing w:line="240" w:lineRule="auto"/>
                    <w:ind w:firstLine="0" w:firstLineChars="0"/>
                    <w:jc w:val="center"/>
                    <w:rPr>
                      <w:rFonts w:eastAsia="宋体"/>
                      <w:sz w:val="21"/>
                    </w:rPr>
                  </w:pPr>
                  <w:r>
                    <w:rPr>
                      <w:rFonts w:hint="eastAsia" w:eastAsia="宋体"/>
                      <w:sz w:val="21"/>
                    </w:rPr>
                    <w:t>正兴苑</w:t>
                  </w:r>
                </w:p>
              </w:tc>
              <w:tc>
                <w:tcPr>
                  <w:tcW w:w="1784" w:type="dxa"/>
                  <w:tcBorders>
                    <w:tl2br w:val="nil"/>
                    <w:tr2bl w:val="nil"/>
                  </w:tcBorders>
                  <w:vAlign w:val="center"/>
                </w:tcPr>
                <w:p w14:paraId="4A51638F">
                  <w:pPr>
                    <w:pStyle w:val="30"/>
                    <w:widowControl/>
                    <w:spacing w:line="240" w:lineRule="auto"/>
                    <w:ind w:firstLine="0" w:firstLineChars="0"/>
                    <w:jc w:val="center"/>
                    <w:rPr>
                      <w:rFonts w:eastAsia="宋体"/>
                      <w:sz w:val="21"/>
                    </w:rPr>
                  </w:pPr>
                  <w:r>
                    <w:rPr>
                      <w:rFonts w:hint="eastAsia" w:eastAsia="宋体"/>
                      <w:sz w:val="21"/>
                    </w:rPr>
                    <w:t>项目河段檬子河大桥左岸南侧</w:t>
                  </w:r>
                </w:p>
              </w:tc>
              <w:tc>
                <w:tcPr>
                  <w:tcW w:w="1133" w:type="dxa"/>
                  <w:tcBorders>
                    <w:tl2br w:val="nil"/>
                    <w:tr2bl w:val="nil"/>
                  </w:tcBorders>
                  <w:vAlign w:val="center"/>
                </w:tcPr>
                <w:p w14:paraId="2F65363F">
                  <w:pPr>
                    <w:pStyle w:val="30"/>
                    <w:widowControl/>
                    <w:spacing w:line="240" w:lineRule="auto"/>
                    <w:ind w:firstLine="0" w:firstLineChars="0"/>
                    <w:jc w:val="center"/>
                    <w:rPr>
                      <w:rFonts w:eastAsia="宋体"/>
                      <w:sz w:val="21"/>
                    </w:rPr>
                  </w:pPr>
                  <w:r>
                    <w:rPr>
                      <w:rFonts w:hint="eastAsia" w:eastAsia="宋体"/>
                      <w:sz w:val="21"/>
                    </w:rPr>
                    <w:t>200-529m</w:t>
                  </w:r>
                </w:p>
              </w:tc>
              <w:tc>
                <w:tcPr>
                  <w:tcW w:w="1019" w:type="dxa"/>
                  <w:tcBorders>
                    <w:tl2br w:val="nil"/>
                    <w:tr2bl w:val="nil"/>
                  </w:tcBorders>
                  <w:vAlign w:val="center"/>
                </w:tcPr>
                <w:p w14:paraId="58DEEBCC">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7B08D3F0">
                  <w:pPr>
                    <w:pStyle w:val="30"/>
                    <w:widowControl/>
                    <w:spacing w:line="240" w:lineRule="auto"/>
                    <w:ind w:firstLine="0" w:firstLineChars="0"/>
                    <w:jc w:val="center"/>
                    <w:rPr>
                      <w:rFonts w:eastAsia="宋体"/>
                      <w:sz w:val="21"/>
                    </w:rPr>
                  </w:pPr>
                  <w:r>
                    <w:rPr>
                      <w:rFonts w:eastAsia="宋体"/>
                      <w:sz w:val="21"/>
                    </w:rPr>
                    <w:t>156户，约500人</w:t>
                  </w:r>
                </w:p>
              </w:tc>
              <w:tc>
                <w:tcPr>
                  <w:tcW w:w="1225" w:type="dxa"/>
                  <w:vMerge w:val="continue"/>
                  <w:tcBorders>
                    <w:tl2br w:val="nil"/>
                    <w:tr2bl w:val="nil"/>
                  </w:tcBorders>
                  <w:vAlign w:val="center"/>
                </w:tcPr>
                <w:p w14:paraId="1CB78E6F">
                  <w:pPr>
                    <w:pStyle w:val="30"/>
                    <w:widowControl/>
                    <w:spacing w:line="240" w:lineRule="auto"/>
                    <w:ind w:firstLine="0" w:firstLineChars="0"/>
                    <w:jc w:val="center"/>
                    <w:rPr>
                      <w:rFonts w:eastAsia="宋体"/>
                      <w:sz w:val="21"/>
                    </w:rPr>
                  </w:pPr>
                </w:p>
              </w:tc>
            </w:tr>
            <w:tr w14:paraId="71F6B5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51FB626B">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33FB8C25">
                  <w:pPr>
                    <w:pStyle w:val="30"/>
                    <w:widowControl/>
                    <w:spacing w:line="240" w:lineRule="auto"/>
                    <w:ind w:firstLine="0" w:firstLineChars="0"/>
                    <w:jc w:val="center"/>
                    <w:rPr>
                      <w:rFonts w:eastAsia="宋体"/>
                      <w:sz w:val="21"/>
                    </w:rPr>
                  </w:pPr>
                  <w:r>
                    <w:rPr>
                      <w:rFonts w:hint="eastAsia" w:eastAsia="宋体"/>
                      <w:sz w:val="21"/>
                    </w:rPr>
                    <w:t>东城之星</w:t>
                  </w:r>
                </w:p>
              </w:tc>
              <w:tc>
                <w:tcPr>
                  <w:tcW w:w="1784" w:type="dxa"/>
                  <w:tcBorders>
                    <w:tl2br w:val="nil"/>
                    <w:tr2bl w:val="nil"/>
                  </w:tcBorders>
                  <w:vAlign w:val="center"/>
                </w:tcPr>
                <w:p w14:paraId="543C4926">
                  <w:pPr>
                    <w:pStyle w:val="30"/>
                    <w:widowControl/>
                    <w:spacing w:line="240" w:lineRule="auto"/>
                    <w:ind w:firstLine="0" w:firstLineChars="0"/>
                    <w:jc w:val="center"/>
                    <w:rPr>
                      <w:rFonts w:eastAsia="宋体"/>
                      <w:sz w:val="21"/>
                    </w:rPr>
                  </w:pPr>
                  <w:r>
                    <w:rPr>
                      <w:rFonts w:hint="eastAsia" w:eastAsia="宋体"/>
                      <w:sz w:val="21"/>
                    </w:rPr>
                    <w:t>项目河段檬子河大桥左岸南侧</w:t>
                  </w:r>
                </w:p>
              </w:tc>
              <w:tc>
                <w:tcPr>
                  <w:tcW w:w="1133" w:type="dxa"/>
                  <w:tcBorders>
                    <w:tl2br w:val="nil"/>
                    <w:tr2bl w:val="nil"/>
                  </w:tcBorders>
                  <w:vAlign w:val="center"/>
                </w:tcPr>
                <w:p w14:paraId="27CF0B40">
                  <w:pPr>
                    <w:pStyle w:val="30"/>
                    <w:widowControl/>
                    <w:spacing w:line="240" w:lineRule="auto"/>
                    <w:ind w:firstLine="0" w:firstLineChars="0"/>
                    <w:jc w:val="center"/>
                    <w:rPr>
                      <w:rFonts w:eastAsia="宋体"/>
                      <w:sz w:val="21"/>
                    </w:rPr>
                  </w:pPr>
                  <w:r>
                    <w:rPr>
                      <w:rFonts w:hint="eastAsia" w:eastAsia="宋体"/>
                      <w:sz w:val="21"/>
                    </w:rPr>
                    <w:t>85-450m</w:t>
                  </w:r>
                </w:p>
              </w:tc>
              <w:tc>
                <w:tcPr>
                  <w:tcW w:w="1019" w:type="dxa"/>
                  <w:tcBorders>
                    <w:tl2br w:val="nil"/>
                    <w:tr2bl w:val="nil"/>
                  </w:tcBorders>
                  <w:vAlign w:val="center"/>
                </w:tcPr>
                <w:p w14:paraId="4CEF64ED">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16FFA74D">
                  <w:pPr>
                    <w:pStyle w:val="30"/>
                    <w:widowControl/>
                    <w:spacing w:line="240" w:lineRule="auto"/>
                    <w:ind w:firstLine="0" w:firstLineChars="0"/>
                    <w:jc w:val="center"/>
                    <w:rPr>
                      <w:rFonts w:eastAsia="宋体"/>
                      <w:sz w:val="21"/>
                    </w:rPr>
                  </w:pPr>
                  <w:r>
                    <w:rPr>
                      <w:rFonts w:eastAsia="宋体"/>
                      <w:sz w:val="21"/>
                    </w:rPr>
                    <w:t>316户，约1040人</w:t>
                  </w:r>
                </w:p>
              </w:tc>
              <w:tc>
                <w:tcPr>
                  <w:tcW w:w="1225" w:type="dxa"/>
                  <w:vMerge w:val="continue"/>
                  <w:tcBorders>
                    <w:tl2br w:val="nil"/>
                    <w:tr2bl w:val="nil"/>
                  </w:tcBorders>
                  <w:vAlign w:val="center"/>
                </w:tcPr>
                <w:p w14:paraId="68C1E839">
                  <w:pPr>
                    <w:pStyle w:val="30"/>
                    <w:widowControl/>
                    <w:spacing w:line="240" w:lineRule="auto"/>
                    <w:ind w:firstLine="0" w:firstLineChars="0"/>
                    <w:jc w:val="center"/>
                    <w:rPr>
                      <w:rFonts w:eastAsia="宋体"/>
                      <w:sz w:val="21"/>
                    </w:rPr>
                  </w:pPr>
                </w:p>
              </w:tc>
            </w:tr>
            <w:tr w14:paraId="6F9B17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20AAB87F">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5074AD63">
                  <w:pPr>
                    <w:pStyle w:val="30"/>
                    <w:widowControl/>
                    <w:spacing w:line="240" w:lineRule="auto"/>
                    <w:ind w:firstLine="0" w:firstLineChars="0"/>
                    <w:jc w:val="center"/>
                    <w:rPr>
                      <w:rFonts w:eastAsia="宋体"/>
                      <w:sz w:val="21"/>
                    </w:rPr>
                  </w:pPr>
                  <w:r>
                    <w:rPr>
                      <w:rFonts w:hint="eastAsia" w:eastAsia="宋体"/>
                      <w:sz w:val="21"/>
                    </w:rPr>
                    <w:t>巴中市第五中学</w:t>
                  </w:r>
                </w:p>
              </w:tc>
              <w:tc>
                <w:tcPr>
                  <w:tcW w:w="1784" w:type="dxa"/>
                  <w:tcBorders>
                    <w:tl2br w:val="nil"/>
                    <w:tr2bl w:val="nil"/>
                  </w:tcBorders>
                  <w:vAlign w:val="center"/>
                </w:tcPr>
                <w:p w14:paraId="272C9339">
                  <w:pPr>
                    <w:pStyle w:val="30"/>
                    <w:widowControl/>
                    <w:spacing w:line="240" w:lineRule="auto"/>
                    <w:ind w:firstLine="0" w:firstLineChars="0"/>
                    <w:jc w:val="center"/>
                    <w:rPr>
                      <w:rFonts w:eastAsia="宋体"/>
                      <w:sz w:val="21"/>
                    </w:rPr>
                  </w:pPr>
                  <w:r>
                    <w:rPr>
                      <w:rFonts w:hint="eastAsia" w:eastAsia="宋体"/>
                      <w:sz w:val="21"/>
                    </w:rPr>
                    <w:t>项目河段檬子河大桥左岸东南侧</w:t>
                  </w:r>
                </w:p>
              </w:tc>
              <w:tc>
                <w:tcPr>
                  <w:tcW w:w="1133" w:type="dxa"/>
                  <w:tcBorders>
                    <w:tl2br w:val="nil"/>
                    <w:tr2bl w:val="nil"/>
                  </w:tcBorders>
                  <w:vAlign w:val="center"/>
                </w:tcPr>
                <w:p w14:paraId="7418A687">
                  <w:pPr>
                    <w:pStyle w:val="30"/>
                    <w:widowControl/>
                    <w:spacing w:line="240" w:lineRule="auto"/>
                    <w:ind w:firstLine="0" w:firstLineChars="0"/>
                    <w:jc w:val="center"/>
                    <w:rPr>
                      <w:rFonts w:eastAsia="宋体"/>
                      <w:sz w:val="21"/>
                    </w:rPr>
                  </w:pPr>
                  <w:r>
                    <w:rPr>
                      <w:rFonts w:hint="eastAsia" w:eastAsia="宋体"/>
                      <w:sz w:val="21"/>
                    </w:rPr>
                    <w:t>400m</w:t>
                  </w:r>
                </w:p>
              </w:tc>
              <w:tc>
                <w:tcPr>
                  <w:tcW w:w="1019" w:type="dxa"/>
                  <w:tcBorders>
                    <w:tl2br w:val="nil"/>
                    <w:tr2bl w:val="nil"/>
                  </w:tcBorders>
                  <w:vAlign w:val="center"/>
                </w:tcPr>
                <w:p w14:paraId="70B98B6A">
                  <w:pPr>
                    <w:pStyle w:val="30"/>
                    <w:widowControl/>
                    <w:spacing w:line="240" w:lineRule="auto"/>
                    <w:ind w:firstLine="0" w:firstLineChars="0"/>
                    <w:jc w:val="center"/>
                    <w:rPr>
                      <w:rFonts w:eastAsia="宋体"/>
                      <w:sz w:val="21"/>
                    </w:rPr>
                  </w:pPr>
                  <w:r>
                    <w:rPr>
                      <w:rFonts w:hint="eastAsia" w:eastAsia="宋体"/>
                      <w:sz w:val="21"/>
                    </w:rPr>
                    <w:t>学校</w:t>
                  </w:r>
                </w:p>
              </w:tc>
              <w:tc>
                <w:tcPr>
                  <w:tcW w:w="1225" w:type="dxa"/>
                  <w:tcBorders>
                    <w:tl2br w:val="nil"/>
                    <w:tr2bl w:val="nil"/>
                  </w:tcBorders>
                  <w:vAlign w:val="center"/>
                </w:tcPr>
                <w:p w14:paraId="192663D0">
                  <w:pPr>
                    <w:pStyle w:val="30"/>
                    <w:widowControl/>
                    <w:spacing w:line="240" w:lineRule="auto"/>
                    <w:ind w:firstLine="0" w:firstLineChars="0"/>
                    <w:jc w:val="center"/>
                    <w:rPr>
                      <w:rFonts w:eastAsia="宋体"/>
                      <w:sz w:val="21"/>
                    </w:rPr>
                  </w:pPr>
                  <w:r>
                    <w:rPr>
                      <w:rFonts w:eastAsia="宋体"/>
                      <w:sz w:val="21"/>
                    </w:rPr>
                    <w:t>约3770人</w:t>
                  </w:r>
                </w:p>
              </w:tc>
              <w:tc>
                <w:tcPr>
                  <w:tcW w:w="1225" w:type="dxa"/>
                  <w:vMerge w:val="continue"/>
                  <w:tcBorders>
                    <w:tl2br w:val="nil"/>
                    <w:tr2bl w:val="nil"/>
                  </w:tcBorders>
                  <w:vAlign w:val="center"/>
                </w:tcPr>
                <w:p w14:paraId="70CFD13D">
                  <w:pPr>
                    <w:pStyle w:val="30"/>
                    <w:widowControl/>
                    <w:spacing w:line="240" w:lineRule="auto"/>
                    <w:ind w:firstLine="0" w:firstLineChars="0"/>
                    <w:jc w:val="center"/>
                    <w:rPr>
                      <w:rFonts w:eastAsia="宋体"/>
                      <w:sz w:val="21"/>
                    </w:rPr>
                  </w:pPr>
                </w:p>
              </w:tc>
            </w:tr>
            <w:tr w14:paraId="462071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2BE483E0">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78A3ECA2">
                  <w:pPr>
                    <w:pStyle w:val="30"/>
                    <w:widowControl/>
                    <w:spacing w:line="240" w:lineRule="auto"/>
                    <w:ind w:firstLine="0" w:firstLineChars="0"/>
                    <w:jc w:val="center"/>
                    <w:rPr>
                      <w:rFonts w:eastAsia="宋体"/>
                      <w:sz w:val="21"/>
                    </w:rPr>
                  </w:pPr>
                  <w:r>
                    <w:rPr>
                      <w:rFonts w:hint="eastAsia" w:eastAsia="宋体"/>
                      <w:sz w:val="21"/>
                    </w:rPr>
                    <w:t>大正苑</w:t>
                  </w:r>
                </w:p>
              </w:tc>
              <w:tc>
                <w:tcPr>
                  <w:tcW w:w="1784" w:type="dxa"/>
                  <w:tcBorders>
                    <w:tl2br w:val="nil"/>
                    <w:tr2bl w:val="nil"/>
                  </w:tcBorders>
                  <w:vAlign w:val="center"/>
                </w:tcPr>
                <w:p w14:paraId="43B9EEE6">
                  <w:pPr>
                    <w:pStyle w:val="30"/>
                    <w:widowControl/>
                    <w:spacing w:line="240" w:lineRule="auto"/>
                    <w:ind w:firstLine="0" w:firstLineChars="0"/>
                    <w:jc w:val="center"/>
                    <w:rPr>
                      <w:rFonts w:eastAsia="宋体"/>
                      <w:sz w:val="21"/>
                    </w:rPr>
                  </w:pPr>
                  <w:r>
                    <w:rPr>
                      <w:rFonts w:hint="eastAsia" w:eastAsia="宋体"/>
                      <w:sz w:val="21"/>
                    </w:rPr>
                    <w:t>项目河段檬子河大桥右岸南侧</w:t>
                  </w:r>
                </w:p>
              </w:tc>
              <w:tc>
                <w:tcPr>
                  <w:tcW w:w="1133" w:type="dxa"/>
                  <w:tcBorders>
                    <w:tl2br w:val="nil"/>
                    <w:tr2bl w:val="nil"/>
                  </w:tcBorders>
                  <w:vAlign w:val="center"/>
                </w:tcPr>
                <w:p w14:paraId="4F0EC4B2">
                  <w:pPr>
                    <w:pStyle w:val="30"/>
                    <w:widowControl/>
                    <w:spacing w:line="240" w:lineRule="auto"/>
                    <w:ind w:firstLine="0" w:firstLineChars="0"/>
                    <w:jc w:val="center"/>
                    <w:rPr>
                      <w:rFonts w:eastAsia="宋体"/>
                      <w:sz w:val="21"/>
                    </w:rPr>
                  </w:pPr>
                  <w:r>
                    <w:rPr>
                      <w:rFonts w:hint="eastAsia" w:eastAsia="宋体"/>
                      <w:sz w:val="21"/>
                    </w:rPr>
                    <w:t>395-488m</w:t>
                  </w:r>
                </w:p>
              </w:tc>
              <w:tc>
                <w:tcPr>
                  <w:tcW w:w="1019" w:type="dxa"/>
                  <w:tcBorders>
                    <w:tl2br w:val="nil"/>
                    <w:tr2bl w:val="nil"/>
                  </w:tcBorders>
                  <w:vAlign w:val="center"/>
                </w:tcPr>
                <w:p w14:paraId="049CC406">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0D18C81D">
                  <w:pPr>
                    <w:pStyle w:val="30"/>
                    <w:widowControl/>
                    <w:spacing w:line="240" w:lineRule="auto"/>
                    <w:ind w:firstLine="0" w:firstLineChars="0"/>
                    <w:jc w:val="center"/>
                    <w:rPr>
                      <w:rFonts w:eastAsia="宋体"/>
                      <w:sz w:val="21"/>
                    </w:rPr>
                  </w:pPr>
                  <w:r>
                    <w:rPr>
                      <w:rFonts w:eastAsia="宋体"/>
                      <w:sz w:val="21"/>
                    </w:rPr>
                    <w:t>224户，约 20人</w:t>
                  </w:r>
                </w:p>
              </w:tc>
              <w:tc>
                <w:tcPr>
                  <w:tcW w:w="1225" w:type="dxa"/>
                  <w:vMerge w:val="continue"/>
                  <w:tcBorders>
                    <w:tl2br w:val="nil"/>
                    <w:tr2bl w:val="nil"/>
                  </w:tcBorders>
                  <w:vAlign w:val="center"/>
                </w:tcPr>
                <w:p w14:paraId="0AC1C147">
                  <w:pPr>
                    <w:pStyle w:val="30"/>
                    <w:widowControl/>
                    <w:spacing w:line="240" w:lineRule="auto"/>
                    <w:ind w:firstLine="0" w:firstLineChars="0"/>
                    <w:jc w:val="center"/>
                    <w:rPr>
                      <w:rFonts w:eastAsia="宋体"/>
                      <w:sz w:val="21"/>
                    </w:rPr>
                  </w:pPr>
                </w:p>
              </w:tc>
            </w:tr>
            <w:tr w14:paraId="25EE62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65BD50E0">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2AD48B8D">
                  <w:pPr>
                    <w:pStyle w:val="30"/>
                    <w:widowControl/>
                    <w:spacing w:line="240" w:lineRule="auto"/>
                    <w:ind w:firstLine="0" w:firstLineChars="0"/>
                    <w:jc w:val="center"/>
                    <w:rPr>
                      <w:rFonts w:eastAsia="宋体"/>
                      <w:sz w:val="21"/>
                    </w:rPr>
                  </w:pPr>
                  <w:r>
                    <w:rPr>
                      <w:rFonts w:hint="eastAsia" w:eastAsia="宋体"/>
                      <w:sz w:val="21"/>
                    </w:rPr>
                    <w:t>坝中名园</w:t>
                  </w:r>
                </w:p>
              </w:tc>
              <w:tc>
                <w:tcPr>
                  <w:tcW w:w="1784" w:type="dxa"/>
                  <w:tcBorders>
                    <w:tl2br w:val="nil"/>
                    <w:tr2bl w:val="nil"/>
                  </w:tcBorders>
                  <w:vAlign w:val="center"/>
                </w:tcPr>
                <w:p w14:paraId="36FA6276">
                  <w:pPr>
                    <w:pStyle w:val="30"/>
                    <w:widowControl/>
                    <w:spacing w:line="240" w:lineRule="auto"/>
                    <w:ind w:firstLine="0" w:firstLineChars="0"/>
                    <w:jc w:val="center"/>
                    <w:rPr>
                      <w:rFonts w:eastAsia="宋体"/>
                      <w:sz w:val="21"/>
                    </w:rPr>
                  </w:pPr>
                  <w:r>
                    <w:rPr>
                      <w:rFonts w:hint="eastAsia" w:eastAsia="宋体"/>
                      <w:sz w:val="21"/>
                    </w:rPr>
                    <w:t>项目河段檬子河大桥右岸南侧</w:t>
                  </w:r>
                </w:p>
              </w:tc>
              <w:tc>
                <w:tcPr>
                  <w:tcW w:w="1133" w:type="dxa"/>
                  <w:tcBorders>
                    <w:tl2br w:val="nil"/>
                    <w:tr2bl w:val="nil"/>
                  </w:tcBorders>
                  <w:vAlign w:val="center"/>
                </w:tcPr>
                <w:p w14:paraId="3EA01239">
                  <w:pPr>
                    <w:pStyle w:val="30"/>
                    <w:widowControl/>
                    <w:spacing w:line="240" w:lineRule="auto"/>
                    <w:ind w:firstLine="0" w:firstLineChars="0"/>
                    <w:jc w:val="center"/>
                    <w:rPr>
                      <w:rFonts w:eastAsia="宋体"/>
                      <w:sz w:val="21"/>
                    </w:rPr>
                  </w:pPr>
                  <w:r>
                    <w:rPr>
                      <w:rFonts w:hint="eastAsia" w:eastAsia="宋体"/>
                      <w:sz w:val="21"/>
                    </w:rPr>
                    <w:t>500-650m</w:t>
                  </w:r>
                </w:p>
              </w:tc>
              <w:tc>
                <w:tcPr>
                  <w:tcW w:w="1019" w:type="dxa"/>
                  <w:tcBorders>
                    <w:tl2br w:val="nil"/>
                    <w:tr2bl w:val="nil"/>
                  </w:tcBorders>
                  <w:vAlign w:val="center"/>
                </w:tcPr>
                <w:p w14:paraId="1DE7E7E1">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64B76E0A">
                  <w:pPr>
                    <w:pStyle w:val="30"/>
                    <w:widowControl/>
                    <w:spacing w:line="240" w:lineRule="auto"/>
                    <w:ind w:firstLine="0" w:firstLineChars="0"/>
                    <w:jc w:val="center"/>
                    <w:rPr>
                      <w:rFonts w:eastAsia="宋体"/>
                      <w:sz w:val="21"/>
                    </w:rPr>
                  </w:pPr>
                  <w:r>
                    <w:rPr>
                      <w:rFonts w:eastAsia="宋体"/>
                      <w:sz w:val="21"/>
                    </w:rPr>
                    <w:t>948户，约3140人</w:t>
                  </w:r>
                </w:p>
              </w:tc>
              <w:tc>
                <w:tcPr>
                  <w:tcW w:w="1225" w:type="dxa"/>
                  <w:vMerge w:val="continue"/>
                  <w:tcBorders>
                    <w:tl2br w:val="nil"/>
                    <w:tr2bl w:val="nil"/>
                  </w:tcBorders>
                  <w:vAlign w:val="center"/>
                </w:tcPr>
                <w:p w14:paraId="6C056486">
                  <w:pPr>
                    <w:pStyle w:val="30"/>
                    <w:widowControl/>
                    <w:spacing w:line="240" w:lineRule="auto"/>
                    <w:ind w:firstLine="0" w:firstLineChars="0"/>
                    <w:jc w:val="center"/>
                    <w:rPr>
                      <w:rFonts w:eastAsia="宋体"/>
                      <w:sz w:val="21"/>
                    </w:rPr>
                  </w:pPr>
                </w:p>
              </w:tc>
            </w:tr>
            <w:tr w14:paraId="1F7283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453D833B">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63E039CF">
                  <w:pPr>
                    <w:pStyle w:val="30"/>
                    <w:widowControl/>
                    <w:spacing w:line="240" w:lineRule="auto"/>
                    <w:ind w:firstLine="0" w:firstLineChars="0"/>
                    <w:jc w:val="center"/>
                    <w:rPr>
                      <w:rFonts w:eastAsia="宋体"/>
                      <w:sz w:val="21"/>
                    </w:rPr>
                  </w:pPr>
                  <w:r>
                    <w:rPr>
                      <w:rFonts w:hint="eastAsia" w:eastAsia="宋体"/>
                      <w:sz w:val="21"/>
                    </w:rPr>
                    <w:t>巴中市中坝小学</w:t>
                  </w:r>
                </w:p>
              </w:tc>
              <w:tc>
                <w:tcPr>
                  <w:tcW w:w="1784" w:type="dxa"/>
                  <w:tcBorders>
                    <w:tl2br w:val="nil"/>
                    <w:tr2bl w:val="nil"/>
                  </w:tcBorders>
                  <w:vAlign w:val="center"/>
                </w:tcPr>
                <w:p w14:paraId="2C16B010">
                  <w:pPr>
                    <w:pStyle w:val="30"/>
                    <w:widowControl/>
                    <w:spacing w:line="240" w:lineRule="auto"/>
                    <w:ind w:firstLine="0" w:firstLineChars="0"/>
                    <w:jc w:val="center"/>
                    <w:rPr>
                      <w:rFonts w:eastAsia="宋体"/>
                      <w:sz w:val="21"/>
                    </w:rPr>
                  </w:pPr>
                  <w:r>
                    <w:rPr>
                      <w:rFonts w:hint="eastAsia" w:eastAsia="宋体"/>
                      <w:sz w:val="21"/>
                    </w:rPr>
                    <w:t>项目河段黄家沟大桥右岸北侧</w:t>
                  </w:r>
                </w:p>
              </w:tc>
              <w:tc>
                <w:tcPr>
                  <w:tcW w:w="1133" w:type="dxa"/>
                  <w:tcBorders>
                    <w:tl2br w:val="nil"/>
                    <w:tr2bl w:val="nil"/>
                  </w:tcBorders>
                  <w:vAlign w:val="center"/>
                </w:tcPr>
                <w:p w14:paraId="7D6D24EF">
                  <w:pPr>
                    <w:pStyle w:val="30"/>
                    <w:widowControl/>
                    <w:spacing w:line="240" w:lineRule="auto"/>
                    <w:ind w:firstLine="0" w:firstLineChars="0"/>
                    <w:jc w:val="center"/>
                    <w:rPr>
                      <w:rFonts w:eastAsia="宋体"/>
                      <w:sz w:val="21"/>
                    </w:rPr>
                  </w:pPr>
                  <w:r>
                    <w:rPr>
                      <w:rFonts w:hint="eastAsia" w:eastAsia="宋体"/>
                      <w:sz w:val="21"/>
                    </w:rPr>
                    <w:t>435m</w:t>
                  </w:r>
                </w:p>
              </w:tc>
              <w:tc>
                <w:tcPr>
                  <w:tcW w:w="1019" w:type="dxa"/>
                  <w:tcBorders>
                    <w:tl2br w:val="nil"/>
                    <w:tr2bl w:val="nil"/>
                  </w:tcBorders>
                  <w:vAlign w:val="center"/>
                </w:tcPr>
                <w:p w14:paraId="5F2EDDD5">
                  <w:pPr>
                    <w:pStyle w:val="30"/>
                    <w:widowControl/>
                    <w:spacing w:line="240" w:lineRule="auto"/>
                    <w:ind w:firstLine="0" w:firstLineChars="0"/>
                    <w:jc w:val="center"/>
                    <w:rPr>
                      <w:rFonts w:eastAsia="宋体"/>
                      <w:sz w:val="21"/>
                    </w:rPr>
                  </w:pPr>
                  <w:r>
                    <w:rPr>
                      <w:rFonts w:hint="eastAsia" w:eastAsia="宋体"/>
                      <w:sz w:val="21"/>
                    </w:rPr>
                    <w:t>学校</w:t>
                  </w:r>
                </w:p>
              </w:tc>
              <w:tc>
                <w:tcPr>
                  <w:tcW w:w="1225" w:type="dxa"/>
                  <w:tcBorders>
                    <w:tl2br w:val="nil"/>
                    <w:tr2bl w:val="nil"/>
                  </w:tcBorders>
                  <w:vAlign w:val="center"/>
                </w:tcPr>
                <w:p w14:paraId="24011BB5">
                  <w:pPr>
                    <w:pStyle w:val="30"/>
                    <w:widowControl/>
                    <w:spacing w:line="240" w:lineRule="auto"/>
                    <w:ind w:firstLine="0" w:firstLineChars="0"/>
                    <w:jc w:val="center"/>
                    <w:rPr>
                      <w:rFonts w:eastAsia="宋体"/>
                      <w:sz w:val="21"/>
                    </w:rPr>
                  </w:pPr>
                  <w:r>
                    <w:rPr>
                      <w:rFonts w:eastAsia="宋体"/>
                      <w:sz w:val="21"/>
                    </w:rPr>
                    <w:t>约3530人</w:t>
                  </w:r>
                </w:p>
              </w:tc>
              <w:tc>
                <w:tcPr>
                  <w:tcW w:w="1225" w:type="dxa"/>
                  <w:vMerge w:val="continue"/>
                  <w:tcBorders>
                    <w:tl2br w:val="nil"/>
                    <w:tr2bl w:val="nil"/>
                  </w:tcBorders>
                  <w:vAlign w:val="center"/>
                </w:tcPr>
                <w:p w14:paraId="5990B4BC">
                  <w:pPr>
                    <w:pStyle w:val="30"/>
                    <w:widowControl/>
                    <w:spacing w:line="240" w:lineRule="auto"/>
                    <w:ind w:firstLine="0" w:firstLineChars="0"/>
                    <w:jc w:val="center"/>
                    <w:rPr>
                      <w:rFonts w:eastAsia="宋体"/>
                      <w:sz w:val="21"/>
                    </w:rPr>
                  </w:pPr>
                </w:p>
              </w:tc>
            </w:tr>
            <w:tr w14:paraId="2AEEBC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071EA732">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3E00E0D6">
                  <w:pPr>
                    <w:pStyle w:val="30"/>
                    <w:widowControl/>
                    <w:spacing w:line="240" w:lineRule="auto"/>
                    <w:ind w:firstLine="0" w:firstLineChars="0"/>
                    <w:jc w:val="center"/>
                    <w:rPr>
                      <w:rFonts w:eastAsia="宋体"/>
                      <w:sz w:val="21"/>
                    </w:rPr>
                  </w:pPr>
                  <w:r>
                    <w:rPr>
                      <w:rFonts w:hint="eastAsia" w:eastAsia="宋体"/>
                      <w:sz w:val="21"/>
                    </w:rPr>
                    <w:t>中交·王府景二期</w:t>
                  </w:r>
                </w:p>
              </w:tc>
              <w:tc>
                <w:tcPr>
                  <w:tcW w:w="1784" w:type="dxa"/>
                  <w:tcBorders>
                    <w:tl2br w:val="nil"/>
                    <w:tr2bl w:val="nil"/>
                  </w:tcBorders>
                  <w:vAlign w:val="center"/>
                </w:tcPr>
                <w:p w14:paraId="42BE4A02">
                  <w:pPr>
                    <w:pStyle w:val="30"/>
                    <w:widowControl/>
                    <w:spacing w:line="240" w:lineRule="auto"/>
                    <w:ind w:firstLine="0" w:firstLineChars="0"/>
                    <w:jc w:val="center"/>
                    <w:rPr>
                      <w:rFonts w:eastAsia="宋体"/>
                      <w:sz w:val="21"/>
                    </w:rPr>
                  </w:pPr>
                  <w:r>
                    <w:rPr>
                      <w:rFonts w:hint="eastAsia" w:eastAsia="宋体"/>
                      <w:sz w:val="21"/>
                    </w:rPr>
                    <w:t>项目河段黄家沟大桥右岸北侧</w:t>
                  </w:r>
                </w:p>
              </w:tc>
              <w:tc>
                <w:tcPr>
                  <w:tcW w:w="1133" w:type="dxa"/>
                  <w:tcBorders>
                    <w:tl2br w:val="nil"/>
                    <w:tr2bl w:val="nil"/>
                  </w:tcBorders>
                  <w:vAlign w:val="center"/>
                </w:tcPr>
                <w:p w14:paraId="192A0785">
                  <w:pPr>
                    <w:pStyle w:val="30"/>
                    <w:widowControl/>
                    <w:spacing w:line="240" w:lineRule="auto"/>
                    <w:ind w:firstLine="0" w:firstLineChars="0"/>
                    <w:jc w:val="center"/>
                    <w:rPr>
                      <w:rFonts w:eastAsia="宋体"/>
                      <w:sz w:val="21"/>
                    </w:rPr>
                  </w:pPr>
                  <w:r>
                    <w:rPr>
                      <w:rFonts w:hint="eastAsia" w:eastAsia="宋体"/>
                      <w:sz w:val="21"/>
                    </w:rPr>
                    <w:t>60-573m</w:t>
                  </w:r>
                </w:p>
              </w:tc>
              <w:tc>
                <w:tcPr>
                  <w:tcW w:w="1019" w:type="dxa"/>
                  <w:tcBorders>
                    <w:tl2br w:val="nil"/>
                    <w:tr2bl w:val="nil"/>
                  </w:tcBorders>
                  <w:shd w:val="clear" w:color="auto" w:fill="auto"/>
                  <w:vAlign w:val="center"/>
                </w:tcPr>
                <w:p w14:paraId="7C6F3628">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517D8940">
                  <w:pPr>
                    <w:pStyle w:val="30"/>
                    <w:widowControl/>
                    <w:spacing w:line="240" w:lineRule="auto"/>
                    <w:ind w:firstLine="0" w:firstLineChars="0"/>
                    <w:jc w:val="center"/>
                    <w:rPr>
                      <w:rFonts w:eastAsia="宋体"/>
                      <w:sz w:val="21"/>
                    </w:rPr>
                  </w:pPr>
                  <w:r>
                    <w:rPr>
                      <w:rFonts w:eastAsia="宋体"/>
                      <w:sz w:val="21"/>
                    </w:rPr>
                    <w:t>1260户，约4200人</w:t>
                  </w:r>
                </w:p>
              </w:tc>
              <w:tc>
                <w:tcPr>
                  <w:tcW w:w="1225" w:type="dxa"/>
                  <w:vMerge w:val="continue"/>
                  <w:tcBorders>
                    <w:tl2br w:val="nil"/>
                    <w:tr2bl w:val="nil"/>
                  </w:tcBorders>
                  <w:vAlign w:val="center"/>
                </w:tcPr>
                <w:p w14:paraId="58074BAB">
                  <w:pPr>
                    <w:pStyle w:val="30"/>
                    <w:widowControl/>
                    <w:spacing w:line="240" w:lineRule="auto"/>
                    <w:ind w:firstLine="0" w:firstLineChars="0"/>
                    <w:jc w:val="center"/>
                    <w:rPr>
                      <w:rFonts w:eastAsia="宋体"/>
                      <w:sz w:val="21"/>
                    </w:rPr>
                  </w:pPr>
                </w:p>
              </w:tc>
            </w:tr>
            <w:tr w14:paraId="4C446E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23CD2072">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0F627C73">
                  <w:pPr>
                    <w:pStyle w:val="30"/>
                    <w:widowControl/>
                    <w:spacing w:line="240" w:lineRule="auto"/>
                    <w:ind w:firstLine="0" w:firstLineChars="0"/>
                    <w:jc w:val="center"/>
                    <w:rPr>
                      <w:rFonts w:eastAsia="宋体"/>
                      <w:sz w:val="21"/>
                    </w:rPr>
                  </w:pPr>
                  <w:r>
                    <w:rPr>
                      <w:rFonts w:hint="eastAsia" w:eastAsia="宋体"/>
                      <w:sz w:val="21"/>
                    </w:rPr>
                    <w:t>万达广场</w:t>
                  </w:r>
                </w:p>
              </w:tc>
              <w:tc>
                <w:tcPr>
                  <w:tcW w:w="1784" w:type="dxa"/>
                  <w:tcBorders>
                    <w:tl2br w:val="nil"/>
                    <w:tr2bl w:val="nil"/>
                  </w:tcBorders>
                  <w:vAlign w:val="center"/>
                </w:tcPr>
                <w:p w14:paraId="504D02BF">
                  <w:pPr>
                    <w:pStyle w:val="30"/>
                    <w:widowControl/>
                    <w:spacing w:line="240" w:lineRule="auto"/>
                    <w:ind w:firstLine="0" w:firstLineChars="0"/>
                    <w:jc w:val="center"/>
                    <w:rPr>
                      <w:rFonts w:eastAsia="宋体"/>
                      <w:sz w:val="21"/>
                    </w:rPr>
                  </w:pPr>
                  <w:r>
                    <w:rPr>
                      <w:rFonts w:hint="eastAsia" w:eastAsia="宋体"/>
                      <w:sz w:val="21"/>
                    </w:rPr>
                    <w:t>项目河段黄家沟大桥左岸东北侧</w:t>
                  </w:r>
                </w:p>
              </w:tc>
              <w:tc>
                <w:tcPr>
                  <w:tcW w:w="1133" w:type="dxa"/>
                  <w:tcBorders>
                    <w:tl2br w:val="nil"/>
                    <w:tr2bl w:val="nil"/>
                  </w:tcBorders>
                  <w:vAlign w:val="center"/>
                </w:tcPr>
                <w:p w14:paraId="356F315A">
                  <w:pPr>
                    <w:pStyle w:val="30"/>
                    <w:widowControl/>
                    <w:spacing w:line="240" w:lineRule="auto"/>
                    <w:ind w:firstLine="0" w:firstLineChars="0"/>
                    <w:jc w:val="center"/>
                    <w:rPr>
                      <w:rFonts w:eastAsia="宋体"/>
                      <w:sz w:val="21"/>
                    </w:rPr>
                  </w:pPr>
                  <w:r>
                    <w:rPr>
                      <w:rFonts w:hint="eastAsia" w:eastAsia="宋体"/>
                      <w:sz w:val="21"/>
                    </w:rPr>
                    <w:t>300m</w:t>
                  </w:r>
                </w:p>
              </w:tc>
              <w:tc>
                <w:tcPr>
                  <w:tcW w:w="1019" w:type="dxa"/>
                  <w:tcBorders>
                    <w:tl2br w:val="nil"/>
                    <w:tr2bl w:val="nil"/>
                  </w:tcBorders>
                  <w:vAlign w:val="center"/>
                </w:tcPr>
                <w:p w14:paraId="05C52CFB">
                  <w:pPr>
                    <w:pStyle w:val="30"/>
                    <w:widowControl/>
                    <w:spacing w:line="240" w:lineRule="auto"/>
                    <w:ind w:firstLine="0" w:firstLineChars="0"/>
                    <w:jc w:val="center"/>
                    <w:rPr>
                      <w:rFonts w:eastAsia="宋体"/>
                      <w:sz w:val="21"/>
                    </w:rPr>
                  </w:pPr>
                  <w:r>
                    <w:rPr>
                      <w:rFonts w:hint="eastAsia" w:eastAsia="宋体"/>
                      <w:sz w:val="21"/>
                    </w:rPr>
                    <w:t>商业区</w:t>
                  </w:r>
                </w:p>
              </w:tc>
              <w:tc>
                <w:tcPr>
                  <w:tcW w:w="1225" w:type="dxa"/>
                  <w:tcBorders>
                    <w:tl2br w:val="nil"/>
                    <w:tr2bl w:val="nil"/>
                  </w:tcBorders>
                  <w:vAlign w:val="center"/>
                </w:tcPr>
                <w:p w14:paraId="785B4025">
                  <w:pPr>
                    <w:pStyle w:val="30"/>
                    <w:widowControl/>
                    <w:spacing w:line="240" w:lineRule="auto"/>
                    <w:ind w:firstLine="0" w:firstLineChars="0"/>
                    <w:jc w:val="center"/>
                    <w:rPr>
                      <w:rFonts w:eastAsia="宋体"/>
                      <w:sz w:val="21"/>
                    </w:rPr>
                  </w:pPr>
                  <w:r>
                    <w:rPr>
                      <w:rFonts w:hint="eastAsia" w:eastAsia="宋体"/>
                      <w:sz w:val="21"/>
                    </w:rPr>
                    <w:t>约</w:t>
                  </w:r>
                  <w:r>
                    <w:rPr>
                      <w:rFonts w:eastAsia="宋体"/>
                      <w:sz w:val="21"/>
                    </w:rPr>
                    <w:t>4000人</w:t>
                  </w:r>
                </w:p>
              </w:tc>
              <w:tc>
                <w:tcPr>
                  <w:tcW w:w="1225" w:type="dxa"/>
                  <w:vMerge w:val="continue"/>
                  <w:tcBorders>
                    <w:tl2br w:val="nil"/>
                    <w:tr2bl w:val="nil"/>
                  </w:tcBorders>
                  <w:vAlign w:val="center"/>
                </w:tcPr>
                <w:p w14:paraId="5FB8B6AA">
                  <w:pPr>
                    <w:pStyle w:val="30"/>
                    <w:widowControl/>
                    <w:spacing w:line="240" w:lineRule="auto"/>
                    <w:ind w:firstLine="0" w:firstLineChars="0"/>
                    <w:jc w:val="center"/>
                    <w:rPr>
                      <w:rFonts w:eastAsia="宋体"/>
                      <w:sz w:val="21"/>
                    </w:rPr>
                  </w:pPr>
                </w:p>
              </w:tc>
            </w:tr>
            <w:tr w14:paraId="0C1717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785F50E8">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7BAFCEF0">
                  <w:pPr>
                    <w:pStyle w:val="30"/>
                    <w:widowControl/>
                    <w:spacing w:line="240" w:lineRule="auto"/>
                    <w:ind w:firstLine="0" w:firstLineChars="0"/>
                    <w:jc w:val="center"/>
                    <w:rPr>
                      <w:rFonts w:eastAsia="宋体"/>
                      <w:sz w:val="21"/>
                    </w:rPr>
                  </w:pPr>
                  <w:r>
                    <w:rPr>
                      <w:rFonts w:hint="eastAsia" w:eastAsia="宋体"/>
                      <w:sz w:val="21"/>
                    </w:rPr>
                    <w:t>国盛首府</w:t>
                  </w:r>
                </w:p>
              </w:tc>
              <w:tc>
                <w:tcPr>
                  <w:tcW w:w="1784" w:type="dxa"/>
                  <w:tcBorders>
                    <w:tl2br w:val="nil"/>
                    <w:tr2bl w:val="nil"/>
                  </w:tcBorders>
                  <w:vAlign w:val="center"/>
                </w:tcPr>
                <w:p w14:paraId="22A2B45E">
                  <w:pPr>
                    <w:pStyle w:val="30"/>
                    <w:widowControl/>
                    <w:spacing w:line="240" w:lineRule="auto"/>
                    <w:ind w:firstLine="0" w:firstLineChars="0"/>
                    <w:jc w:val="center"/>
                    <w:rPr>
                      <w:rFonts w:eastAsia="宋体"/>
                      <w:sz w:val="21"/>
                    </w:rPr>
                  </w:pPr>
                  <w:r>
                    <w:rPr>
                      <w:rFonts w:hint="eastAsia" w:eastAsia="宋体"/>
                      <w:sz w:val="21"/>
                    </w:rPr>
                    <w:t>项目河段黄家沟大桥左岸东南侧</w:t>
                  </w:r>
                </w:p>
              </w:tc>
              <w:tc>
                <w:tcPr>
                  <w:tcW w:w="1133" w:type="dxa"/>
                  <w:tcBorders>
                    <w:tl2br w:val="nil"/>
                    <w:tr2bl w:val="nil"/>
                  </w:tcBorders>
                  <w:vAlign w:val="center"/>
                </w:tcPr>
                <w:p w14:paraId="56EE3245">
                  <w:pPr>
                    <w:pStyle w:val="30"/>
                    <w:widowControl/>
                    <w:spacing w:line="240" w:lineRule="auto"/>
                    <w:ind w:firstLine="0" w:firstLineChars="0"/>
                    <w:jc w:val="center"/>
                    <w:rPr>
                      <w:rFonts w:eastAsia="宋体"/>
                      <w:sz w:val="21"/>
                    </w:rPr>
                  </w:pPr>
                  <w:r>
                    <w:rPr>
                      <w:rFonts w:hint="eastAsia" w:eastAsia="宋体"/>
                      <w:sz w:val="21"/>
                    </w:rPr>
                    <w:t>350-705m</w:t>
                  </w:r>
                </w:p>
              </w:tc>
              <w:tc>
                <w:tcPr>
                  <w:tcW w:w="1019" w:type="dxa"/>
                  <w:tcBorders>
                    <w:tl2br w:val="nil"/>
                    <w:tr2bl w:val="nil"/>
                  </w:tcBorders>
                  <w:vAlign w:val="center"/>
                </w:tcPr>
                <w:p w14:paraId="0B0B5CC8">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4DF324B8">
                  <w:pPr>
                    <w:pStyle w:val="30"/>
                    <w:widowControl/>
                    <w:spacing w:line="240" w:lineRule="auto"/>
                    <w:ind w:firstLine="0" w:firstLineChars="0"/>
                    <w:jc w:val="center"/>
                    <w:rPr>
                      <w:rFonts w:eastAsia="宋体"/>
                      <w:sz w:val="21"/>
                    </w:rPr>
                  </w:pPr>
                  <w:r>
                    <w:rPr>
                      <w:rFonts w:eastAsia="宋体"/>
                      <w:sz w:val="21"/>
                    </w:rPr>
                    <w:t>2886户，约9670人</w:t>
                  </w:r>
                </w:p>
              </w:tc>
              <w:tc>
                <w:tcPr>
                  <w:tcW w:w="1225" w:type="dxa"/>
                  <w:vMerge w:val="continue"/>
                  <w:tcBorders>
                    <w:tl2br w:val="nil"/>
                    <w:tr2bl w:val="nil"/>
                  </w:tcBorders>
                  <w:vAlign w:val="center"/>
                </w:tcPr>
                <w:p w14:paraId="03D48C4D">
                  <w:pPr>
                    <w:pStyle w:val="30"/>
                    <w:widowControl/>
                    <w:spacing w:line="240" w:lineRule="auto"/>
                    <w:ind w:firstLine="0" w:firstLineChars="0"/>
                    <w:jc w:val="center"/>
                    <w:rPr>
                      <w:rFonts w:eastAsia="宋体"/>
                      <w:sz w:val="21"/>
                    </w:rPr>
                  </w:pPr>
                </w:p>
              </w:tc>
            </w:tr>
            <w:tr w14:paraId="398922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6CE1E654">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314E0673">
                  <w:pPr>
                    <w:pStyle w:val="30"/>
                    <w:widowControl/>
                    <w:spacing w:line="240" w:lineRule="auto"/>
                    <w:ind w:firstLine="0" w:firstLineChars="0"/>
                    <w:jc w:val="center"/>
                    <w:rPr>
                      <w:rFonts w:eastAsia="宋体"/>
                      <w:sz w:val="21"/>
                    </w:rPr>
                  </w:pPr>
                  <w:r>
                    <w:rPr>
                      <w:rFonts w:hint="eastAsia" w:eastAsia="宋体"/>
                      <w:sz w:val="21"/>
                    </w:rPr>
                    <w:t>石长碑居民区</w:t>
                  </w:r>
                </w:p>
              </w:tc>
              <w:tc>
                <w:tcPr>
                  <w:tcW w:w="1784" w:type="dxa"/>
                  <w:tcBorders>
                    <w:tl2br w:val="nil"/>
                    <w:tr2bl w:val="nil"/>
                  </w:tcBorders>
                  <w:vAlign w:val="center"/>
                </w:tcPr>
                <w:p w14:paraId="195A2CD7">
                  <w:pPr>
                    <w:pStyle w:val="30"/>
                    <w:widowControl/>
                    <w:spacing w:line="240" w:lineRule="auto"/>
                    <w:ind w:firstLine="0" w:firstLineChars="0"/>
                    <w:jc w:val="center"/>
                    <w:rPr>
                      <w:rFonts w:eastAsia="宋体"/>
                      <w:sz w:val="21"/>
                    </w:rPr>
                  </w:pPr>
                  <w:r>
                    <w:rPr>
                      <w:rFonts w:hint="eastAsia" w:eastAsia="宋体"/>
                      <w:sz w:val="21"/>
                    </w:rPr>
                    <w:t>项目河段黄家沟大桥左岸东南侧</w:t>
                  </w:r>
                </w:p>
              </w:tc>
              <w:tc>
                <w:tcPr>
                  <w:tcW w:w="1133" w:type="dxa"/>
                  <w:tcBorders>
                    <w:tl2br w:val="nil"/>
                    <w:tr2bl w:val="nil"/>
                  </w:tcBorders>
                  <w:vAlign w:val="center"/>
                </w:tcPr>
                <w:p w14:paraId="3376FD63">
                  <w:pPr>
                    <w:pStyle w:val="30"/>
                    <w:widowControl/>
                    <w:spacing w:line="240" w:lineRule="auto"/>
                    <w:ind w:firstLine="0" w:firstLineChars="0"/>
                    <w:jc w:val="center"/>
                    <w:rPr>
                      <w:rFonts w:eastAsia="宋体"/>
                      <w:sz w:val="21"/>
                    </w:rPr>
                  </w:pPr>
                  <w:r>
                    <w:rPr>
                      <w:rFonts w:hint="eastAsia" w:eastAsia="宋体"/>
                      <w:sz w:val="21"/>
                    </w:rPr>
                    <w:t>380-775m</w:t>
                  </w:r>
                </w:p>
              </w:tc>
              <w:tc>
                <w:tcPr>
                  <w:tcW w:w="1019" w:type="dxa"/>
                  <w:tcBorders>
                    <w:tl2br w:val="nil"/>
                    <w:tr2bl w:val="nil"/>
                  </w:tcBorders>
                  <w:vAlign w:val="center"/>
                </w:tcPr>
                <w:p w14:paraId="76E38B2A">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125EC00C">
                  <w:pPr>
                    <w:pStyle w:val="30"/>
                    <w:widowControl/>
                    <w:spacing w:line="240" w:lineRule="auto"/>
                    <w:ind w:firstLine="0" w:firstLineChars="0"/>
                    <w:jc w:val="center"/>
                    <w:rPr>
                      <w:rFonts w:eastAsia="宋体"/>
                      <w:sz w:val="21"/>
                    </w:rPr>
                  </w:pPr>
                  <w:r>
                    <w:rPr>
                      <w:rFonts w:eastAsia="宋体"/>
                      <w:sz w:val="21"/>
                    </w:rPr>
                    <w:t>208户，约660人</w:t>
                  </w:r>
                </w:p>
              </w:tc>
              <w:tc>
                <w:tcPr>
                  <w:tcW w:w="1225" w:type="dxa"/>
                  <w:vMerge w:val="continue"/>
                  <w:tcBorders>
                    <w:tl2br w:val="nil"/>
                    <w:tr2bl w:val="nil"/>
                  </w:tcBorders>
                  <w:vAlign w:val="center"/>
                </w:tcPr>
                <w:p w14:paraId="57FA5484">
                  <w:pPr>
                    <w:pStyle w:val="30"/>
                    <w:widowControl/>
                    <w:spacing w:line="240" w:lineRule="auto"/>
                    <w:ind w:firstLine="0" w:firstLineChars="0"/>
                    <w:jc w:val="center"/>
                    <w:rPr>
                      <w:rFonts w:eastAsia="宋体"/>
                      <w:sz w:val="21"/>
                    </w:rPr>
                  </w:pPr>
                </w:p>
              </w:tc>
            </w:tr>
            <w:tr w14:paraId="26E103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20" w:type="dxa"/>
                  <w:vMerge w:val="continue"/>
                  <w:tcBorders>
                    <w:tl2br w:val="nil"/>
                    <w:tr2bl w:val="nil"/>
                  </w:tcBorders>
                  <w:vAlign w:val="center"/>
                </w:tcPr>
                <w:p w14:paraId="5D05D3B8">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439822BE">
                  <w:pPr>
                    <w:pStyle w:val="30"/>
                    <w:widowControl/>
                    <w:spacing w:line="240" w:lineRule="auto"/>
                    <w:ind w:firstLine="0" w:firstLineChars="0"/>
                    <w:jc w:val="center"/>
                    <w:rPr>
                      <w:rFonts w:eastAsia="宋体"/>
                      <w:sz w:val="21"/>
                    </w:rPr>
                  </w:pPr>
                  <w:r>
                    <w:rPr>
                      <w:rFonts w:hint="eastAsia" w:eastAsia="宋体"/>
                      <w:sz w:val="21"/>
                    </w:rPr>
                    <w:t>中交·王府景</w:t>
                  </w:r>
                </w:p>
              </w:tc>
              <w:tc>
                <w:tcPr>
                  <w:tcW w:w="1784" w:type="dxa"/>
                  <w:tcBorders>
                    <w:tl2br w:val="nil"/>
                    <w:tr2bl w:val="nil"/>
                  </w:tcBorders>
                  <w:vAlign w:val="center"/>
                </w:tcPr>
                <w:p w14:paraId="3E79B841">
                  <w:pPr>
                    <w:pStyle w:val="30"/>
                    <w:widowControl/>
                    <w:spacing w:line="240" w:lineRule="auto"/>
                    <w:ind w:firstLine="0" w:firstLineChars="0"/>
                    <w:jc w:val="center"/>
                    <w:rPr>
                      <w:rFonts w:eastAsia="宋体"/>
                      <w:sz w:val="21"/>
                    </w:rPr>
                  </w:pPr>
                  <w:r>
                    <w:rPr>
                      <w:rFonts w:hint="eastAsia" w:eastAsia="宋体"/>
                      <w:sz w:val="21"/>
                    </w:rPr>
                    <w:t>项目河段终点右岸东北侧</w:t>
                  </w:r>
                </w:p>
              </w:tc>
              <w:tc>
                <w:tcPr>
                  <w:tcW w:w="1133" w:type="dxa"/>
                  <w:tcBorders>
                    <w:tl2br w:val="nil"/>
                    <w:tr2bl w:val="nil"/>
                  </w:tcBorders>
                  <w:vAlign w:val="center"/>
                </w:tcPr>
                <w:p w14:paraId="5E9E584C">
                  <w:pPr>
                    <w:pStyle w:val="30"/>
                    <w:widowControl/>
                    <w:spacing w:line="240" w:lineRule="auto"/>
                    <w:ind w:firstLine="0" w:firstLineChars="0"/>
                    <w:jc w:val="center"/>
                    <w:rPr>
                      <w:rFonts w:eastAsia="宋体"/>
                      <w:sz w:val="21"/>
                    </w:rPr>
                  </w:pPr>
                  <w:r>
                    <w:rPr>
                      <w:rFonts w:hint="eastAsia" w:eastAsia="宋体"/>
                      <w:sz w:val="21"/>
                    </w:rPr>
                    <w:t>126-593m</w:t>
                  </w:r>
                </w:p>
              </w:tc>
              <w:tc>
                <w:tcPr>
                  <w:tcW w:w="1019" w:type="dxa"/>
                  <w:tcBorders>
                    <w:tl2br w:val="nil"/>
                    <w:tr2bl w:val="nil"/>
                  </w:tcBorders>
                  <w:vAlign w:val="center"/>
                </w:tcPr>
                <w:p w14:paraId="7BAE4EC5">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6910E2BC">
                  <w:pPr>
                    <w:pStyle w:val="30"/>
                    <w:widowControl/>
                    <w:spacing w:line="240" w:lineRule="auto"/>
                    <w:ind w:firstLine="0" w:firstLineChars="0"/>
                    <w:jc w:val="center"/>
                    <w:rPr>
                      <w:rFonts w:eastAsia="宋体"/>
                      <w:sz w:val="21"/>
                    </w:rPr>
                  </w:pPr>
                  <w:r>
                    <w:rPr>
                      <w:rFonts w:eastAsia="宋体"/>
                      <w:sz w:val="21"/>
                    </w:rPr>
                    <w:t>1180户，约3930人</w:t>
                  </w:r>
                </w:p>
              </w:tc>
              <w:tc>
                <w:tcPr>
                  <w:tcW w:w="1225" w:type="dxa"/>
                  <w:vMerge w:val="continue"/>
                  <w:tcBorders>
                    <w:tl2br w:val="nil"/>
                    <w:tr2bl w:val="nil"/>
                  </w:tcBorders>
                  <w:vAlign w:val="center"/>
                </w:tcPr>
                <w:p w14:paraId="47D73A36">
                  <w:pPr>
                    <w:pStyle w:val="30"/>
                    <w:widowControl/>
                    <w:spacing w:line="240" w:lineRule="auto"/>
                    <w:ind w:firstLine="0" w:firstLineChars="0"/>
                    <w:jc w:val="center"/>
                    <w:rPr>
                      <w:rFonts w:eastAsia="宋体"/>
                      <w:sz w:val="21"/>
                    </w:rPr>
                  </w:pPr>
                </w:p>
              </w:tc>
            </w:tr>
            <w:tr w14:paraId="0B2166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214B914F">
                  <w:pPr>
                    <w:pStyle w:val="30"/>
                    <w:widowControl/>
                    <w:spacing w:line="240" w:lineRule="auto"/>
                    <w:ind w:firstLine="0" w:firstLineChars="0"/>
                    <w:jc w:val="center"/>
                    <w:rPr>
                      <w:rFonts w:eastAsia="宋体"/>
                      <w:sz w:val="21"/>
                    </w:rPr>
                  </w:pPr>
                </w:p>
              </w:tc>
              <w:tc>
                <w:tcPr>
                  <w:tcW w:w="1466" w:type="dxa"/>
                  <w:tcBorders>
                    <w:tl2br w:val="nil"/>
                    <w:tr2bl w:val="nil"/>
                  </w:tcBorders>
                  <w:vAlign w:val="center"/>
                </w:tcPr>
                <w:p w14:paraId="6B123AD8">
                  <w:pPr>
                    <w:pStyle w:val="30"/>
                    <w:widowControl/>
                    <w:spacing w:line="240" w:lineRule="auto"/>
                    <w:ind w:firstLine="0" w:firstLineChars="0"/>
                    <w:jc w:val="center"/>
                    <w:rPr>
                      <w:rFonts w:eastAsia="宋体"/>
                      <w:sz w:val="21"/>
                    </w:rPr>
                  </w:pPr>
                  <w:r>
                    <w:rPr>
                      <w:rFonts w:hint="eastAsia" w:eastAsia="宋体"/>
                      <w:sz w:val="21"/>
                    </w:rPr>
                    <w:t>巨林天下城</w:t>
                  </w:r>
                </w:p>
              </w:tc>
              <w:tc>
                <w:tcPr>
                  <w:tcW w:w="1784" w:type="dxa"/>
                  <w:tcBorders>
                    <w:tl2br w:val="nil"/>
                    <w:tr2bl w:val="nil"/>
                  </w:tcBorders>
                  <w:vAlign w:val="center"/>
                </w:tcPr>
                <w:p w14:paraId="356864AF">
                  <w:pPr>
                    <w:pStyle w:val="30"/>
                    <w:widowControl/>
                    <w:spacing w:line="240" w:lineRule="auto"/>
                    <w:ind w:firstLine="0" w:firstLineChars="0"/>
                    <w:jc w:val="center"/>
                    <w:rPr>
                      <w:rFonts w:eastAsia="宋体"/>
                      <w:sz w:val="21"/>
                    </w:rPr>
                  </w:pPr>
                  <w:r>
                    <w:rPr>
                      <w:rFonts w:hint="eastAsia" w:eastAsia="宋体"/>
                      <w:sz w:val="21"/>
                    </w:rPr>
                    <w:t>项目河段终点右岸南侧</w:t>
                  </w:r>
                </w:p>
              </w:tc>
              <w:tc>
                <w:tcPr>
                  <w:tcW w:w="1133" w:type="dxa"/>
                  <w:tcBorders>
                    <w:tl2br w:val="nil"/>
                    <w:tr2bl w:val="nil"/>
                  </w:tcBorders>
                  <w:vAlign w:val="center"/>
                </w:tcPr>
                <w:p w14:paraId="00EB5CED">
                  <w:pPr>
                    <w:pStyle w:val="30"/>
                    <w:widowControl/>
                    <w:spacing w:line="240" w:lineRule="auto"/>
                    <w:ind w:firstLine="0" w:firstLineChars="0"/>
                    <w:jc w:val="center"/>
                    <w:rPr>
                      <w:rFonts w:eastAsia="宋体"/>
                      <w:sz w:val="21"/>
                    </w:rPr>
                  </w:pPr>
                  <w:r>
                    <w:rPr>
                      <w:rFonts w:hint="eastAsia" w:eastAsia="宋体"/>
                      <w:sz w:val="21"/>
                    </w:rPr>
                    <w:t>136-555m</w:t>
                  </w:r>
                </w:p>
              </w:tc>
              <w:tc>
                <w:tcPr>
                  <w:tcW w:w="1019" w:type="dxa"/>
                  <w:tcBorders>
                    <w:tl2br w:val="nil"/>
                    <w:tr2bl w:val="nil"/>
                  </w:tcBorders>
                  <w:vAlign w:val="center"/>
                </w:tcPr>
                <w:p w14:paraId="6058B149">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vAlign w:val="center"/>
                </w:tcPr>
                <w:p w14:paraId="45961869">
                  <w:pPr>
                    <w:pStyle w:val="30"/>
                    <w:widowControl/>
                    <w:spacing w:line="240" w:lineRule="auto"/>
                    <w:ind w:firstLine="0" w:firstLineChars="0"/>
                    <w:jc w:val="center"/>
                    <w:rPr>
                      <w:rFonts w:eastAsia="宋体"/>
                      <w:sz w:val="21"/>
                    </w:rPr>
                  </w:pPr>
                  <w:r>
                    <w:rPr>
                      <w:rFonts w:eastAsia="宋体"/>
                      <w:sz w:val="21"/>
                    </w:rPr>
                    <w:t>1900户</w:t>
                  </w:r>
                  <w:r>
                    <w:rPr>
                      <w:rFonts w:hint="eastAsia" w:eastAsia="宋体"/>
                      <w:sz w:val="21"/>
                    </w:rPr>
                    <w:t>，约6650人</w:t>
                  </w:r>
                </w:p>
              </w:tc>
              <w:tc>
                <w:tcPr>
                  <w:tcW w:w="1225" w:type="dxa"/>
                  <w:vMerge w:val="continue"/>
                  <w:tcBorders>
                    <w:tl2br w:val="nil"/>
                    <w:tr2bl w:val="nil"/>
                  </w:tcBorders>
                  <w:vAlign w:val="center"/>
                </w:tcPr>
                <w:p w14:paraId="2A333FC0">
                  <w:pPr>
                    <w:pStyle w:val="30"/>
                    <w:widowControl/>
                    <w:spacing w:line="240" w:lineRule="auto"/>
                    <w:ind w:firstLine="0" w:firstLineChars="0"/>
                    <w:jc w:val="center"/>
                    <w:rPr>
                      <w:rFonts w:eastAsia="宋体"/>
                      <w:sz w:val="21"/>
                    </w:rPr>
                  </w:pPr>
                </w:p>
              </w:tc>
            </w:tr>
            <w:tr w14:paraId="153106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restart"/>
                  <w:tcBorders>
                    <w:tl2br w:val="nil"/>
                    <w:tr2bl w:val="nil"/>
                  </w:tcBorders>
                  <w:vAlign w:val="center"/>
                </w:tcPr>
                <w:p w14:paraId="1B713C82">
                  <w:pPr>
                    <w:pStyle w:val="30"/>
                    <w:widowControl/>
                    <w:spacing w:line="240" w:lineRule="auto"/>
                    <w:ind w:firstLine="0" w:firstLineChars="0"/>
                    <w:jc w:val="center"/>
                    <w:rPr>
                      <w:rFonts w:eastAsia="宋体"/>
                      <w:sz w:val="21"/>
                    </w:rPr>
                  </w:pPr>
                  <w:r>
                    <w:rPr>
                      <w:rFonts w:hint="eastAsia" w:eastAsia="宋体"/>
                      <w:sz w:val="21"/>
                    </w:rPr>
                    <w:t>声环境</w:t>
                  </w:r>
                </w:p>
              </w:tc>
              <w:tc>
                <w:tcPr>
                  <w:tcW w:w="1466" w:type="dxa"/>
                  <w:tcBorders>
                    <w:tl2br w:val="nil"/>
                    <w:tr2bl w:val="nil"/>
                  </w:tcBorders>
                  <w:shd w:val="clear" w:color="auto" w:fill="auto"/>
                  <w:vAlign w:val="center"/>
                </w:tcPr>
                <w:p w14:paraId="622B1AFF">
                  <w:pPr>
                    <w:pStyle w:val="30"/>
                    <w:widowControl/>
                    <w:spacing w:line="240" w:lineRule="auto"/>
                    <w:ind w:firstLine="0" w:firstLineChars="0"/>
                    <w:jc w:val="center"/>
                    <w:rPr>
                      <w:rFonts w:eastAsia="宋体"/>
                      <w:sz w:val="21"/>
                    </w:rPr>
                  </w:pPr>
                  <w:r>
                    <w:rPr>
                      <w:rFonts w:hint="eastAsia" w:eastAsia="宋体"/>
                      <w:sz w:val="21"/>
                    </w:rPr>
                    <w:t>东怡苑小区</w:t>
                  </w:r>
                </w:p>
              </w:tc>
              <w:tc>
                <w:tcPr>
                  <w:tcW w:w="1784" w:type="dxa"/>
                  <w:tcBorders>
                    <w:tl2br w:val="nil"/>
                    <w:tr2bl w:val="nil"/>
                  </w:tcBorders>
                  <w:shd w:val="clear" w:color="auto" w:fill="auto"/>
                  <w:vAlign w:val="center"/>
                </w:tcPr>
                <w:p w14:paraId="2AB78553">
                  <w:pPr>
                    <w:pStyle w:val="30"/>
                    <w:widowControl/>
                    <w:spacing w:line="240" w:lineRule="auto"/>
                    <w:ind w:firstLine="0" w:firstLineChars="0"/>
                    <w:jc w:val="center"/>
                    <w:rPr>
                      <w:rFonts w:eastAsia="宋体"/>
                      <w:sz w:val="21"/>
                    </w:rPr>
                  </w:pPr>
                  <w:r>
                    <w:rPr>
                      <w:rFonts w:hint="eastAsia" w:eastAsia="宋体"/>
                      <w:sz w:val="21"/>
                    </w:rPr>
                    <w:t>项目河段起点右岸西侧</w:t>
                  </w:r>
                </w:p>
              </w:tc>
              <w:tc>
                <w:tcPr>
                  <w:tcW w:w="1133" w:type="dxa"/>
                  <w:tcBorders>
                    <w:tl2br w:val="nil"/>
                    <w:tr2bl w:val="nil"/>
                  </w:tcBorders>
                  <w:shd w:val="clear" w:color="auto" w:fill="auto"/>
                  <w:vAlign w:val="center"/>
                </w:tcPr>
                <w:p w14:paraId="5D828F14">
                  <w:pPr>
                    <w:pStyle w:val="30"/>
                    <w:widowControl/>
                    <w:spacing w:line="240" w:lineRule="auto"/>
                    <w:ind w:firstLine="0" w:firstLineChars="0"/>
                    <w:jc w:val="center"/>
                    <w:rPr>
                      <w:rFonts w:eastAsia="宋体"/>
                      <w:sz w:val="21"/>
                    </w:rPr>
                  </w:pPr>
                  <w:r>
                    <w:rPr>
                      <w:rFonts w:hint="eastAsia" w:eastAsia="宋体"/>
                      <w:sz w:val="21"/>
                    </w:rPr>
                    <w:t>20-490m</w:t>
                  </w:r>
                </w:p>
              </w:tc>
              <w:tc>
                <w:tcPr>
                  <w:tcW w:w="1019" w:type="dxa"/>
                  <w:tcBorders>
                    <w:tl2br w:val="nil"/>
                    <w:tr2bl w:val="nil"/>
                  </w:tcBorders>
                  <w:shd w:val="clear" w:color="auto" w:fill="auto"/>
                  <w:vAlign w:val="center"/>
                </w:tcPr>
                <w:p w14:paraId="74B7C881">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shd w:val="clear" w:color="auto" w:fill="auto"/>
                  <w:vAlign w:val="center"/>
                </w:tcPr>
                <w:p w14:paraId="4993FFB0">
                  <w:pPr>
                    <w:pStyle w:val="30"/>
                    <w:widowControl/>
                    <w:spacing w:line="240" w:lineRule="auto"/>
                    <w:ind w:firstLine="0" w:firstLineChars="0"/>
                    <w:jc w:val="center"/>
                    <w:rPr>
                      <w:rFonts w:eastAsia="宋体"/>
                      <w:sz w:val="21"/>
                    </w:rPr>
                  </w:pPr>
                  <w:r>
                    <w:rPr>
                      <w:rFonts w:eastAsia="宋体"/>
                      <w:sz w:val="21"/>
                    </w:rPr>
                    <w:t>126户</w:t>
                  </w:r>
                  <w:r>
                    <w:rPr>
                      <w:rFonts w:hint="eastAsia" w:eastAsia="宋体"/>
                      <w:sz w:val="21"/>
                    </w:rPr>
                    <w:t>，约400人</w:t>
                  </w:r>
                </w:p>
              </w:tc>
              <w:tc>
                <w:tcPr>
                  <w:tcW w:w="1225" w:type="dxa"/>
                  <w:vMerge w:val="restart"/>
                  <w:tcBorders>
                    <w:tl2br w:val="nil"/>
                    <w:tr2bl w:val="nil"/>
                  </w:tcBorders>
                  <w:vAlign w:val="center"/>
                </w:tcPr>
                <w:p w14:paraId="4DC4E278">
                  <w:pPr>
                    <w:pStyle w:val="30"/>
                    <w:widowControl/>
                    <w:spacing w:line="240" w:lineRule="auto"/>
                    <w:ind w:firstLine="0" w:firstLineChars="0"/>
                    <w:jc w:val="center"/>
                    <w:rPr>
                      <w:rFonts w:eastAsia="宋体"/>
                      <w:sz w:val="21"/>
                    </w:rPr>
                  </w:pPr>
                  <w:r>
                    <w:rPr>
                      <w:rFonts w:eastAsia="宋体"/>
                      <w:sz w:val="21"/>
                    </w:rPr>
                    <w:t>根据《巴中市城区噪声功能区调整划分方案》，城市主干道、次干道道路两侧35m内执行《声环境质量标准》（GB3096-2008）、中4a类声环境功能区标准；35m外执行《声环境质量标准》（GB3096-2008）中2类声环境功能区标准</w:t>
                  </w:r>
                </w:p>
              </w:tc>
            </w:tr>
            <w:tr w14:paraId="1A4F25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14C53FD0">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6E2DD2E5">
                  <w:pPr>
                    <w:pStyle w:val="30"/>
                    <w:widowControl/>
                    <w:spacing w:line="240" w:lineRule="auto"/>
                    <w:ind w:firstLine="0" w:firstLineChars="0"/>
                    <w:jc w:val="center"/>
                    <w:rPr>
                      <w:rFonts w:eastAsia="宋体"/>
                      <w:sz w:val="21"/>
                    </w:rPr>
                  </w:pPr>
                  <w:r>
                    <w:rPr>
                      <w:rFonts w:hint="eastAsia" w:eastAsia="宋体"/>
                      <w:sz w:val="21"/>
                    </w:rPr>
                    <w:t>柏瑞四季</w:t>
                  </w:r>
                </w:p>
              </w:tc>
              <w:tc>
                <w:tcPr>
                  <w:tcW w:w="1784" w:type="dxa"/>
                  <w:tcBorders>
                    <w:tl2br w:val="nil"/>
                    <w:tr2bl w:val="nil"/>
                  </w:tcBorders>
                  <w:shd w:val="clear" w:color="auto" w:fill="auto"/>
                  <w:vAlign w:val="center"/>
                </w:tcPr>
                <w:p w14:paraId="6F008E34">
                  <w:pPr>
                    <w:pStyle w:val="30"/>
                    <w:widowControl/>
                    <w:spacing w:line="240" w:lineRule="auto"/>
                    <w:ind w:firstLine="0" w:firstLineChars="0"/>
                    <w:jc w:val="center"/>
                    <w:rPr>
                      <w:rFonts w:eastAsia="宋体"/>
                      <w:sz w:val="21"/>
                    </w:rPr>
                  </w:pPr>
                  <w:r>
                    <w:rPr>
                      <w:rFonts w:hint="eastAsia" w:eastAsia="宋体"/>
                      <w:sz w:val="21"/>
                    </w:rPr>
                    <w:t>项目河段起点左岸东北侧</w:t>
                  </w:r>
                </w:p>
              </w:tc>
              <w:tc>
                <w:tcPr>
                  <w:tcW w:w="1133" w:type="dxa"/>
                  <w:tcBorders>
                    <w:tl2br w:val="nil"/>
                    <w:tr2bl w:val="nil"/>
                  </w:tcBorders>
                  <w:shd w:val="clear" w:color="auto" w:fill="auto"/>
                  <w:vAlign w:val="center"/>
                </w:tcPr>
                <w:p w14:paraId="035C5A34">
                  <w:pPr>
                    <w:pStyle w:val="30"/>
                    <w:widowControl/>
                    <w:spacing w:line="240" w:lineRule="auto"/>
                    <w:ind w:firstLine="0" w:firstLineChars="0"/>
                    <w:jc w:val="center"/>
                    <w:rPr>
                      <w:rFonts w:eastAsia="宋体"/>
                      <w:sz w:val="21"/>
                    </w:rPr>
                  </w:pPr>
                  <w:r>
                    <w:rPr>
                      <w:rFonts w:hint="eastAsia" w:eastAsia="宋体"/>
                      <w:sz w:val="21"/>
                    </w:rPr>
                    <w:t>30-200m</w:t>
                  </w:r>
                </w:p>
              </w:tc>
              <w:tc>
                <w:tcPr>
                  <w:tcW w:w="1019" w:type="dxa"/>
                  <w:tcBorders>
                    <w:tl2br w:val="nil"/>
                    <w:tr2bl w:val="nil"/>
                  </w:tcBorders>
                  <w:shd w:val="clear" w:color="auto" w:fill="auto"/>
                  <w:vAlign w:val="center"/>
                </w:tcPr>
                <w:p w14:paraId="08FD335E">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shd w:val="clear" w:color="auto" w:fill="auto"/>
                  <w:vAlign w:val="center"/>
                </w:tcPr>
                <w:p w14:paraId="74A852A5">
                  <w:pPr>
                    <w:pStyle w:val="30"/>
                    <w:widowControl/>
                    <w:spacing w:line="240" w:lineRule="auto"/>
                    <w:ind w:firstLine="0" w:firstLineChars="0"/>
                    <w:jc w:val="center"/>
                    <w:rPr>
                      <w:rFonts w:eastAsia="宋体"/>
                      <w:sz w:val="21"/>
                    </w:rPr>
                  </w:pPr>
                  <w:r>
                    <w:rPr>
                      <w:rFonts w:eastAsia="宋体"/>
                      <w:sz w:val="21"/>
                    </w:rPr>
                    <w:t>2458户，约8200人</w:t>
                  </w:r>
                </w:p>
              </w:tc>
              <w:tc>
                <w:tcPr>
                  <w:tcW w:w="1225" w:type="dxa"/>
                  <w:vMerge w:val="continue"/>
                  <w:tcBorders>
                    <w:tl2br w:val="nil"/>
                    <w:tr2bl w:val="nil"/>
                  </w:tcBorders>
                  <w:vAlign w:val="center"/>
                </w:tcPr>
                <w:p w14:paraId="7877784D">
                  <w:pPr>
                    <w:pStyle w:val="30"/>
                    <w:widowControl/>
                    <w:spacing w:line="240" w:lineRule="auto"/>
                    <w:ind w:firstLine="0" w:firstLineChars="0"/>
                    <w:jc w:val="center"/>
                    <w:rPr>
                      <w:rFonts w:eastAsia="宋体"/>
                      <w:sz w:val="21"/>
                    </w:rPr>
                  </w:pPr>
                </w:p>
              </w:tc>
            </w:tr>
            <w:tr w14:paraId="45A3D2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69632425">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1B6E820D">
                  <w:pPr>
                    <w:pStyle w:val="30"/>
                    <w:widowControl/>
                    <w:spacing w:line="240" w:lineRule="auto"/>
                    <w:ind w:firstLine="0" w:firstLineChars="0"/>
                    <w:jc w:val="center"/>
                    <w:rPr>
                      <w:rFonts w:eastAsia="宋体"/>
                      <w:sz w:val="21"/>
                    </w:rPr>
                  </w:pPr>
                  <w:r>
                    <w:rPr>
                      <w:rFonts w:hint="eastAsia" w:eastAsia="宋体"/>
                      <w:sz w:val="21"/>
                    </w:rPr>
                    <w:t>浅水湾</w:t>
                  </w:r>
                </w:p>
              </w:tc>
              <w:tc>
                <w:tcPr>
                  <w:tcW w:w="1784" w:type="dxa"/>
                  <w:tcBorders>
                    <w:tl2br w:val="nil"/>
                    <w:tr2bl w:val="nil"/>
                  </w:tcBorders>
                  <w:shd w:val="clear" w:color="auto" w:fill="auto"/>
                  <w:vAlign w:val="center"/>
                </w:tcPr>
                <w:p w14:paraId="797FE1B2">
                  <w:pPr>
                    <w:pStyle w:val="30"/>
                    <w:widowControl/>
                    <w:spacing w:line="240" w:lineRule="auto"/>
                    <w:ind w:firstLine="0" w:firstLineChars="0"/>
                    <w:jc w:val="center"/>
                    <w:rPr>
                      <w:rFonts w:eastAsia="宋体"/>
                      <w:sz w:val="21"/>
                    </w:rPr>
                  </w:pPr>
                  <w:r>
                    <w:rPr>
                      <w:rFonts w:hint="eastAsia" w:eastAsia="宋体"/>
                      <w:sz w:val="21"/>
                    </w:rPr>
                    <w:t>项目河段檬子河大桥左岸东北侧</w:t>
                  </w:r>
                </w:p>
              </w:tc>
              <w:tc>
                <w:tcPr>
                  <w:tcW w:w="1133" w:type="dxa"/>
                  <w:tcBorders>
                    <w:tl2br w:val="nil"/>
                    <w:tr2bl w:val="nil"/>
                  </w:tcBorders>
                  <w:shd w:val="clear" w:color="auto" w:fill="auto"/>
                  <w:vAlign w:val="center"/>
                </w:tcPr>
                <w:p w14:paraId="3A02539D">
                  <w:pPr>
                    <w:pStyle w:val="30"/>
                    <w:widowControl/>
                    <w:spacing w:line="240" w:lineRule="auto"/>
                    <w:ind w:firstLine="0" w:firstLineChars="0"/>
                    <w:jc w:val="center"/>
                    <w:rPr>
                      <w:rFonts w:eastAsia="宋体"/>
                      <w:sz w:val="21"/>
                    </w:rPr>
                  </w:pPr>
                  <w:r>
                    <w:rPr>
                      <w:rFonts w:hint="eastAsia" w:eastAsia="宋体"/>
                      <w:sz w:val="21"/>
                    </w:rPr>
                    <w:t>50-314m</w:t>
                  </w:r>
                </w:p>
              </w:tc>
              <w:tc>
                <w:tcPr>
                  <w:tcW w:w="1019" w:type="dxa"/>
                  <w:tcBorders>
                    <w:tl2br w:val="nil"/>
                    <w:tr2bl w:val="nil"/>
                  </w:tcBorders>
                  <w:shd w:val="clear" w:color="auto" w:fill="auto"/>
                  <w:vAlign w:val="center"/>
                </w:tcPr>
                <w:p w14:paraId="064E81E2">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shd w:val="clear" w:color="auto" w:fill="auto"/>
                  <w:vAlign w:val="center"/>
                </w:tcPr>
                <w:p w14:paraId="0CD97865">
                  <w:pPr>
                    <w:pStyle w:val="30"/>
                    <w:widowControl/>
                    <w:spacing w:line="240" w:lineRule="auto"/>
                    <w:ind w:firstLine="0" w:firstLineChars="0"/>
                    <w:jc w:val="center"/>
                    <w:rPr>
                      <w:rFonts w:eastAsia="宋体"/>
                      <w:sz w:val="21"/>
                    </w:rPr>
                  </w:pPr>
                  <w:r>
                    <w:rPr>
                      <w:rFonts w:eastAsia="宋体"/>
                      <w:sz w:val="21"/>
                    </w:rPr>
                    <w:t>956户</w:t>
                  </w:r>
                  <w:r>
                    <w:rPr>
                      <w:rFonts w:hint="eastAsia" w:eastAsia="宋体"/>
                      <w:sz w:val="21"/>
                    </w:rPr>
                    <w:t>，约3180人</w:t>
                  </w:r>
                </w:p>
              </w:tc>
              <w:tc>
                <w:tcPr>
                  <w:tcW w:w="1225" w:type="dxa"/>
                  <w:vMerge w:val="continue"/>
                  <w:tcBorders>
                    <w:tl2br w:val="nil"/>
                    <w:tr2bl w:val="nil"/>
                  </w:tcBorders>
                  <w:vAlign w:val="center"/>
                </w:tcPr>
                <w:p w14:paraId="0DEC8480">
                  <w:pPr>
                    <w:pStyle w:val="30"/>
                    <w:widowControl/>
                    <w:spacing w:line="240" w:lineRule="auto"/>
                    <w:ind w:firstLine="0" w:firstLineChars="0"/>
                    <w:jc w:val="center"/>
                    <w:rPr>
                      <w:rFonts w:eastAsia="宋体"/>
                      <w:sz w:val="21"/>
                    </w:rPr>
                  </w:pPr>
                </w:p>
              </w:tc>
            </w:tr>
            <w:tr w14:paraId="0F8F84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38D90F0E">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7A2356DC">
                  <w:pPr>
                    <w:pStyle w:val="30"/>
                    <w:widowControl/>
                    <w:spacing w:line="240" w:lineRule="auto"/>
                    <w:ind w:firstLine="0" w:firstLineChars="0"/>
                    <w:jc w:val="center"/>
                    <w:rPr>
                      <w:rFonts w:eastAsia="宋体"/>
                      <w:sz w:val="21"/>
                    </w:rPr>
                  </w:pPr>
                  <w:r>
                    <w:rPr>
                      <w:rFonts w:hint="eastAsia" w:eastAsia="宋体"/>
                      <w:sz w:val="21"/>
                    </w:rPr>
                    <w:t>莲花苑</w:t>
                  </w:r>
                </w:p>
              </w:tc>
              <w:tc>
                <w:tcPr>
                  <w:tcW w:w="1784" w:type="dxa"/>
                  <w:tcBorders>
                    <w:tl2br w:val="nil"/>
                    <w:tr2bl w:val="nil"/>
                  </w:tcBorders>
                  <w:shd w:val="clear" w:color="auto" w:fill="auto"/>
                  <w:vAlign w:val="center"/>
                </w:tcPr>
                <w:p w14:paraId="38C840C4">
                  <w:pPr>
                    <w:pStyle w:val="30"/>
                    <w:widowControl/>
                    <w:spacing w:line="240" w:lineRule="auto"/>
                    <w:ind w:firstLine="0" w:firstLineChars="0"/>
                    <w:jc w:val="center"/>
                    <w:rPr>
                      <w:rFonts w:eastAsia="宋体"/>
                      <w:sz w:val="21"/>
                    </w:rPr>
                  </w:pPr>
                  <w:r>
                    <w:rPr>
                      <w:rFonts w:hint="eastAsia" w:eastAsia="宋体"/>
                      <w:sz w:val="21"/>
                    </w:rPr>
                    <w:t>项目河段檬子河大桥右岸西北侧</w:t>
                  </w:r>
                </w:p>
              </w:tc>
              <w:tc>
                <w:tcPr>
                  <w:tcW w:w="1133" w:type="dxa"/>
                  <w:tcBorders>
                    <w:tl2br w:val="nil"/>
                    <w:tr2bl w:val="nil"/>
                  </w:tcBorders>
                  <w:shd w:val="clear" w:color="auto" w:fill="auto"/>
                  <w:vAlign w:val="center"/>
                </w:tcPr>
                <w:p w14:paraId="75696901">
                  <w:pPr>
                    <w:pStyle w:val="30"/>
                    <w:widowControl/>
                    <w:spacing w:line="240" w:lineRule="auto"/>
                    <w:ind w:firstLine="0" w:firstLineChars="0"/>
                    <w:jc w:val="center"/>
                    <w:rPr>
                      <w:rFonts w:eastAsia="宋体"/>
                      <w:sz w:val="21"/>
                    </w:rPr>
                  </w:pPr>
                  <w:r>
                    <w:rPr>
                      <w:rFonts w:hint="eastAsia" w:eastAsia="宋体"/>
                      <w:sz w:val="21"/>
                    </w:rPr>
                    <w:t>130-301m</w:t>
                  </w:r>
                </w:p>
              </w:tc>
              <w:tc>
                <w:tcPr>
                  <w:tcW w:w="1019" w:type="dxa"/>
                  <w:tcBorders>
                    <w:tl2br w:val="nil"/>
                    <w:tr2bl w:val="nil"/>
                  </w:tcBorders>
                  <w:shd w:val="clear" w:color="auto" w:fill="auto"/>
                  <w:vAlign w:val="center"/>
                </w:tcPr>
                <w:p w14:paraId="67EE4857">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shd w:val="clear" w:color="auto" w:fill="auto"/>
                  <w:vAlign w:val="center"/>
                </w:tcPr>
                <w:p w14:paraId="3B5A30E9">
                  <w:pPr>
                    <w:pStyle w:val="30"/>
                    <w:widowControl/>
                    <w:spacing w:line="240" w:lineRule="auto"/>
                    <w:ind w:firstLine="0" w:firstLineChars="0"/>
                    <w:jc w:val="center"/>
                    <w:rPr>
                      <w:rFonts w:eastAsia="宋体"/>
                      <w:sz w:val="21"/>
                    </w:rPr>
                  </w:pPr>
                  <w:r>
                    <w:rPr>
                      <w:rFonts w:eastAsia="宋体"/>
                      <w:sz w:val="21"/>
                    </w:rPr>
                    <w:t>142户，约450人</w:t>
                  </w:r>
                </w:p>
              </w:tc>
              <w:tc>
                <w:tcPr>
                  <w:tcW w:w="1225" w:type="dxa"/>
                  <w:vMerge w:val="continue"/>
                  <w:tcBorders>
                    <w:tl2br w:val="nil"/>
                    <w:tr2bl w:val="nil"/>
                  </w:tcBorders>
                  <w:vAlign w:val="center"/>
                </w:tcPr>
                <w:p w14:paraId="0E13256D">
                  <w:pPr>
                    <w:pStyle w:val="30"/>
                    <w:widowControl/>
                    <w:spacing w:line="240" w:lineRule="auto"/>
                    <w:ind w:firstLine="0" w:firstLineChars="0"/>
                    <w:jc w:val="center"/>
                    <w:rPr>
                      <w:rFonts w:eastAsia="宋体"/>
                      <w:sz w:val="21"/>
                    </w:rPr>
                  </w:pPr>
                </w:p>
              </w:tc>
            </w:tr>
            <w:tr w14:paraId="076909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0FE32A37">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18D72945">
                  <w:pPr>
                    <w:pStyle w:val="30"/>
                    <w:widowControl/>
                    <w:spacing w:line="240" w:lineRule="auto"/>
                    <w:ind w:firstLine="0" w:firstLineChars="0"/>
                    <w:jc w:val="center"/>
                    <w:rPr>
                      <w:rFonts w:eastAsia="宋体"/>
                      <w:sz w:val="21"/>
                    </w:rPr>
                  </w:pPr>
                  <w:r>
                    <w:rPr>
                      <w:rFonts w:hint="eastAsia" w:eastAsia="宋体"/>
                      <w:sz w:val="21"/>
                    </w:rPr>
                    <w:t>东方鑫村</w:t>
                  </w:r>
                </w:p>
              </w:tc>
              <w:tc>
                <w:tcPr>
                  <w:tcW w:w="1784" w:type="dxa"/>
                  <w:tcBorders>
                    <w:tl2br w:val="nil"/>
                    <w:tr2bl w:val="nil"/>
                  </w:tcBorders>
                  <w:shd w:val="clear" w:color="auto" w:fill="auto"/>
                  <w:vAlign w:val="center"/>
                </w:tcPr>
                <w:p w14:paraId="1156F2C4">
                  <w:pPr>
                    <w:pStyle w:val="30"/>
                    <w:widowControl/>
                    <w:spacing w:line="240" w:lineRule="auto"/>
                    <w:ind w:firstLine="0" w:firstLineChars="0"/>
                    <w:jc w:val="center"/>
                    <w:rPr>
                      <w:rFonts w:eastAsia="宋体"/>
                      <w:sz w:val="21"/>
                    </w:rPr>
                  </w:pPr>
                  <w:r>
                    <w:rPr>
                      <w:rFonts w:hint="eastAsia" w:eastAsia="宋体"/>
                      <w:sz w:val="21"/>
                    </w:rPr>
                    <w:t>项目河段檬子河大桥右岸西南侧</w:t>
                  </w:r>
                </w:p>
              </w:tc>
              <w:tc>
                <w:tcPr>
                  <w:tcW w:w="1133" w:type="dxa"/>
                  <w:tcBorders>
                    <w:tl2br w:val="nil"/>
                    <w:tr2bl w:val="nil"/>
                  </w:tcBorders>
                  <w:shd w:val="clear" w:color="auto" w:fill="auto"/>
                  <w:vAlign w:val="center"/>
                </w:tcPr>
                <w:p w14:paraId="4FAC139B">
                  <w:pPr>
                    <w:pStyle w:val="30"/>
                    <w:widowControl/>
                    <w:spacing w:line="240" w:lineRule="auto"/>
                    <w:ind w:firstLine="0" w:firstLineChars="0"/>
                    <w:jc w:val="center"/>
                    <w:rPr>
                      <w:rFonts w:eastAsia="宋体"/>
                      <w:sz w:val="21"/>
                    </w:rPr>
                  </w:pPr>
                  <w:r>
                    <w:rPr>
                      <w:rFonts w:hint="eastAsia" w:eastAsia="宋体"/>
                      <w:sz w:val="21"/>
                    </w:rPr>
                    <w:t>100-518m</w:t>
                  </w:r>
                </w:p>
              </w:tc>
              <w:tc>
                <w:tcPr>
                  <w:tcW w:w="1019" w:type="dxa"/>
                  <w:tcBorders>
                    <w:tl2br w:val="nil"/>
                    <w:tr2bl w:val="nil"/>
                  </w:tcBorders>
                  <w:shd w:val="clear" w:color="auto" w:fill="auto"/>
                  <w:vAlign w:val="center"/>
                </w:tcPr>
                <w:p w14:paraId="17790950">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shd w:val="clear" w:color="auto" w:fill="auto"/>
                  <w:vAlign w:val="center"/>
                </w:tcPr>
                <w:p w14:paraId="1966FA09">
                  <w:pPr>
                    <w:pStyle w:val="30"/>
                    <w:widowControl/>
                    <w:spacing w:line="240" w:lineRule="auto"/>
                    <w:ind w:firstLine="0" w:firstLineChars="0"/>
                    <w:jc w:val="center"/>
                    <w:rPr>
                      <w:rFonts w:eastAsia="宋体"/>
                      <w:sz w:val="21"/>
                    </w:rPr>
                  </w:pPr>
                  <w:r>
                    <w:rPr>
                      <w:rFonts w:eastAsia="宋体"/>
                      <w:sz w:val="21"/>
                    </w:rPr>
                    <w:t>1020户，约3400人</w:t>
                  </w:r>
                </w:p>
              </w:tc>
              <w:tc>
                <w:tcPr>
                  <w:tcW w:w="1225" w:type="dxa"/>
                  <w:vMerge w:val="continue"/>
                  <w:tcBorders>
                    <w:tl2br w:val="nil"/>
                    <w:tr2bl w:val="nil"/>
                  </w:tcBorders>
                  <w:vAlign w:val="center"/>
                </w:tcPr>
                <w:p w14:paraId="1E92F90C">
                  <w:pPr>
                    <w:pStyle w:val="30"/>
                    <w:widowControl/>
                    <w:spacing w:line="240" w:lineRule="auto"/>
                    <w:ind w:firstLine="0" w:firstLineChars="0"/>
                    <w:jc w:val="center"/>
                    <w:rPr>
                      <w:rFonts w:eastAsia="宋体"/>
                      <w:sz w:val="21"/>
                    </w:rPr>
                  </w:pPr>
                </w:p>
              </w:tc>
            </w:tr>
            <w:tr w14:paraId="22E8DA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63A4A376">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3E1FC481">
                  <w:pPr>
                    <w:pStyle w:val="30"/>
                    <w:widowControl/>
                    <w:spacing w:line="240" w:lineRule="auto"/>
                    <w:ind w:firstLine="0" w:firstLineChars="0"/>
                    <w:jc w:val="center"/>
                    <w:rPr>
                      <w:rFonts w:eastAsia="宋体"/>
                      <w:sz w:val="21"/>
                    </w:rPr>
                  </w:pPr>
                  <w:r>
                    <w:rPr>
                      <w:rFonts w:hint="eastAsia" w:eastAsia="宋体"/>
                      <w:sz w:val="21"/>
                    </w:rPr>
                    <w:t>东方鑫村二期</w:t>
                  </w:r>
                </w:p>
              </w:tc>
              <w:tc>
                <w:tcPr>
                  <w:tcW w:w="1784" w:type="dxa"/>
                  <w:tcBorders>
                    <w:tl2br w:val="nil"/>
                    <w:tr2bl w:val="nil"/>
                  </w:tcBorders>
                  <w:shd w:val="clear" w:color="auto" w:fill="auto"/>
                  <w:vAlign w:val="center"/>
                </w:tcPr>
                <w:p w14:paraId="63C24C26">
                  <w:pPr>
                    <w:pStyle w:val="30"/>
                    <w:widowControl/>
                    <w:spacing w:line="240" w:lineRule="auto"/>
                    <w:ind w:firstLine="0" w:firstLineChars="0"/>
                    <w:jc w:val="center"/>
                    <w:rPr>
                      <w:rFonts w:eastAsia="宋体"/>
                      <w:sz w:val="21"/>
                    </w:rPr>
                  </w:pPr>
                  <w:r>
                    <w:rPr>
                      <w:rFonts w:hint="eastAsia" w:eastAsia="宋体"/>
                      <w:sz w:val="21"/>
                    </w:rPr>
                    <w:t>项目河段檬子河大桥右岸南侧</w:t>
                  </w:r>
                </w:p>
              </w:tc>
              <w:tc>
                <w:tcPr>
                  <w:tcW w:w="1133" w:type="dxa"/>
                  <w:tcBorders>
                    <w:tl2br w:val="nil"/>
                    <w:tr2bl w:val="nil"/>
                  </w:tcBorders>
                  <w:shd w:val="clear" w:color="auto" w:fill="auto"/>
                  <w:vAlign w:val="center"/>
                </w:tcPr>
                <w:p w14:paraId="2FF02BFE">
                  <w:pPr>
                    <w:pStyle w:val="30"/>
                    <w:widowControl/>
                    <w:spacing w:line="240" w:lineRule="auto"/>
                    <w:ind w:firstLine="0" w:firstLineChars="0"/>
                    <w:jc w:val="center"/>
                    <w:rPr>
                      <w:rFonts w:eastAsia="宋体"/>
                      <w:sz w:val="21"/>
                    </w:rPr>
                  </w:pPr>
                  <w:r>
                    <w:rPr>
                      <w:rFonts w:hint="eastAsia" w:eastAsia="宋体"/>
                      <w:sz w:val="21"/>
                    </w:rPr>
                    <w:t>80-380m</w:t>
                  </w:r>
                </w:p>
              </w:tc>
              <w:tc>
                <w:tcPr>
                  <w:tcW w:w="1019" w:type="dxa"/>
                  <w:tcBorders>
                    <w:tl2br w:val="nil"/>
                    <w:tr2bl w:val="nil"/>
                  </w:tcBorders>
                  <w:shd w:val="clear" w:color="auto" w:fill="auto"/>
                  <w:vAlign w:val="center"/>
                </w:tcPr>
                <w:p w14:paraId="2BD46F1D">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shd w:val="clear" w:color="auto" w:fill="auto"/>
                  <w:vAlign w:val="center"/>
                </w:tcPr>
                <w:p w14:paraId="0FB77C16">
                  <w:pPr>
                    <w:pStyle w:val="30"/>
                    <w:widowControl/>
                    <w:spacing w:line="240" w:lineRule="auto"/>
                    <w:ind w:firstLine="0" w:firstLineChars="0"/>
                    <w:jc w:val="center"/>
                    <w:rPr>
                      <w:rFonts w:eastAsia="宋体"/>
                      <w:sz w:val="21"/>
                    </w:rPr>
                  </w:pPr>
                  <w:r>
                    <w:rPr>
                      <w:rFonts w:eastAsia="宋体"/>
                      <w:sz w:val="21"/>
                    </w:rPr>
                    <w:t>520户，约1770人</w:t>
                  </w:r>
                </w:p>
              </w:tc>
              <w:tc>
                <w:tcPr>
                  <w:tcW w:w="1225" w:type="dxa"/>
                  <w:vMerge w:val="continue"/>
                  <w:tcBorders>
                    <w:tl2br w:val="nil"/>
                    <w:tr2bl w:val="nil"/>
                  </w:tcBorders>
                  <w:vAlign w:val="center"/>
                </w:tcPr>
                <w:p w14:paraId="0D201596">
                  <w:pPr>
                    <w:pStyle w:val="30"/>
                    <w:widowControl/>
                    <w:spacing w:line="240" w:lineRule="auto"/>
                    <w:ind w:firstLine="0" w:firstLineChars="0"/>
                    <w:jc w:val="center"/>
                    <w:rPr>
                      <w:rFonts w:eastAsia="宋体"/>
                      <w:sz w:val="21"/>
                    </w:rPr>
                  </w:pPr>
                </w:p>
              </w:tc>
            </w:tr>
            <w:tr w14:paraId="407564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5A1EFD55">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71E98051">
                  <w:pPr>
                    <w:pStyle w:val="30"/>
                    <w:widowControl/>
                    <w:spacing w:line="240" w:lineRule="auto"/>
                    <w:ind w:firstLine="0" w:firstLineChars="0"/>
                    <w:jc w:val="center"/>
                    <w:rPr>
                      <w:rFonts w:eastAsia="宋体"/>
                      <w:sz w:val="21"/>
                    </w:rPr>
                  </w:pPr>
                  <w:r>
                    <w:rPr>
                      <w:rFonts w:hint="eastAsia" w:eastAsia="宋体"/>
                      <w:sz w:val="21"/>
                    </w:rPr>
                    <w:t>正兴苑</w:t>
                  </w:r>
                </w:p>
              </w:tc>
              <w:tc>
                <w:tcPr>
                  <w:tcW w:w="1784" w:type="dxa"/>
                  <w:tcBorders>
                    <w:tl2br w:val="nil"/>
                    <w:tr2bl w:val="nil"/>
                  </w:tcBorders>
                  <w:shd w:val="clear" w:color="auto" w:fill="auto"/>
                  <w:vAlign w:val="center"/>
                </w:tcPr>
                <w:p w14:paraId="25EC867C">
                  <w:pPr>
                    <w:pStyle w:val="30"/>
                    <w:widowControl/>
                    <w:spacing w:line="240" w:lineRule="auto"/>
                    <w:ind w:firstLine="0" w:firstLineChars="0"/>
                    <w:jc w:val="center"/>
                    <w:rPr>
                      <w:rFonts w:eastAsia="宋体"/>
                      <w:sz w:val="21"/>
                    </w:rPr>
                  </w:pPr>
                  <w:r>
                    <w:rPr>
                      <w:rFonts w:hint="eastAsia" w:eastAsia="宋体"/>
                      <w:sz w:val="21"/>
                    </w:rPr>
                    <w:t>项目河段檬子河大桥左岸南侧</w:t>
                  </w:r>
                </w:p>
              </w:tc>
              <w:tc>
                <w:tcPr>
                  <w:tcW w:w="1133" w:type="dxa"/>
                  <w:tcBorders>
                    <w:tl2br w:val="nil"/>
                    <w:tr2bl w:val="nil"/>
                  </w:tcBorders>
                  <w:shd w:val="clear" w:color="auto" w:fill="auto"/>
                  <w:vAlign w:val="center"/>
                </w:tcPr>
                <w:p w14:paraId="7DEFFB9D">
                  <w:pPr>
                    <w:pStyle w:val="30"/>
                    <w:widowControl/>
                    <w:spacing w:line="240" w:lineRule="auto"/>
                    <w:ind w:firstLine="0" w:firstLineChars="0"/>
                    <w:jc w:val="center"/>
                    <w:rPr>
                      <w:rFonts w:eastAsia="宋体"/>
                      <w:sz w:val="21"/>
                    </w:rPr>
                  </w:pPr>
                  <w:r>
                    <w:rPr>
                      <w:rFonts w:hint="eastAsia" w:eastAsia="宋体"/>
                      <w:sz w:val="21"/>
                    </w:rPr>
                    <w:t>200-529m</w:t>
                  </w:r>
                </w:p>
              </w:tc>
              <w:tc>
                <w:tcPr>
                  <w:tcW w:w="1019" w:type="dxa"/>
                  <w:tcBorders>
                    <w:tl2br w:val="nil"/>
                    <w:tr2bl w:val="nil"/>
                  </w:tcBorders>
                  <w:shd w:val="clear" w:color="auto" w:fill="auto"/>
                  <w:vAlign w:val="center"/>
                </w:tcPr>
                <w:p w14:paraId="7A94BB8E">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shd w:val="clear" w:color="auto" w:fill="auto"/>
                  <w:vAlign w:val="center"/>
                </w:tcPr>
                <w:p w14:paraId="36EC2ACD">
                  <w:pPr>
                    <w:pStyle w:val="30"/>
                    <w:widowControl/>
                    <w:spacing w:line="240" w:lineRule="auto"/>
                    <w:ind w:firstLine="0" w:firstLineChars="0"/>
                    <w:jc w:val="center"/>
                    <w:rPr>
                      <w:rFonts w:eastAsia="宋体"/>
                      <w:sz w:val="21"/>
                    </w:rPr>
                  </w:pPr>
                  <w:r>
                    <w:rPr>
                      <w:rFonts w:eastAsia="宋体"/>
                      <w:sz w:val="21"/>
                    </w:rPr>
                    <w:t>156户，约500人</w:t>
                  </w:r>
                </w:p>
              </w:tc>
              <w:tc>
                <w:tcPr>
                  <w:tcW w:w="1225" w:type="dxa"/>
                  <w:vMerge w:val="continue"/>
                  <w:tcBorders>
                    <w:tl2br w:val="nil"/>
                    <w:tr2bl w:val="nil"/>
                  </w:tcBorders>
                  <w:vAlign w:val="center"/>
                </w:tcPr>
                <w:p w14:paraId="1D32C9D3">
                  <w:pPr>
                    <w:pStyle w:val="30"/>
                    <w:widowControl/>
                    <w:spacing w:line="240" w:lineRule="auto"/>
                    <w:ind w:firstLine="0" w:firstLineChars="0"/>
                    <w:jc w:val="center"/>
                    <w:rPr>
                      <w:rFonts w:eastAsia="宋体"/>
                      <w:sz w:val="21"/>
                    </w:rPr>
                  </w:pPr>
                </w:p>
              </w:tc>
            </w:tr>
            <w:tr w14:paraId="33D44D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72AA66FE">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0E3E04C7">
                  <w:pPr>
                    <w:pStyle w:val="30"/>
                    <w:widowControl/>
                    <w:spacing w:line="240" w:lineRule="auto"/>
                    <w:ind w:firstLine="0" w:firstLineChars="0"/>
                    <w:jc w:val="center"/>
                    <w:rPr>
                      <w:rFonts w:eastAsia="宋体"/>
                      <w:sz w:val="21"/>
                    </w:rPr>
                  </w:pPr>
                  <w:r>
                    <w:rPr>
                      <w:rFonts w:hint="eastAsia" w:eastAsia="宋体"/>
                      <w:sz w:val="21"/>
                    </w:rPr>
                    <w:t>东城之星</w:t>
                  </w:r>
                </w:p>
              </w:tc>
              <w:tc>
                <w:tcPr>
                  <w:tcW w:w="1784" w:type="dxa"/>
                  <w:tcBorders>
                    <w:tl2br w:val="nil"/>
                    <w:tr2bl w:val="nil"/>
                  </w:tcBorders>
                  <w:shd w:val="clear" w:color="auto" w:fill="auto"/>
                  <w:vAlign w:val="center"/>
                </w:tcPr>
                <w:p w14:paraId="7C4A0C59">
                  <w:pPr>
                    <w:pStyle w:val="30"/>
                    <w:widowControl/>
                    <w:spacing w:line="240" w:lineRule="auto"/>
                    <w:ind w:firstLine="0" w:firstLineChars="0"/>
                    <w:jc w:val="center"/>
                    <w:rPr>
                      <w:rFonts w:eastAsia="宋体"/>
                      <w:sz w:val="21"/>
                    </w:rPr>
                  </w:pPr>
                  <w:r>
                    <w:rPr>
                      <w:rFonts w:hint="eastAsia" w:eastAsia="宋体"/>
                      <w:sz w:val="21"/>
                    </w:rPr>
                    <w:t>项目河段檬子河大桥左岸南侧</w:t>
                  </w:r>
                </w:p>
              </w:tc>
              <w:tc>
                <w:tcPr>
                  <w:tcW w:w="1133" w:type="dxa"/>
                  <w:tcBorders>
                    <w:tl2br w:val="nil"/>
                    <w:tr2bl w:val="nil"/>
                  </w:tcBorders>
                  <w:shd w:val="clear" w:color="auto" w:fill="auto"/>
                  <w:vAlign w:val="center"/>
                </w:tcPr>
                <w:p w14:paraId="3FC8AC2A">
                  <w:pPr>
                    <w:pStyle w:val="30"/>
                    <w:widowControl/>
                    <w:spacing w:line="240" w:lineRule="auto"/>
                    <w:ind w:firstLine="0" w:firstLineChars="0"/>
                    <w:jc w:val="center"/>
                    <w:rPr>
                      <w:rFonts w:eastAsia="宋体"/>
                      <w:sz w:val="21"/>
                    </w:rPr>
                  </w:pPr>
                  <w:r>
                    <w:rPr>
                      <w:rFonts w:hint="eastAsia" w:eastAsia="宋体"/>
                      <w:sz w:val="21"/>
                    </w:rPr>
                    <w:t>85-450m</w:t>
                  </w:r>
                </w:p>
              </w:tc>
              <w:tc>
                <w:tcPr>
                  <w:tcW w:w="1019" w:type="dxa"/>
                  <w:tcBorders>
                    <w:tl2br w:val="nil"/>
                    <w:tr2bl w:val="nil"/>
                  </w:tcBorders>
                  <w:shd w:val="clear" w:color="auto" w:fill="auto"/>
                  <w:vAlign w:val="center"/>
                </w:tcPr>
                <w:p w14:paraId="1081AE96">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shd w:val="clear" w:color="auto" w:fill="auto"/>
                  <w:vAlign w:val="center"/>
                </w:tcPr>
                <w:p w14:paraId="5A137679">
                  <w:pPr>
                    <w:pStyle w:val="30"/>
                    <w:widowControl/>
                    <w:spacing w:line="240" w:lineRule="auto"/>
                    <w:ind w:firstLine="0" w:firstLineChars="0"/>
                    <w:jc w:val="center"/>
                    <w:rPr>
                      <w:rFonts w:eastAsia="宋体"/>
                      <w:sz w:val="21"/>
                    </w:rPr>
                  </w:pPr>
                  <w:r>
                    <w:rPr>
                      <w:rFonts w:eastAsia="宋体"/>
                      <w:sz w:val="21"/>
                    </w:rPr>
                    <w:t>316户，约1040人</w:t>
                  </w:r>
                </w:p>
              </w:tc>
              <w:tc>
                <w:tcPr>
                  <w:tcW w:w="1225" w:type="dxa"/>
                  <w:vMerge w:val="continue"/>
                  <w:tcBorders>
                    <w:tl2br w:val="nil"/>
                    <w:tr2bl w:val="nil"/>
                  </w:tcBorders>
                  <w:vAlign w:val="center"/>
                </w:tcPr>
                <w:p w14:paraId="37B4F2D3">
                  <w:pPr>
                    <w:pStyle w:val="30"/>
                    <w:widowControl/>
                    <w:spacing w:line="240" w:lineRule="auto"/>
                    <w:ind w:firstLine="0" w:firstLineChars="0"/>
                    <w:jc w:val="center"/>
                    <w:rPr>
                      <w:rFonts w:eastAsia="宋体"/>
                      <w:sz w:val="21"/>
                    </w:rPr>
                  </w:pPr>
                </w:p>
              </w:tc>
            </w:tr>
            <w:tr w14:paraId="3D1319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72B15186">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17918050">
                  <w:pPr>
                    <w:pStyle w:val="30"/>
                    <w:widowControl/>
                    <w:spacing w:line="240" w:lineRule="auto"/>
                    <w:ind w:firstLine="0" w:firstLineChars="0"/>
                    <w:jc w:val="center"/>
                    <w:rPr>
                      <w:rFonts w:eastAsia="宋体"/>
                      <w:sz w:val="21"/>
                    </w:rPr>
                  </w:pPr>
                  <w:r>
                    <w:rPr>
                      <w:rFonts w:hint="eastAsia" w:eastAsia="宋体"/>
                      <w:sz w:val="21"/>
                    </w:rPr>
                    <w:t>大正苑</w:t>
                  </w:r>
                </w:p>
              </w:tc>
              <w:tc>
                <w:tcPr>
                  <w:tcW w:w="1784" w:type="dxa"/>
                  <w:tcBorders>
                    <w:tl2br w:val="nil"/>
                    <w:tr2bl w:val="nil"/>
                  </w:tcBorders>
                  <w:shd w:val="clear" w:color="auto" w:fill="auto"/>
                  <w:vAlign w:val="center"/>
                </w:tcPr>
                <w:p w14:paraId="43F42FA4">
                  <w:pPr>
                    <w:pStyle w:val="30"/>
                    <w:widowControl/>
                    <w:spacing w:line="240" w:lineRule="auto"/>
                    <w:ind w:firstLine="0" w:firstLineChars="0"/>
                    <w:jc w:val="center"/>
                    <w:rPr>
                      <w:rFonts w:eastAsia="宋体"/>
                      <w:sz w:val="21"/>
                    </w:rPr>
                  </w:pPr>
                  <w:r>
                    <w:rPr>
                      <w:rFonts w:hint="eastAsia" w:eastAsia="宋体"/>
                      <w:sz w:val="21"/>
                    </w:rPr>
                    <w:t>项目河段檬子河大桥右岸南侧</w:t>
                  </w:r>
                </w:p>
              </w:tc>
              <w:tc>
                <w:tcPr>
                  <w:tcW w:w="1133" w:type="dxa"/>
                  <w:tcBorders>
                    <w:tl2br w:val="nil"/>
                    <w:tr2bl w:val="nil"/>
                  </w:tcBorders>
                  <w:shd w:val="clear" w:color="auto" w:fill="auto"/>
                  <w:vAlign w:val="center"/>
                </w:tcPr>
                <w:p w14:paraId="09D4715C">
                  <w:pPr>
                    <w:pStyle w:val="30"/>
                    <w:widowControl/>
                    <w:spacing w:line="240" w:lineRule="auto"/>
                    <w:ind w:firstLine="0" w:firstLineChars="0"/>
                    <w:jc w:val="center"/>
                    <w:rPr>
                      <w:rFonts w:eastAsia="宋体"/>
                      <w:sz w:val="21"/>
                    </w:rPr>
                  </w:pPr>
                  <w:r>
                    <w:rPr>
                      <w:rFonts w:hint="eastAsia" w:eastAsia="宋体"/>
                      <w:sz w:val="21"/>
                    </w:rPr>
                    <w:t>395-488m</w:t>
                  </w:r>
                </w:p>
              </w:tc>
              <w:tc>
                <w:tcPr>
                  <w:tcW w:w="1019" w:type="dxa"/>
                  <w:tcBorders>
                    <w:tl2br w:val="nil"/>
                    <w:tr2bl w:val="nil"/>
                  </w:tcBorders>
                  <w:shd w:val="clear" w:color="auto" w:fill="auto"/>
                  <w:vAlign w:val="center"/>
                </w:tcPr>
                <w:p w14:paraId="360D948A">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shd w:val="clear" w:color="auto" w:fill="auto"/>
                  <w:vAlign w:val="center"/>
                </w:tcPr>
                <w:p w14:paraId="42083BDD">
                  <w:pPr>
                    <w:pStyle w:val="30"/>
                    <w:widowControl/>
                    <w:spacing w:line="240" w:lineRule="auto"/>
                    <w:ind w:firstLine="0" w:firstLineChars="0"/>
                    <w:jc w:val="center"/>
                    <w:rPr>
                      <w:rFonts w:eastAsia="宋体"/>
                      <w:sz w:val="21"/>
                    </w:rPr>
                  </w:pPr>
                  <w:r>
                    <w:rPr>
                      <w:rFonts w:eastAsia="宋体"/>
                      <w:sz w:val="21"/>
                    </w:rPr>
                    <w:t>224户，约20人</w:t>
                  </w:r>
                </w:p>
              </w:tc>
              <w:tc>
                <w:tcPr>
                  <w:tcW w:w="1225" w:type="dxa"/>
                  <w:vMerge w:val="continue"/>
                  <w:tcBorders>
                    <w:tl2br w:val="nil"/>
                    <w:tr2bl w:val="nil"/>
                  </w:tcBorders>
                  <w:vAlign w:val="center"/>
                </w:tcPr>
                <w:p w14:paraId="50ED5CEF">
                  <w:pPr>
                    <w:pStyle w:val="30"/>
                    <w:widowControl/>
                    <w:spacing w:line="240" w:lineRule="auto"/>
                    <w:ind w:firstLine="0" w:firstLineChars="0"/>
                    <w:jc w:val="center"/>
                    <w:rPr>
                      <w:rFonts w:eastAsia="宋体"/>
                      <w:sz w:val="21"/>
                    </w:rPr>
                  </w:pPr>
                </w:p>
              </w:tc>
            </w:tr>
            <w:tr w14:paraId="00E00E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20D4E3DF">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2236A3A7">
                  <w:pPr>
                    <w:pStyle w:val="30"/>
                    <w:widowControl/>
                    <w:spacing w:line="240" w:lineRule="auto"/>
                    <w:ind w:firstLine="0" w:firstLineChars="0"/>
                    <w:jc w:val="center"/>
                    <w:rPr>
                      <w:rFonts w:eastAsia="宋体"/>
                      <w:sz w:val="21"/>
                    </w:rPr>
                  </w:pPr>
                  <w:r>
                    <w:rPr>
                      <w:rFonts w:hint="eastAsia" w:eastAsia="宋体"/>
                      <w:sz w:val="21"/>
                    </w:rPr>
                    <w:t>坝中名园</w:t>
                  </w:r>
                </w:p>
              </w:tc>
              <w:tc>
                <w:tcPr>
                  <w:tcW w:w="1784" w:type="dxa"/>
                  <w:tcBorders>
                    <w:tl2br w:val="nil"/>
                    <w:tr2bl w:val="nil"/>
                  </w:tcBorders>
                  <w:shd w:val="clear" w:color="auto" w:fill="auto"/>
                  <w:vAlign w:val="center"/>
                </w:tcPr>
                <w:p w14:paraId="2530F5A4">
                  <w:pPr>
                    <w:pStyle w:val="30"/>
                    <w:widowControl/>
                    <w:spacing w:line="240" w:lineRule="auto"/>
                    <w:ind w:firstLine="0" w:firstLineChars="0"/>
                    <w:jc w:val="center"/>
                    <w:rPr>
                      <w:rFonts w:eastAsia="宋体"/>
                      <w:sz w:val="21"/>
                    </w:rPr>
                  </w:pPr>
                  <w:r>
                    <w:rPr>
                      <w:rFonts w:hint="eastAsia" w:eastAsia="宋体"/>
                      <w:sz w:val="21"/>
                    </w:rPr>
                    <w:t>项目河段檬子河大桥右岸南侧</w:t>
                  </w:r>
                </w:p>
              </w:tc>
              <w:tc>
                <w:tcPr>
                  <w:tcW w:w="1133" w:type="dxa"/>
                  <w:tcBorders>
                    <w:tl2br w:val="nil"/>
                    <w:tr2bl w:val="nil"/>
                  </w:tcBorders>
                  <w:shd w:val="clear" w:color="auto" w:fill="auto"/>
                  <w:vAlign w:val="center"/>
                </w:tcPr>
                <w:p w14:paraId="624C625A">
                  <w:pPr>
                    <w:pStyle w:val="30"/>
                    <w:widowControl/>
                    <w:spacing w:line="240" w:lineRule="auto"/>
                    <w:ind w:firstLine="0" w:firstLineChars="0"/>
                    <w:jc w:val="center"/>
                    <w:rPr>
                      <w:rFonts w:eastAsia="宋体"/>
                      <w:sz w:val="21"/>
                    </w:rPr>
                  </w:pPr>
                  <w:r>
                    <w:rPr>
                      <w:rFonts w:hint="eastAsia" w:eastAsia="宋体"/>
                      <w:sz w:val="21"/>
                    </w:rPr>
                    <w:t>500-650m</w:t>
                  </w:r>
                </w:p>
              </w:tc>
              <w:tc>
                <w:tcPr>
                  <w:tcW w:w="1019" w:type="dxa"/>
                  <w:tcBorders>
                    <w:tl2br w:val="nil"/>
                    <w:tr2bl w:val="nil"/>
                  </w:tcBorders>
                  <w:shd w:val="clear" w:color="auto" w:fill="auto"/>
                  <w:vAlign w:val="center"/>
                </w:tcPr>
                <w:p w14:paraId="2766055E">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shd w:val="clear" w:color="auto" w:fill="auto"/>
                  <w:vAlign w:val="center"/>
                </w:tcPr>
                <w:p w14:paraId="0FE8A57E">
                  <w:pPr>
                    <w:pStyle w:val="30"/>
                    <w:widowControl/>
                    <w:spacing w:line="240" w:lineRule="auto"/>
                    <w:ind w:firstLine="0" w:firstLineChars="0"/>
                    <w:jc w:val="center"/>
                    <w:rPr>
                      <w:rFonts w:eastAsia="宋体"/>
                      <w:sz w:val="21"/>
                    </w:rPr>
                  </w:pPr>
                  <w:r>
                    <w:rPr>
                      <w:rFonts w:eastAsia="宋体"/>
                      <w:sz w:val="21"/>
                    </w:rPr>
                    <w:t>948户，约3140人</w:t>
                  </w:r>
                </w:p>
              </w:tc>
              <w:tc>
                <w:tcPr>
                  <w:tcW w:w="1225" w:type="dxa"/>
                  <w:vMerge w:val="continue"/>
                  <w:tcBorders>
                    <w:tl2br w:val="nil"/>
                    <w:tr2bl w:val="nil"/>
                  </w:tcBorders>
                  <w:vAlign w:val="center"/>
                </w:tcPr>
                <w:p w14:paraId="6B218B0B">
                  <w:pPr>
                    <w:pStyle w:val="30"/>
                    <w:widowControl/>
                    <w:spacing w:line="240" w:lineRule="auto"/>
                    <w:ind w:firstLine="0" w:firstLineChars="0"/>
                    <w:jc w:val="center"/>
                    <w:rPr>
                      <w:rFonts w:eastAsia="宋体"/>
                      <w:sz w:val="21"/>
                    </w:rPr>
                  </w:pPr>
                </w:p>
              </w:tc>
            </w:tr>
            <w:tr w14:paraId="2F8EF6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2E9EAE47">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1890A793">
                  <w:pPr>
                    <w:pStyle w:val="30"/>
                    <w:widowControl/>
                    <w:spacing w:line="240" w:lineRule="auto"/>
                    <w:ind w:firstLine="0" w:firstLineChars="0"/>
                    <w:jc w:val="center"/>
                    <w:rPr>
                      <w:rFonts w:eastAsia="宋体"/>
                      <w:sz w:val="21"/>
                    </w:rPr>
                  </w:pPr>
                  <w:r>
                    <w:rPr>
                      <w:rFonts w:hint="eastAsia" w:eastAsia="宋体"/>
                      <w:sz w:val="21"/>
                    </w:rPr>
                    <w:t>巴中市中坝小学</w:t>
                  </w:r>
                </w:p>
              </w:tc>
              <w:tc>
                <w:tcPr>
                  <w:tcW w:w="1784" w:type="dxa"/>
                  <w:tcBorders>
                    <w:tl2br w:val="nil"/>
                    <w:tr2bl w:val="nil"/>
                  </w:tcBorders>
                  <w:shd w:val="clear" w:color="auto" w:fill="auto"/>
                  <w:vAlign w:val="center"/>
                </w:tcPr>
                <w:p w14:paraId="00795FDA">
                  <w:pPr>
                    <w:pStyle w:val="30"/>
                    <w:widowControl/>
                    <w:spacing w:line="240" w:lineRule="auto"/>
                    <w:ind w:firstLine="0" w:firstLineChars="0"/>
                    <w:jc w:val="center"/>
                    <w:rPr>
                      <w:rFonts w:eastAsia="宋体"/>
                      <w:sz w:val="21"/>
                    </w:rPr>
                  </w:pPr>
                  <w:r>
                    <w:rPr>
                      <w:rFonts w:hint="eastAsia" w:eastAsia="宋体"/>
                      <w:sz w:val="21"/>
                    </w:rPr>
                    <w:t>项目河段黄家沟大桥右岸北侧</w:t>
                  </w:r>
                </w:p>
              </w:tc>
              <w:tc>
                <w:tcPr>
                  <w:tcW w:w="1133" w:type="dxa"/>
                  <w:tcBorders>
                    <w:tl2br w:val="nil"/>
                    <w:tr2bl w:val="nil"/>
                  </w:tcBorders>
                  <w:shd w:val="clear" w:color="auto" w:fill="auto"/>
                  <w:vAlign w:val="center"/>
                </w:tcPr>
                <w:p w14:paraId="4B5ED4D2">
                  <w:pPr>
                    <w:pStyle w:val="30"/>
                    <w:widowControl/>
                    <w:spacing w:line="240" w:lineRule="auto"/>
                    <w:ind w:firstLine="0" w:firstLineChars="0"/>
                    <w:jc w:val="center"/>
                    <w:rPr>
                      <w:rFonts w:eastAsia="宋体"/>
                      <w:sz w:val="21"/>
                    </w:rPr>
                  </w:pPr>
                  <w:r>
                    <w:rPr>
                      <w:rFonts w:hint="eastAsia" w:eastAsia="宋体"/>
                      <w:sz w:val="21"/>
                    </w:rPr>
                    <w:t>435m</w:t>
                  </w:r>
                </w:p>
              </w:tc>
              <w:tc>
                <w:tcPr>
                  <w:tcW w:w="1019" w:type="dxa"/>
                  <w:tcBorders>
                    <w:tl2br w:val="nil"/>
                    <w:tr2bl w:val="nil"/>
                  </w:tcBorders>
                  <w:shd w:val="clear" w:color="auto" w:fill="auto"/>
                  <w:vAlign w:val="center"/>
                </w:tcPr>
                <w:p w14:paraId="10175B57">
                  <w:pPr>
                    <w:pStyle w:val="30"/>
                    <w:widowControl/>
                    <w:spacing w:line="240" w:lineRule="auto"/>
                    <w:ind w:firstLine="0" w:firstLineChars="0"/>
                    <w:jc w:val="center"/>
                    <w:rPr>
                      <w:rFonts w:eastAsia="宋体"/>
                      <w:sz w:val="21"/>
                    </w:rPr>
                  </w:pPr>
                  <w:r>
                    <w:rPr>
                      <w:rFonts w:hint="eastAsia" w:eastAsia="宋体"/>
                      <w:sz w:val="21"/>
                    </w:rPr>
                    <w:t>学校</w:t>
                  </w:r>
                </w:p>
              </w:tc>
              <w:tc>
                <w:tcPr>
                  <w:tcW w:w="1225" w:type="dxa"/>
                  <w:tcBorders>
                    <w:tl2br w:val="nil"/>
                    <w:tr2bl w:val="nil"/>
                  </w:tcBorders>
                  <w:shd w:val="clear" w:color="auto" w:fill="auto"/>
                  <w:vAlign w:val="center"/>
                </w:tcPr>
                <w:p w14:paraId="6B17D42C">
                  <w:pPr>
                    <w:pStyle w:val="30"/>
                    <w:widowControl/>
                    <w:spacing w:line="240" w:lineRule="auto"/>
                    <w:ind w:firstLine="0" w:firstLineChars="0"/>
                    <w:jc w:val="center"/>
                    <w:rPr>
                      <w:rFonts w:eastAsia="宋体"/>
                      <w:sz w:val="21"/>
                    </w:rPr>
                  </w:pPr>
                  <w:r>
                    <w:rPr>
                      <w:rFonts w:eastAsia="宋体"/>
                      <w:sz w:val="21"/>
                    </w:rPr>
                    <w:t>约3530人</w:t>
                  </w:r>
                </w:p>
              </w:tc>
              <w:tc>
                <w:tcPr>
                  <w:tcW w:w="1225" w:type="dxa"/>
                  <w:vMerge w:val="continue"/>
                  <w:tcBorders>
                    <w:tl2br w:val="nil"/>
                    <w:tr2bl w:val="nil"/>
                  </w:tcBorders>
                  <w:vAlign w:val="center"/>
                </w:tcPr>
                <w:p w14:paraId="0C338556">
                  <w:pPr>
                    <w:pStyle w:val="30"/>
                    <w:widowControl/>
                    <w:spacing w:line="240" w:lineRule="auto"/>
                    <w:ind w:firstLine="0" w:firstLineChars="0"/>
                    <w:jc w:val="center"/>
                    <w:rPr>
                      <w:rFonts w:eastAsia="宋体"/>
                      <w:sz w:val="21"/>
                    </w:rPr>
                  </w:pPr>
                </w:p>
              </w:tc>
            </w:tr>
            <w:tr w14:paraId="49F946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1A9B35A7">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4F660E79">
                  <w:pPr>
                    <w:pStyle w:val="30"/>
                    <w:widowControl/>
                    <w:spacing w:line="240" w:lineRule="auto"/>
                    <w:ind w:firstLine="0" w:firstLineChars="0"/>
                    <w:jc w:val="center"/>
                    <w:rPr>
                      <w:rFonts w:eastAsia="宋体"/>
                      <w:sz w:val="21"/>
                    </w:rPr>
                  </w:pPr>
                  <w:r>
                    <w:rPr>
                      <w:rFonts w:hint="eastAsia" w:eastAsia="宋体"/>
                      <w:sz w:val="21"/>
                    </w:rPr>
                    <w:t>中交·王府景二期</w:t>
                  </w:r>
                </w:p>
              </w:tc>
              <w:tc>
                <w:tcPr>
                  <w:tcW w:w="1784" w:type="dxa"/>
                  <w:tcBorders>
                    <w:tl2br w:val="nil"/>
                    <w:tr2bl w:val="nil"/>
                  </w:tcBorders>
                  <w:shd w:val="clear" w:color="auto" w:fill="auto"/>
                  <w:vAlign w:val="center"/>
                </w:tcPr>
                <w:p w14:paraId="19462AC0">
                  <w:pPr>
                    <w:pStyle w:val="30"/>
                    <w:widowControl/>
                    <w:spacing w:line="240" w:lineRule="auto"/>
                    <w:ind w:firstLine="0" w:firstLineChars="0"/>
                    <w:jc w:val="center"/>
                    <w:rPr>
                      <w:rFonts w:eastAsia="宋体"/>
                      <w:sz w:val="21"/>
                    </w:rPr>
                  </w:pPr>
                  <w:r>
                    <w:rPr>
                      <w:rFonts w:hint="eastAsia" w:eastAsia="宋体"/>
                      <w:sz w:val="21"/>
                    </w:rPr>
                    <w:t>项目河段黄家沟大桥右岸北侧</w:t>
                  </w:r>
                </w:p>
              </w:tc>
              <w:tc>
                <w:tcPr>
                  <w:tcW w:w="1133" w:type="dxa"/>
                  <w:tcBorders>
                    <w:tl2br w:val="nil"/>
                    <w:tr2bl w:val="nil"/>
                  </w:tcBorders>
                  <w:shd w:val="clear" w:color="auto" w:fill="auto"/>
                  <w:vAlign w:val="center"/>
                </w:tcPr>
                <w:p w14:paraId="33E2C5B7">
                  <w:pPr>
                    <w:pStyle w:val="30"/>
                    <w:widowControl/>
                    <w:spacing w:line="240" w:lineRule="auto"/>
                    <w:ind w:firstLine="0" w:firstLineChars="0"/>
                    <w:jc w:val="center"/>
                    <w:rPr>
                      <w:rFonts w:eastAsia="宋体"/>
                      <w:sz w:val="21"/>
                    </w:rPr>
                  </w:pPr>
                  <w:r>
                    <w:rPr>
                      <w:rFonts w:hint="eastAsia" w:eastAsia="宋体"/>
                      <w:sz w:val="21"/>
                    </w:rPr>
                    <w:t>60-573m</w:t>
                  </w:r>
                </w:p>
              </w:tc>
              <w:tc>
                <w:tcPr>
                  <w:tcW w:w="1019" w:type="dxa"/>
                  <w:tcBorders>
                    <w:tl2br w:val="nil"/>
                    <w:tr2bl w:val="nil"/>
                  </w:tcBorders>
                  <w:shd w:val="clear" w:color="auto" w:fill="auto"/>
                  <w:vAlign w:val="center"/>
                </w:tcPr>
                <w:p w14:paraId="1DC7DFA4">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shd w:val="clear" w:color="auto" w:fill="auto"/>
                  <w:vAlign w:val="center"/>
                </w:tcPr>
                <w:p w14:paraId="17DB481C">
                  <w:pPr>
                    <w:pStyle w:val="30"/>
                    <w:widowControl/>
                    <w:spacing w:line="240" w:lineRule="auto"/>
                    <w:ind w:firstLine="0" w:firstLineChars="0"/>
                    <w:jc w:val="center"/>
                    <w:rPr>
                      <w:rFonts w:eastAsia="宋体"/>
                      <w:sz w:val="21"/>
                    </w:rPr>
                  </w:pPr>
                  <w:r>
                    <w:rPr>
                      <w:rFonts w:eastAsia="宋体"/>
                      <w:sz w:val="21"/>
                    </w:rPr>
                    <w:t>1260户，约4200人</w:t>
                  </w:r>
                </w:p>
              </w:tc>
              <w:tc>
                <w:tcPr>
                  <w:tcW w:w="1225" w:type="dxa"/>
                  <w:vMerge w:val="continue"/>
                  <w:tcBorders>
                    <w:tl2br w:val="nil"/>
                    <w:tr2bl w:val="nil"/>
                  </w:tcBorders>
                  <w:vAlign w:val="center"/>
                </w:tcPr>
                <w:p w14:paraId="526A101F">
                  <w:pPr>
                    <w:pStyle w:val="30"/>
                    <w:widowControl/>
                    <w:spacing w:line="240" w:lineRule="auto"/>
                    <w:ind w:firstLine="0" w:firstLineChars="0"/>
                    <w:jc w:val="center"/>
                    <w:rPr>
                      <w:rFonts w:eastAsia="宋体"/>
                      <w:sz w:val="21"/>
                    </w:rPr>
                  </w:pPr>
                </w:p>
              </w:tc>
            </w:tr>
            <w:tr w14:paraId="145F2D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7B1A7899">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41918689">
                  <w:pPr>
                    <w:pStyle w:val="30"/>
                    <w:widowControl/>
                    <w:spacing w:line="240" w:lineRule="auto"/>
                    <w:ind w:firstLine="0" w:firstLineChars="0"/>
                    <w:jc w:val="center"/>
                    <w:rPr>
                      <w:rFonts w:eastAsia="宋体"/>
                      <w:sz w:val="21"/>
                    </w:rPr>
                  </w:pPr>
                  <w:r>
                    <w:rPr>
                      <w:rFonts w:hint="eastAsia" w:eastAsia="宋体"/>
                      <w:sz w:val="21"/>
                    </w:rPr>
                    <w:t>万达广场</w:t>
                  </w:r>
                </w:p>
              </w:tc>
              <w:tc>
                <w:tcPr>
                  <w:tcW w:w="1784" w:type="dxa"/>
                  <w:tcBorders>
                    <w:tl2br w:val="nil"/>
                    <w:tr2bl w:val="nil"/>
                  </w:tcBorders>
                  <w:shd w:val="clear" w:color="auto" w:fill="auto"/>
                  <w:vAlign w:val="center"/>
                </w:tcPr>
                <w:p w14:paraId="06E3007A">
                  <w:pPr>
                    <w:pStyle w:val="30"/>
                    <w:widowControl/>
                    <w:spacing w:line="240" w:lineRule="auto"/>
                    <w:ind w:firstLine="0" w:firstLineChars="0"/>
                    <w:jc w:val="center"/>
                    <w:rPr>
                      <w:rFonts w:eastAsia="宋体"/>
                      <w:sz w:val="21"/>
                    </w:rPr>
                  </w:pPr>
                  <w:r>
                    <w:rPr>
                      <w:rFonts w:hint="eastAsia" w:eastAsia="宋体"/>
                      <w:sz w:val="21"/>
                    </w:rPr>
                    <w:t>项目河段黄家沟大桥左岸东北侧</w:t>
                  </w:r>
                </w:p>
              </w:tc>
              <w:tc>
                <w:tcPr>
                  <w:tcW w:w="1133" w:type="dxa"/>
                  <w:tcBorders>
                    <w:tl2br w:val="nil"/>
                    <w:tr2bl w:val="nil"/>
                  </w:tcBorders>
                  <w:shd w:val="clear" w:color="auto" w:fill="auto"/>
                  <w:vAlign w:val="center"/>
                </w:tcPr>
                <w:p w14:paraId="4D95FF78">
                  <w:pPr>
                    <w:pStyle w:val="30"/>
                    <w:widowControl/>
                    <w:spacing w:line="240" w:lineRule="auto"/>
                    <w:ind w:firstLine="0" w:firstLineChars="0"/>
                    <w:jc w:val="center"/>
                    <w:rPr>
                      <w:rFonts w:eastAsia="宋体"/>
                      <w:sz w:val="21"/>
                    </w:rPr>
                  </w:pPr>
                  <w:r>
                    <w:rPr>
                      <w:rFonts w:hint="eastAsia" w:eastAsia="宋体"/>
                      <w:sz w:val="21"/>
                    </w:rPr>
                    <w:t>300m</w:t>
                  </w:r>
                </w:p>
              </w:tc>
              <w:tc>
                <w:tcPr>
                  <w:tcW w:w="1019" w:type="dxa"/>
                  <w:tcBorders>
                    <w:tl2br w:val="nil"/>
                    <w:tr2bl w:val="nil"/>
                  </w:tcBorders>
                  <w:shd w:val="clear" w:color="auto" w:fill="auto"/>
                  <w:vAlign w:val="center"/>
                </w:tcPr>
                <w:p w14:paraId="0E766C73">
                  <w:pPr>
                    <w:pStyle w:val="30"/>
                    <w:widowControl/>
                    <w:spacing w:line="240" w:lineRule="auto"/>
                    <w:ind w:firstLine="0" w:firstLineChars="0"/>
                    <w:jc w:val="center"/>
                    <w:rPr>
                      <w:rFonts w:eastAsia="宋体"/>
                      <w:sz w:val="21"/>
                    </w:rPr>
                  </w:pPr>
                  <w:r>
                    <w:rPr>
                      <w:rFonts w:hint="eastAsia" w:eastAsia="宋体"/>
                      <w:sz w:val="21"/>
                    </w:rPr>
                    <w:t>商业区</w:t>
                  </w:r>
                </w:p>
              </w:tc>
              <w:tc>
                <w:tcPr>
                  <w:tcW w:w="1225" w:type="dxa"/>
                  <w:tcBorders>
                    <w:tl2br w:val="nil"/>
                    <w:tr2bl w:val="nil"/>
                  </w:tcBorders>
                  <w:shd w:val="clear" w:color="auto" w:fill="auto"/>
                  <w:vAlign w:val="center"/>
                </w:tcPr>
                <w:p w14:paraId="702B20B0">
                  <w:pPr>
                    <w:pStyle w:val="30"/>
                    <w:widowControl/>
                    <w:spacing w:line="240" w:lineRule="auto"/>
                    <w:ind w:firstLine="0" w:firstLineChars="0"/>
                    <w:jc w:val="center"/>
                    <w:rPr>
                      <w:rFonts w:eastAsia="宋体"/>
                      <w:sz w:val="21"/>
                    </w:rPr>
                  </w:pPr>
                  <w:r>
                    <w:rPr>
                      <w:rFonts w:hint="eastAsia" w:eastAsia="宋体"/>
                      <w:sz w:val="21"/>
                    </w:rPr>
                    <w:t>约</w:t>
                  </w:r>
                  <w:r>
                    <w:rPr>
                      <w:rFonts w:eastAsia="宋体"/>
                      <w:sz w:val="21"/>
                    </w:rPr>
                    <w:t>4000人</w:t>
                  </w:r>
                </w:p>
              </w:tc>
              <w:tc>
                <w:tcPr>
                  <w:tcW w:w="1225" w:type="dxa"/>
                  <w:vMerge w:val="continue"/>
                  <w:tcBorders>
                    <w:tl2br w:val="nil"/>
                    <w:tr2bl w:val="nil"/>
                  </w:tcBorders>
                  <w:vAlign w:val="center"/>
                </w:tcPr>
                <w:p w14:paraId="4191E085">
                  <w:pPr>
                    <w:pStyle w:val="30"/>
                    <w:widowControl/>
                    <w:spacing w:line="240" w:lineRule="auto"/>
                    <w:ind w:firstLine="0" w:firstLineChars="0"/>
                    <w:jc w:val="center"/>
                    <w:rPr>
                      <w:rFonts w:eastAsia="宋体"/>
                      <w:sz w:val="21"/>
                    </w:rPr>
                  </w:pPr>
                </w:p>
              </w:tc>
            </w:tr>
            <w:tr w14:paraId="0FA19A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225D8F27">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7A4990A0">
                  <w:pPr>
                    <w:pStyle w:val="30"/>
                    <w:widowControl/>
                    <w:spacing w:line="240" w:lineRule="auto"/>
                    <w:ind w:firstLine="0" w:firstLineChars="0"/>
                    <w:jc w:val="center"/>
                    <w:rPr>
                      <w:rFonts w:eastAsia="宋体"/>
                      <w:sz w:val="21"/>
                    </w:rPr>
                  </w:pPr>
                  <w:r>
                    <w:rPr>
                      <w:rFonts w:hint="eastAsia" w:eastAsia="宋体"/>
                      <w:sz w:val="21"/>
                    </w:rPr>
                    <w:t>中交·王府景</w:t>
                  </w:r>
                </w:p>
              </w:tc>
              <w:tc>
                <w:tcPr>
                  <w:tcW w:w="1784" w:type="dxa"/>
                  <w:tcBorders>
                    <w:tl2br w:val="nil"/>
                    <w:tr2bl w:val="nil"/>
                  </w:tcBorders>
                  <w:shd w:val="clear" w:color="auto" w:fill="auto"/>
                  <w:vAlign w:val="center"/>
                </w:tcPr>
                <w:p w14:paraId="733E3292">
                  <w:pPr>
                    <w:pStyle w:val="30"/>
                    <w:widowControl/>
                    <w:spacing w:line="240" w:lineRule="auto"/>
                    <w:ind w:firstLine="0" w:firstLineChars="0"/>
                    <w:jc w:val="center"/>
                    <w:rPr>
                      <w:rFonts w:eastAsia="宋体"/>
                      <w:sz w:val="21"/>
                    </w:rPr>
                  </w:pPr>
                  <w:r>
                    <w:rPr>
                      <w:rFonts w:hint="eastAsia" w:eastAsia="宋体"/>
                      <w:sz w:val="21"/>
                    </w:rPr>
                    <w:t>项目河段终点右岸东北侧</w:t>
                  </w:r>
                </w:p>
              </w:tc>
              <w:tc>
                <w:tcPr>
                  <w:tcW w:w="1133" w:type="dxa"/>
                  <w:tcBorders>
                    <w:tl2br w:val="nil"/>
                    <w:tr2bl w:val="nil"/>
                  </w:tcBorders>
                  <w:shd w:val="clear" w:color="auto" w:fill="auto"/>
                  <w:vAlign w:val="center"/>
                </w:tcPr>
                <w:p w14:paraId="34271356">
                  <w:pPr>
                    <w:pStyle w:val="30"/>
                    <w:widowControl/>
                    <w:spacing w:line="240" w:lineRule="auto"/>
                    <w:ind w:firstLine="0" w:firstLineChars="0"/>
                    <w:jc w:val="center"/>
                    <w:rPr>
                      <w:rFonts w:eastAsia="宋体"/>
                      <w:sz w:val="21"/>
                    </w:rPr>
                  </w:pPr>
                  <w:r>
                    <w:rPr>
                      <w:rFonts w:hint="eastAsia" w:eastAsia="宋体"/>
                      <w:sz w:val="21"/>
                    </w:rPr>
                    <w:t>126-593m</w:t>
                  </w:r>
                </w:p>
              </w:tc>
              <w:tc>
                <w:tcPr>
                  <w:tcW w:w="1019" w:type="dxa"/>
                  <w:tcBorders>
                    <w:tl2br w:val="nil"/>
                    <w:tr2bl w:val="nil"/>
                  </w:tcBorders>
                  <w:shd w:val="clear" w:color="auto" w:fill="auto"/>
                  <w:vAlign w:val="center"/>
                </w:tcPr>
                <w:p w14:paraId="5A1D8D4D">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shd w:val="clear" w:color="auto" w:fill="auto"/>
                  <w:vAlign w:val="center"/>
                </w:tcPr>
                <w:p w14:paraId="3AC2B29E">
                  <w:pPr>
                    <w:pStyle w:val="30"/>
                    <w:widowControl/>
                    <w:spacing w:line="240" w:lineRule="auto"/>
                    <w:ind w:firstLine="0" w:firstLineChars="0"/>
                    <w:jc w:val="center"/>
                    <w:rPr>
                      <w:rFonts w:eastAsia="宋体"/>
                      <w:sz w:val="21"/>
                    </w:rPr>
                  </w:pPr>
                  <w:r>
                    <w:rPr>
                      <w:rFonts w:eastAsia="宋体"/>
                      <w:sz w:val="21"/>
                    </w:rPr>
                    <w:t>1180户，约3930人</w:t>
                  </w:r>
                </w:p>
              </w:tc>
              <w:tc>
                <w:tcPr>
                  <w:tcW w:w="1225" w:type="dxa"/>
                  <w:vMerge w:val="continue"/>
                  <w:tcBorders>
                    <w:tl2br w:val="nil"/>
                    <w:tr2bl w:val="nil"/>
                  </w:tcBorders>
                  <w:vAlign w:val="center"/>
                </w:tcPr>
                <w:p w14:paraId="5A4B2399">
                  <w:pPr>
                    <w:pStyle w:val="30"/>
                    <w:widowControl/>
                    <w:spacing w:line="240" w:lineRule="auto"/>
                    <w:ind w:firstLine="0" w:firstLineChars="0"/>
                    <w:jc w:val="center"/>
                    <w:rPr>
                      <w:rFonts w:eastAsia="宋体"/>
                      <w:sz w:val="21"/>
                    </w:rPr>
                  </w:pPr>
                </w:p>
              </w:tc>
            </w:tr>
            <w:tr w14:paraId="12CE10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45ABF6AB">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7122D4E3">
                  <w:pPr>
                    <w:pStyle w:val="30"/>
                    <w:widowControl/>
                    <w:spacing w:line="240" w:lineRule="auto"/>
                    <w:ind w:firstLine="0" w:firstLineChars="0"/>
                    <w:jc w:val="center"/>
                    <w:rPr>
                      <w:rFonts w:eastAsia="宋体"/>
                      <w:sz w:val="21"/>
                    </w:rPr>
                  </w:pPr>
                  <w:r>
                    <w:rPr>
                      <w:rFonts w:hint="eastAsia" w:eastAsia="宋体"/>
                      <w:sz w:val="21"/>
                    </w:rPr>
                    <w:t>巨林天下城</w:t>
                  </w:r>
                </w:p>
              </w:tc>
              <w:tc>
                <w:tcPr>
                  <w:tcW w:w="1784" w:type="dxa"/>
                  <w:tcBorders>
                    <w:tl2br w:val="nil"/>
                    <w:tr2bl w:val="nil"/>
                  </w:tcBorders>
                  <w:shd w:val="clear" w:color="auto" w:fill="auto"/>
                  <w:vAlign w:val="center"/>
                </w:tcPr>
                <w:p w14:paraId="604DEF57">
                  <w:pPr>
                    <w:pStyle w:val="30"/>
                    <w:widowControl/>
                    <w:spacing w:line="240" w:lineRule="auto"/>
                    <w:ind w:firstLine="0" w:firstLineChars="0"/>
                    <w:jc w:val="center"/>
                    <w:rPr>
                      <w:rFonts w:eastAsia="宋体"/>
                      <w:sz w:val="21"/>
                    </w:rPr>
                  </w:pPr>
                  <w:r>
                    <w:rPr>
                      <w:rFonts w:hint="eastAsia" w:eastAsia="宋体"/>
                      <w:sz w:val="21"/>
                    </w:rPr>
                    <w:t>项目河段终点右岸南侧</w:t>
                  </w:r>
                </w:p>
              </w:tc>
              <w:tc>
                <w:tcPr>
                  <w:tcW w:w="1133" w:type="dxa"/>
                  <w:tcBorders>
                    <w:tl2br w:val="nil"/>
                    <w:tr2bl w:val="nil"/>
                  </w:tcBorders>
                  <w:shd w:val="clear" w:color="auto" w:fill="auto"/>
                  <w:vAlign w:val="center"/>
                </w:tcPr>
                <w:p w14:paraId="28E3C595">
                  <w:pPr>
                    <w:pStyle w:val="30"/>
                    <w:widowControl/>
                    <w:spacing w:line="240" w:lineRule="auto"/>
                    <w:ind w:firstLine="0" w:firstLineChars="0"/>
                    <w:jc w:val="center"/>
                    <w:rPr>
                      <w:rFonts w:eastAsia="宋体"/>
                      <w:sz w:val="21"/>
                    </w:rPr>
                  </w:pPr>
                  <w:r>
                    <w:rPr>
                      <w:rFonts w:hint="eastAsia" w:eastAsia="宋体"/>
                      <w:sz w:val="21"/>
                    </w:rPr>
                    <w:t>136-555m</w:t>
                  </w:r>
                </w:p>
              </w:tc>
              <w:tc>
                <w:tcPr>
                  <w:tcW w:w="1019" w:type="dxa"/>
                  <w:tcBorders>
                    <w:tl2br w:val="nil"/>
                    <w:tr2bl w:val="nil"/>
                  </w:tcBorders>
                  <w:shd w:val="clear" w:color="auto" w:fill="auto"/>
                  <w:vAlign w:val="center"/>
                </w:tcPr>
                <w:p w14:paraId="451FAAF6">
                  <w:pPr>
                    <w:pStyle w:val="30"/>
                    <w:widowControl/>
                    <w:spacing w:line="240" w:lineRule="auto"/>
                    <w:ind w:firstLine="0" w:firstLineChars="0"/>
                    <w:jc w:val="center"/>
                    <w:rPr>
                      <w:rFonts w:eastAsia="宋体"/>
                      <w:sz w:val="21"/>
                    </w:rPr>
                  </w:pPr>
                  <w:r>
                    <w:rPr>
                      <w:rFonts w:hint="eastAsia" w:eastAsia="宋体"/>
                      <w:sz w:val="21"/>
                    </w:rPr>
                    <w:t>居民区</w:t>
                  </w:r>
                </w:p>
              </w:tc>
              <w:tc>
                <w:tcPr>
                  <w:tcW w:w="1225" w:type="dxa"/>
                  <w:tcBorders>
                    <w:tl2br w:val="nil"/>
                    <w:tr2bl w:val="nil"/>
                  </w:tcBorders>
                  <w:shd w:val="clear" w:color="auto" w:fill="auto"/>
                  <w:vAlign w:val="center"/>
                </w:tcPr>
                <w:p w14:paraId="6AEE844B">
                  <w:pPr>
                    <w:pStyle w:val="30"/>
                    <w:widowControl/>
                    <w:spacing w:line="240" w:lineRule="auto"/>
                    <w:ind w:firstLine="0" w:firstLineChars="0"/>
                    <w:jc w:val="center"/>
                    <w:rPr>
                      <w:rFonts w:eastAsia="宋体"/>
                      <w:sz w:val="21"/>
                    </w:rPr>
                  </w:pPr>
                  <w:r>
                    <w:rPr>
                      <w:rFonts w:eastAsia="宋体"/>
                      <w:sz w:val="21"/>
                    </w:rPr>
                    <w:t>1900户</w:t>
                  </w:r>
                  <w:r>
                    <w:rPr>
                      <w:rFonts w:hint="eastAsia" w:eastAsia="宋体"/>
                      <w:sz w:val="21"/>
                    </w:rPr>
                    <w:t>，约6650人</w:t>
                  </w:r>
                </w:p>
              </w:tc>
              <w:tc>
                <w:tcPr>
                  <w:tcW w:w="1225" w:type="dxa"/>
                  <w:vMerge w:val="continue"/>
                  <w:tcBorders>
                    <w:tl2br w:val="nil"/>
                    <w:tr2bl w:val="nil"/>
                  </w:tcBorders>
                  <w:vAlign w:val="center"/>
                </w:tcPr>
                <w:p w14:paraId="5B5624C9">
                  <w:pPr>
                    <w:pStyle w:val="30"/>
                    <w:widowControl/>
                    <w:spacing w:line="240" w:lineRule="auto"/>
                    <w:ind w:firstLine="0" w:firstLineChars="0"/>
                    <w:jc w:val="center"/>
                    <w:rPr>
                      <w:rFonts w:eastAsia="宋体"/>
                      <w:sz w:val="21"/>
                    </w:rPr>
                  </w:pPr>
                </w:p>
              </w:tc>
            </w:tr>
            <w:tr w14:paraId="7E9511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restart"/>
                  <w:tcBorders>
                    <w:tl2br w:val="nil"/>
                    <w:tr2bl w:val="nil"/>
                  </w:tcBorders>
                  <w:vAlign w:val="center"/>
                </w:tcPr>
                <w:p w14:paraId="065A1F64">
                  <w:pPr>
                    <w:pStyle w:val="30"/>
                    <w:widowControl/>
                    <w:spacing w:line="240" w:lineRule="auto"/>
                    <w:ind w:firstLine="0" w:firstLineChars="0"/>
                    <w:jc w:val="center"/>
                    <w:rPr>
                      <w:rFonts w:eastAsia="宋体"/>
                      <w:sz w:val="21"/>
                    </w:rPr>
                  </w:pPr>
                  <w:r>
                    <w:rPr>
                      <w:rFonts w:hint="eastAsia" w:eastAsia="宋体"/>
                      <w:sz w:val="21"/>
                    </w:rPr>
                    <w:t>地表水环境</w:t>
                  </w:r>
                </w:p>
              </w:tc>
              <w:tc>
                <w:tcPr>
                  <w:tcW w:w="1466" w:type="dxa"/>
                  <w:tcBorders>
                    <w:tl2br w:val="nil"/>
                    <w:tr2bl w:val="nil"/>
                  </w:tcBorders>
                  <w:shd w:val="clear" w:color="auto" w:fill="auto"/>
                  <w:vAlign w:val="center"/>
                </w:tcPr>
                <w:p w14:paraId="4A72EC5C">
                  <w:pPr>
                    <w:pStyle w:val="30"/>
                    <w:widowControl/>
                    <w:spacing w:line="240" w:lineRule="auto"/>
                    <w:ind w:firstLine="0" w:firstLineChars="0"/>
                    <w:jc w:val="center"/>
                    <w:rPr>
                      <w:rFonts w:eastAsia="宋体"/>
                      <w:b/>
                      <w:bCs/>
                      <w:sz w:val="21"/>
                    </w:rPr>
                  </w:pPr>
                  <w:r>
                    <w:rPr>
                      <w:rFonts w:hint="eastAsia" w:eastAsia="宋体"/>
                      <w:b/>
                      <w:bCs/>
                      <w:sz w:val="21"/>
                    </w:rPr>
                    <w:t>河流名城</w:t>
                  </w:r>
                </w:p>
              </w:tc>
              <w:tc>
                <w:tcPr>
                  <w:tcW w:w="1784" w:type="dxa"/>
                  <w:tcBorders>
                    <w:tl2br w:val="nil"/>
                    <w:tr2bl w:val="nil"/>
                  </w:tcBorders>
                  <w:shd w:val="clear" w:color="auto" w:fill="auto"/>
                  <w:vAlign w:val="center"/>
                </w:tcPr>
                <w:p w14:paraId="35E265A1">
                  <w:pPr>
                    <w:pStyle w:val="30"/>
                    <w:widowControl/>
                    <w:spacing w:line="240" w:lineRule="auto"/>
                    <w:ind w:firstLine="0" w:firstLineChars="0"/>
                    <w:jc w:val="center"/>
                    <w:rPr>
                      <w:rFonts w:eastAsia="宋体"/>
                      <w:b/>
                      <w:bCs/>
                      <w:sz w:val="21"/>
                    </w:rPr>
                  </w:pPr>
                  <w:r>
                    <w:rPr>
                      <w:rFonts w:hint="eastAsia" w:eastAsia="宋体"/>
                      <w:b/>
                      <w:bCs/>
                      <w:sz w:val="21"/>
                    </w:rPr>
                    <w:t>方位</w:t>
                  </w:r>
                </w:p>
              </w:tc>
              <w:tc>
                <w:tcPr>
                  <w:tcW w:w="1133" w:type="dxa"/>
                  <w:tcBorders>
                    <w:tl2br w:val="nil"/>
                    <w:tr2bl w:val="nil"/>
                  </w:tcBorders>
                  <w:shd w:val="clear" w:color="auto" w:fill="auto"/>
                  <w:vAlign w:val="center"/>
                </w:tcPr>
                <w:p w14:paraId="4961B405">
                  <w:pPr>
                    <w:pStyle w:val="30"/>
                    <w:widowControl/>
                    <w:spacing w:line="240" w:lineRule="auto"/>
                    <w:ind w:firstLine="0" w:firstLineChars="0"/>
                    <w:jc w:val="center"/>
                    <w:rPr>
                      <w:rFonts w:eastAsia="宋体"/>
                      <w:b/>
                      <w:bCs/>
                      <w:sz w:val="21"/>
                    </w:rPr>
                  </w:pPr>
                  <w:r>
                    <w:rPr>
                      <w:rFonts w:hint="eastAsia" w:eastAsia="宋体"/>
                      <w:b/>
                      <w:bCs/>
                      <w:sz w:val="21"/>
                    </w:rPr>
                    <w:t>主要功能</w:t>
                  </w:r>
                </w:p>
              </w:tc>
              <w:tc>
                <w:tcPr>
                  <w:tcW w:w="3469" w:type="dxa"/>
                  <w:gridSpan w:val="3"/>
                  <w:tcBorders>
                    <w:tl2br w:val="nil"/>
                    <w:tr2bl w:val="nil"/>
                  </w:tcBorders>
                  <w:shd w:val="clear" w:color="auto" w:fill="auto"/>
                  <w:vAlign w:val="center"/>
                </w:tcPr>
                <w:p w14:paraId="4443F830">
                  <w:pPr>
                    <w:pStyle w:val="30"/>
                    <w:widowControl/>
                    <w:spacing w:line="240" w:lineRule="auto"/>
                    <w:ind w:firstLine="0" w:firstLineChars="0"/>
                    <w:jc w:val="center"/>
                    <w:rPr>
                      <w:rFonts w:eastAsia="宋体"/>
                      <w:b/>
                      <w:bCs/>
                      <w:sz w:val="21"/>
                    </w:rPr>
                  </w:pPr>
                  <w:r>
                    <w:rPr>
                      <w:rFonts w:hint="eastAsia" w:eastAsia="宋体"/>
                      <w:b/>
                      <w:bCs/>
                      <w:sz w:val="21"/>
                    </w:rPr>
                    <w:t>执行标准</w:t>
                  </w:r>
                </w:p>
              </w:tc>
            </w:tr>
            <w:tr w14:paraId="435284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37BF8BC3">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4A619114">
                  <w:pPr>
                    <w:pStyle w:val="30"/>
                    <w:widowControl/>
                    <w:spacing w:line="240" w:lineRule="auto"/>
                    <w:ind w:firstLine="0" w:firstLineChars="0"/>
                    <w:jc w:val="center"/>
                    <w:rPr>
                      <w:rFonts w:eastAsia="宋体"/>
                      <w:sz w:val="21"/>
                    </w:rPr>
                  </w:pPr>
                  <w:r>
                    <w:rPr>
                      <w:rFonts w:hint="eastAsia" w:eastAsia="宋体"/>
                      <w:sz w:val="21"/>
                    </w:rPr>
                    <w:t>檬子河</w:t>
                  </w:r>
                </w:p>
              </w:tc>
              <w:tc>
                <w:tcPr>
                  <w:tcW w:w="1784" w:type="dxa"/>
                  <w:tcBorders>
                    <w:tl2br w:val="nil"/>
                    <w:tr2bl w:val="nil"/>
                  </w:tcBorders>
                  <w:shd w:val="clear" w:color="auto" w:fill="auto"/>
                  <w:vAlign w:val="center"/>
                </w:tcPr>
                <w:p w14:paraId="1C0792EB">
                  <w:pPr>
                    <w:pStyle w:val="30"/>
                    <w:widowControl/>
                    <w:spacing w:line="240" w:lineRule="auto"/>
                    <w:ind w:firstLine="0" w:firstLineChars="0"/>
                    <w:jc w:val="center"/>
                    <w:rPr>
                      <w:rFonts w:eastAsia="宋体"/>
                      <w:sz w:val="21"/>
                    </w:rPr>
                  </w:pPr>
                  <w:r>
                    <w:rPr>
                      <w:rFonts w:hint="eastAsia" w:eastAsia="宋体"/>
                      <w:sz w:val="21"/>
                    </w:rPr>
                    <w:t>/</w:t>
                  </w:r>
                </w:p>
              </w:tc>
              <w:tc>
                <w:tcPr>
                  <w:tcW w:w="1133" w:type="dxa"/>
                  <w:tcBorders>
                    <w:tl2br w:val="nil"/>
                    <w:tr2bl w:val="nil"/>
                  </w:tcBorders>
                  <w:shd w:val="clear" w:color="auto" w:fill="auto"/>
                  <w:vAlign w:val="center"/>
                </w:tcPr>
                <w:p w14:paraId="699C155D">
                  <w:pPr>
                    <w:pStyle w:val="30"/>
                    <w:widowControl/>
                    <w:spacing w:line="240" w:lineRule="auto"/>
                    <w:ind w:firstLine="0" w:firstLineChars="0"/>
                    <w:jc w:val="center"/>
                    <w:rPr>
                      <w:rFonts w:eastAsia="宋体"/>
                      <w:sz w:val="21"/>
                    </w:rPr>
                  </w:pPr>
                  <w:r>
                    <w:rPr>
                      <w:rFonts w:hint="eastAsia" w:eastAsia="宋体"/>
                      <w:sz w:val="21"/>
                    </w:rPr>
                    <w:t>防洪、景观</w:t>
                  </w:r>
                </w:p>
              </w:tc>
              <w:tc>
                <w:tcPr>
                  <w:tcW w:w="3469" w:type="dxa"/>
                  <w:gridSpan w:val="3"/>
                  <w:tcBorders>
                    <w:tl2br w:val="nil"/>
                    <w:tr2bl w:val="nil"/>
                  </w:tcBorders>
                  <w:shd w:val="clear" w:color="auto" w:fill="auto"/>
                  <w:vAlign w:val="center"/>
                </w:tcPr>
                <w:p w14:paraId="23EC8261">
                  <w:pPr>
                    <w:pStyle w:val="30"/>
                    <w:widowControl/>
                    <w:spacing w:line="240" w:lineRule="auto"/>
                    <w:ind w:firstLine="0" w:firstLineChars="0"/>
                    <w:jc w:val="center"/>
                    <w:rPr>
                      <w:rFonts w:eastAsia="宋体"/>
                      <w:sz w:val="21"/>
                    </w:rPr>
                  </w:pPr>
                  <w:r>
                    <w:rPr>
                      <w:rFonts w:eastAsia="宋体"/>
                      <w:sz w:val="21"/>
                    </w:rPr>
                    <w:t>《地表水环境质量标准》（GB3838-2002）中Ⅲ类水体标准</w:t>
                  </w:r>
                </w:p>
              </w:tc>
            </w:tr>
            <w:tr w14:paraId="23A84D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4FBD83D7">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3477A101">
                  <w:pPr>
                    <w:pStyle w:val="30"/>
                    <w:widowControl/>
                    <w:spacing w:line="240" w:lineRule="auto"/>
                    <w:ind w:firstLine="0" w:firstLineChars="0"/>
                    <w:jc w:val="center"/>
                    <w:rPr>
                      <w:rFonts w:eastAsia="宋体"/>
                      <w:sz w:val="21"/>
                    </w:rPr>
                  </w:pPr>
                  <w:r>
                    <w:rPr>
                      <w:rFonts w:hint="eastAsia" w:eastAsia="宋体"/>
                      <w:sz w:val="21"/>
                    </w:rPr>
                    <w:t>巴河（巴州段）</w:t>
                  </w:r>
                </w:p>
              </w:tc>
              <w:tc>
                <w:tcPr>
                  <w:tcW w:w="1784" w:type="dxa"/>
                  <w:tcBorders>
                    <w:tl2br w:val="nil"/>
                    <w:tr2bl w:val="nil"/>
                  </w:tcBorders>
                  <w:shd w:val="clear" w:color="auto" w:fill="auto"/>
                  <w:vAlign w:val="center"/>
                </w:tcPr>
                <w:p w14:paraId="6C686B4B">
                  <w:pPr>
                    <w:pStyle w:val="30"/>
                    <w:widowControl/>
                    <w:spacing w:line="240" w:lineRule="auto"/>
                    <w:ind w:firstLine="0" w:firstLineChars="0"/>
                    <w:jc w:val="center"/>
                    <w:rPr>
                      <w:rFonts w:eastAsia="宋体"/>
                      <w:sz w:val="21"/>
                    </w:rPr>
                  </w:pPr>
                  <w:r>
                    <w:rPr>
                      <w:rFonts w:hint="eastAsia" w:eastAsia="宋体"/>
                      <w:sz w:val="21"/>
                    </w:rPr>
                    <w:t>檬子河汇入口</w:t>
                  </w:r>
                </w:p>
              </w:tc>
              <w:tc>
                <w:tcPr>
                  <w:tcW w:w="1133" w:type="dxa"/>
                  <w:tcBorders>
                    <w:tl2br w:val="nil"/>
                    <w:tr2bl w:val="nil"/>
                  </w:tcBorders>
                  <w:shd w:val="clear" w:color="auto" w:fill="auto"/>
                  <w:vAlign w:val="center"/>
                </w:tcPr>
                <w:p w14:paraId="7CE90478">
                  <w:pPr>
                    <w:pStyle w:val="30"/>
                    <w:widowControl/>
                    <w:spacing w:line="240" w:lineRule="auto"/>
                    <w:ind w:firstLine="0" w:firstLineChars="0"/>
                    <w:jc w:val="center"/>
                    <w:rPr>
                      <w:rFonts w:eastAsia="宋体"/>
                      <w:sz w:val="21"/>
                    </w:rPr>
                  </w:pPr>
                  <w:r>
                    <w:rPr>
                      <w:rFonts w:hint="eastAsia" w:eastAsia="宋体"/>
                      <w:sz w:val="21"/>
                    </w:rPr>
                    <w:t>防洪、景观</w:t>
                  </w:r>
                </w:p>
              </w:tc>
              <w:tc>
                <w:tcPr>
                  <w:tcW w:w="3469" w:type="dxa"/>
                  <w:gridSpan w:val="3"/>
                  <w:tcBorders>
                    <w:tl2br w:val="nil"/>
                    <w:tr2bl w:val="nil"/>
                  </w:tcBorders>
                  <w:shd w:val="clear" w:color="auto" w:fill="auto"/>
                  <w:vAlign w:val="center"/>
                </w:tcPr>
                <w:p w14:paraId="125D62E9">
                  <w:pPr>
                    <w:pStyle w:val="30"/>
                    <w:widowControl/>
                    <w:spacing w:line="240" w:lineRule="auto"/>
                    <w:ind w:firstLine="0" w:firstLineChars="0"/>
                    <w:jc w:val="center"/>
                    <w:rPr>
                      <w:rFonts w:eastAsia="宋体"/>
                      <w:sz w:val="21"/>
                    </w:rPr>
                  </w:pPr>
                  <w:r>
                    <w:rPr>
                      <w:rFonts w:eastAsia="宋体"/>
                      <w:sz w:val="21"/>
                    </w:rPr>
                    <w:t>执行《地表水环境质量标准》（GB3838-2002）Ⅱ类水体标准</w:t>
                  </w:r>
                </w:p>
              </w:tc>
            </w:tr>
            <w:tr w14:paraId="268A28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restart"/>
                  <w:tcBorders>
                    <w:tl2br w:val="nil"/>
                    <w:tr2bl w:val="nil"/>
                  </w:tcBorders>
                  <w:vAlign w:val="center"/>
                </w:tcPr>
                <w:p w14:paraId="0AA2AABA">
                  <w:pPr>
                    <w:pStyle w:val="30"/>
                    <w:widowControl/>
                    <w:spacing w:line="240" w:lineRule="auto"/>
                    <w:ind w:firstLine="0" w:firstLineChars="0"/>
                    <w:jc w:val="center"/>
                    <w:rPr>
                      <w:rFonts w:eastAsia="宋体"/>
                      <w:sz w:val="21"/>
                    </w:rPr>
                  </w:pPr>
                  <w:r>
                    <w:rPr>
                      <w:rFonts w:hint="eastAsia" w:eastAsia="宋体"/>
                      <w:sz w:val="21"/>
                    </w:rPr>
                    <w:t>生态环境</w:t>
                  </w:r>
                </w:p>
              </w:tc>
              <w:tc>
                <w:tcPr>
                  <w:tcW w:w="1466" w:type="dxa"/>
                  <w:tcBorders>
                    <w:tl2br w:val="nil"/>
                    <w:tr2bl w:val="nil"/>
                  </w:tcBorders>
                  <w:shd w:val="clear" w:color="auto" w:fill="auto"/>
                  <w:vAlign w:val="center"/>
                </w:tcPr>
                <w:p w14:paraId="1D7C519A">
                  <w:pPr>
                    <w:pStyle w:val="30"/>
                    <w:widowControl/>
                    <w:spacing w:line="240" w:lineRule="auto"/>
                    <w:ind w:firstLine="0" w:firstLineChars="0"/>
                    <w:jc w:val="center"/>
                    <w:rPr>
                      <w:rFonts w:eastAsia="宋体"/>
                      <w:sz w:val="21"/>
                    </w:rPr>
                  </w:pPr>
                  <w:r>
                    <w:rPr>
                      <w:rFonts w:hint="eastAsia" w:eastAsia="宋体"/>
                      <w:sz w:val="21"/>
                    </w:rPr>
                    <w:t>植被</w:t>
                  </w:r>
                </w:p>
              </w:tc>
              <w:tc>
                <w:tcPr>
                  <w:tcW w:w="6386" w:type="dxa"/>
                  <w:gridSpan w:val="5"/>
                  <w:tcBorders>
                    <w:tl2br w:val="nil"/>
                    <w:tr2bl w:val="nil"/>
                  </w:tcBorders>
                  <w:shd w:val="clear" w:color="auto" w:fill="auto"/>
                  <w:vAlign w:val="center"/>
                </w:tcPr>
                <w:p w14:paraId="455344FB">
                  <w:pPr>
                    <w:pStyle w:val="30"/>
                    <w:widowControl/>
                    <w:spacing w:line="240" w:lineRule="auto"/>
                    <w:ind w:firstLine="0" w:firstLineChars="0"/>
                    <w:jc w:val="center"/>
                    <w:rPr>
                      <w:rFonts w:eastAsia="宋体"/>
                      <w:sz w:val="21"/>
                    </w:rPr>
                  </w:pPr>
                  <w:r>
                    <w:rPr>
                      <w:rFonts w:eastAsia="宋体"/>
                      <w:sz w:val="21"/>
                    </w:rPr>
                    <w:t>主要保护目标为施工影响区由于开挖、扰动、损害范围内的植株</w:t>
                  </w:r>
                </w:p>
              </w:tc>
            </w:tr>
            <w:tr w14:paraId="33928F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1D39DB82">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4FA6DE85">
                  <w:pPr>
                    <w:pStyle w:val="30"/>
                    <w:widowControl/>
                    <w:spacing w:line="240" w:lineRule="auto"/>
                    <w:ind w:firstLine="0" w:firstLineChars="0"/>
                    <w:jc w:val="center"/>
                    <w:rPr>
                      <w:rFonts w:eastAsia="宋体"/>
                      <w:sz w:val="21"/>
                    </w:rPr>
                  </w:pPr>
                  <w:r>
                    <w:rPr>
                      <w:rFonts w:hint="eastAsia" w:eastAsia="宋体"/>
                      <w:sz w:val="21"/>
                    </w:rPr>
                    <w:t>水土流失</w:t>
                  </w:r>
                </w:p>
              </w:tc>
              <w:tc>
                <w:tcPr>
                  <w:tcW w:w="6386" w:type="dxa"/>
                  <w:gridSpan w:val="5"/>
                  <w:tcBorders>
                    <w:tl2br w:val="nil"/>
                    <w:tr2bl w:val="nil"/>
                  </w:tcBorders>
                  <w:shd w:val="clear" w:color="auto" w:fill="auto"/>
                  <w:vAlign w:val="center"/>
                </w:tcPr>
                <w:p w14:paraId="4FB37B6B">
                  <w:pPr>
                    <w:pStyle w:val="30"/>
                    <w:widowControl/>
                    <w:spacing w:line="240" w:lineRule="auto"/>
                    <w:ind w:firstLine="0" w:firstLineChars="0"/>
                    <w:jc w:val="center"/>
                    <w:rPr>
                      <w:rFonts w:eastAsia="宋体"/>
                      <w:sz w:val="21"/>
                    </w:rPr>
                  </w:pPr>
                  <w:r>
                    <w:rPr>
                      <w:rFonts w:hint="eastAsia" w:eastAsia="宋体"/>
                      <w:sz w:val="21"/>
                    </w:rPr>
                    <w:t>开挖工作面等由于开挖、扰动、堆渣引起的水土流失</w:t>
                  </w:r>
                </w:p>
              </w:tc>
            </w:tr>
            <w:tr w14:paraId="014292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1890C8EE">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05791646">
                  <w:pPr>
                    <w:pStyle w:val="30"/>
                    <w:widowControl/>
                    <w:spacing w:line="240" w:lineRule="auto"/>
                    <w:ind w:firstLine="0" w:firstLineChars="0"/>
                    <w:jc w:val="center"/>
                    <w:rPr>
                      <w:rFonts w:eastAsia="宋体"/>
                      <w:sz w:val="21"/>
                    </w:rPr>
                  </w:pPr>
                  <w:r>
                    <w:rPr>
                      <w:rFonts w:hint="eastAsia" w:eastAsia="宋体"/>
                      <w:sz w:val="21"/>
                    </w:rPr>
                    <w:t>陆生生物</w:t>
                  </w:r>
                </w:p>
              </w:tc>
              <w:tc>
                <w:tcPr>
                  <w:tcW w:w="6386" w:type="dxa"/>
                  <w:gridSpan w:val="5"/>
                  <w:tcBorders>
                    <w:tl2br w:val="nil"/>
                    <w:tr2bl w:val="nil"/>
                  </w:tcBorders>
                  <w:shd w:val="clear" w:color="auto" w:fill="auto"/>
                  <w:vAlign w:val="center"/>
                </w:tcPr>
                <w:p w14:paraId="11583DAB">
                  <w:pPr>
                    <w:pStyle w:val="30"/>
                    <w:widowControl/>
                    <w:spacing w:line="240" w:lineRule="auto"/>
                    <w:ind w:firstLine="0" w:firstLineChars="0"/>
                    <w:jc w:val="center"/>
                    <w:rPr>
                      <w:rFonts w:eastAsia="宋体"/>
                      <w:sz w:val="21"/>
                    </w:rPr>
                  </w:pPr>
                  <w:r>
                    <w:rPr>
                      <w:rFonts w:hint="eastAsia" w:eastAsia="宋体"/>
                      <w:sz w:val="21"/>
                    </w:rPr>
                    <w:t>主要保护目标为项目施工影响区惊扰、破坏部分动植物栖息地，引起动物迁徙</w:t>
                  </w:r>
                </w:p>
              </w:tc>
            </w:tr>
            <w:tr w14:paraId="3090CA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tl2br w:val="nil"/>
                    <w:tr2bl w:val="nil"/>
                  </w:tcBorders>
                  <w:vAlign w:val="center"/>
                </w:tcPr>
                <w:p w14:paraId="71FA257D">
                  <w:pPr>
                    <w:pStyle w:val="30"/>
                    <w:widowControl/>
                    <w:spacing w:line="240" w:lineRule="auto"/>
                    <w:ind w:firstLine="0" w:firstLineChars="0"/>
                    <w:jc w:val="center"/>
                    <w:rPr>
                      <w:rFonts w:eastAsia="宋体"/>
                      <w:sz w:val="21"/>
                    </w:rPr>
                  </w:pPr>
                </w:p>
              </w:tc>
              <w:tc>
                <w:tcPr>
                  <w:tcW w:w="1466" w:type="dxa"/>
                  <w:tcBorders>
                    <w:tl2br w:val="nil"/>
                    <w:tr2bl w:val="nil"/>
                  </w:tcBorders>
                  <w:shd w:val="clear" w:color="auto" w:fill="auto"/>
                  <w:vAlign w:val="center"/>
                </w:tcPr>
                <w:p w14:paraId="247D1E14">
                  <w:pPr>
                    <w:pStyle w:val="30"/>
                    <w:widowControl/>
                    <w:spacing w:line="240" w:lineRule="auto"/>
                    <w:ind w:firstLine="0" w:firstLineChars="0"/>
                    <w:jc w:val="center"/>
                    <w:rPr>
                      <w:rFonts w:eastAsia="宋体"/>
                      <w:sz w:val="21"/>
                    </w:rPr>
                  </w:pPr>
                  <w:r>
                    <w:rPr>
                      <w:rFonts w:hint="eastAsia" w:eastAsia="宋体"/>
                      <w:sz w:val="21"/>
                    </w:rPr>
                    <w:t>水生生物</w:t>
                  </w:r>
                </w:p>
              </w:tc>
              <w:tc>
                <w:tcPr>
                  <w:tcW w:w="6386" w:type="dxa"/>
                  <w:gridSpan w:val="5"/>
                  <w:tcBorders>
                    <w:tl2br w:val="nil"/>
                    <w:tr2bl w:val="nil"/>
                  </w:tcBorders>
                  <w:shd w:val="clear" w:color="auto" w:fill="auto"/>
                  <w:vAlign w:val="center"/>
                </w:tcPr>
                <w:p w14:paraId="6EF7B968">
                  <w:pPr>
                    <w:pStyle w:val="30"/>
                    <w:widowControl/>
                    <w:spacing w:line="240" w:lineRule="auto"/>
                    <w:ind w:firstLine="0" w:firstLineChars="0"/>
                    <w:jc w:val="center"/>
                    <w:rPr>
                      <w:rFonts w:eastAsia="宋体"/>
                      <w:sz w:val="21"/>
                    </w:rPr>
                  </w:pPr>
                  <w:r>
                    <w:rPr>
                      <w:rFonts w:hint="eastAsia" w:eastAsia="宋体"/>
                      <w:sz w:val="21"/>
                    </w:rPr>
                    <w:t>主要保护目标为项目施工河堤范围内及施工区下游的水生动植物</w:t>
                  </w:r>
                </w:p>
              </w:tc>
            </w:tr>
          </w:tbl>
          <w:p w14:paraId="3DAE1888">
            <w:pPr>
              <w:ind w:firstLine="0" w:firstLineChars="0"/>
              <w:rPr>
                <w:b/>
                <w:bCs/>
              </w:rPr>
            </w:pPr>
          </w:p>
        </w:tc>
      </w:tr>
      <w:tr w14:paraId="1676A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dxa"/>
            <w:vAlign w:val="center"/>
          </w:tcPr>
          <w:p w14:paraId="4428147A">
            <w:pPr>
              <w:spacing w:line="240" w:lineRule="auto"/>
              <w:ind w:firstLine="0" w:firstLineChars="0"/>
              <w:jc w:val="center"/>
            </w:pPr>
            <w:r>
              <w:rPr>
                <w:rFonts w:hint="eastAsia"/>
              </w:rPr>
              <w:t>评价标准</w:t>
            </w:r>
          </w:p>
        </w:tc>
        <w:tc>
          <w:tcPr>
            <w:tcW w:w="8788" w:type="dxa"/>
          </w:tcPr>
          <w:p w14:paraId="50A67884">
            <w:pPr>
              <w:ind w:firstLine="0" w:firstLineChars="0"/>
              <w:rPr>
                <w:b/>
                <w:bCs/>
              </w:rPr>
            </w:pPr>
            <w:r>
              <w:rPr>
                <w:rFonts w:hint="eastAsia"/>
                <w:b/>
                <w:bCs/>
              </w:rPr>
              <w:t>一、环境质量标准</w:t>
            </w:r>
          </w:p>
          <w:p w14:paraId="1D6A44E2">
            <w:pPr>
              <w:ind w:firstLine="482"/>
            </w:pPr>
            <w:r>
              <w:rPr>
                <w:rFonts w:hint="eastAsia"/>
                <w:b/>
                <w:bCs/>
              </w:rPr>
              <w:t>1、大气环境</w:t>
            </w:r>
          </w:p>
          <w:p w14:paraId="10E15F48">
            <w:pPr>
              <w:ind w:firstLine="480"/>
            </w:pPr>
            <w:r>
              <w:rPr>
                <w:rFonts w:hint="eastAsia"/>
              </w:rPr>
              <w:t>常规污染物及TSP执行《环境空气质量标准》（GB3092-2026）</w:t>
            </w:r>
            <w:r>
              <w:rPr>
                <w:rFonts w:hint="eastAsia"/>
                <w:lang w:val="en-US" w:eastAsia="zh-CN"/>
              </w:rPr>
              <w:t>过度阶段</w:t>
            </w:r>
            <w:r>
              <w:rPr>
                <w:rFonts w:hint="eastAsia"/>
              </w:rPr>
              <w:t>二级标准限值。</w:t>
            </w:r>
          </w:p>
          <w:p w14:paraId="31110414">
            <w:pPr>
              <w:ind w:firstLine="0" w:firstLineChars="0"/>
              <w:jc w:val="center"/>
              <w:rPr>
                <w:b/>
                <w:bCs/>
                <w:sz w:val="21"/>
                <w:szCs w:val="21"/>
              </w:rPr>
            </w:pPr>
            <w:r>
              <w:rPr>
                <w:rFonts w:hint="eastAsia"/>
                <w:b/>
                <w:bCs/>
                <w:sz w:val="21"/>
                <w:szCs w:val="21"/>
              </w:rPr>
              <w:t>表3-11  环境空气质量执行标准</w:t>
            </w:r>
          </w:p>
          <w:tbl>
            <w:tblPr>
              <w:tblStyle w:val="32"/>
              <w:tblW w:w="8247"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752"/>
              <w:gridCol w:w="2400"/>
              <w:gridCol w:w="2145"/>
              <w:gridCol w:w="1950"/>
            </w:tblGrid>
            <w:tr w14:paraId="4752F29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1" w:hRule="atLeast"/>
                <w:jc w:val="center"/>
              </w:trPr>
              <w:tc>
                <w:tcPr>
                  <w:tcW w:w="1752" w:type="dxa"/>
                  <w:tcBorders>
                    <w:tl2br w:val="nil"/>
                    <w:tr2bl w:val="nil"/>
                  </w:tcBorders>
                  <w:vAlign w:val="center"/>
                </w:tcPr>
                <w:p w14:paraId="74D65292">
                  <w:pPr>
                    <w:spacing w:line="240" w:lineRule="auto"/>
                    <w:ind w:firstLine="0" w:firstLineChars="0"/>
                    <w:jc w:val="center"/>
                    <w:rPr>
                      <w:b/>
                      <w:bCs/>
                      <w:sz w:val="21"/>
                      <w:szCs w:val="21"/>
                    </w:rPr>
                  </w:pPr>
                  <w:r>
                    <w:rPr>
                      <w:rFonts w:hint="eastAsia"/>
                      <w:b/>
                      <w:bCs/>
                      <w:sz w:val="21"/>
                      <w:szCs w:val="21"/>
                    </w:rPr>
                    <w:t>污染物</w:t>
                  </w:r>
                </w:p>
              </w:tc>
              <w:tc>
                <w:tcPr>
                  <w:tcW w:w="2400" w:type="dxa"/>
                  <w:tcBorders>
                    <w:tl2br w:val="nil"/>
                    <w:tr2bl w:val="nil"/>
                  </w:tcBorders>
                  <w:vAlign w:val="center"/>
                </w:tcPr>
                <w:p w14:paraId="5D2AAD0A">
                  <w:pPr>
                    <w:spacing w:line="240" w:lineRule="auto"/>
                    <w:ind w:firstLine="0" w:firstLineChars="0"/>
                    <w:jc w:val="center"/>
                    <w:rPr>
                      <w:b/>
                      <w:bCs/>
                      <w:sz w:val="21"/>
                      <w:szCs w:val="21"/>
                    </w:rPr>
                  </w:pPr>
                  <w:r>
                    <w:rPr>
                      <w:rFonts w:hint="eastAsia"/>
                      <w:b/>
                      <w:bCs/>
                      <w:sz w:val="21"/>
                      <w:szCs w:val="21"/>
                    </w:rPr>
                    <w:t>取值时间</w:t>
                  </w:r>
                </w:p>
              </w:tc>
              <w:tc>
                <w:tcPr>
                  <w:tcW w:w="2145" w:type="dxa"/>
                  <w:tcBorders>
                    <w:tl2br w:val="nil"/>
                    <w:tr2bl w:val="nil"/>
                  </w:tcBorders>
                  <w:vAlign w:val="center"/>
                </w:tcPr>
                <w:p w14:paraId="493D382B">
                  <w:pPr>
                    <w:spacing w:line="240" w:lineRule="auto"/>
                    <w:ind w:firstLine="0" w:firstLineChars="0"/>
                    <w:jc w:val="center"/>
                    <w:rPr>
                      <w:b/>
                      <w:bCs/>
                      <w:sz w:val="21"/>
                      <w:szCs w:val="21"/>
                    </w:rPr>
                  </w:pPr>
                  <w:r>
                    <w:rPr>
                      <w:rFonts w:hint="eastAsia"/>
                      <w:b/>
                      <w:bCs/>
                      <w:sz w:val="21"/>
                      <w:szCs w:val="21"/>
                    </w:rPr>
                    <w:t>浓度限值</w:t>
                  </w:r>
                </w:p>
              </w:tc>
              <w:tc>
                <w:tcPr>
                  <w:tcW w:w="1950" w:type="dxa"/>
                  <w:tcBorders>
                    <w:tl2br w:val="nil"/>
                    <w:tr2bl w:val="nil"/>
                  </w:tcBorders>
                  <w:vAlign w:val="center"/>
                </w:tcPr>
                <w:p w14:paraId="4CA093CD">
                  <w:pPr>
                    <w:spacing w:line="240" w:lineRule="auto"/>
                    <w:ind w:firstLine="0" w:firstLineChars="0"/>
                    <w:jc w:val="center"/>
                    <w:rPr>
                      <w:b/>
                      <w:bCs/>
                      <w:sz w:val="21"/>
                      <w:szCs w:val="21"/>
                    </w:rPr>
                  </w:pPr>
                  <w:r>
                    <w:rPr>
                      <w:rFonts w:hint="eastAsia"/>
                      <w:b/>
                      <w:bCs/>
                      <w:sz w:val="21"/>
                      <w:szCs w:val="21"/>
                    </w:rPr>
                    <w:t>单位</w:t>
                  </w:r>
                </w:p>
              </w:tc>
            </w:tr>
            <w:tr w14:paraId="24AFFE7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7" w:hRule="atLeast"/>
                <w:jc w:val="center"/>
              </w:trPr>
              <w:tc>
                <w:tcPr>
                  <w:tcW w:w="1752" w:type="dxa"/>
                  <w:vMerge w:val="restart"/>
                  <w:tcBorders>
                    <w:tl2br w:val="nil"/>
                    <w:tr2bl w:val="nil"/>
                  </w:tcBorders>
                  <w:vAlign w:val="center"/>
                </w:tcPr>
                <w:p w14:paraId="54308F5F">
                  <w:pPr>
                    <w:spacing w:line="240" w:lineRule="auto"/>
                    <w:ind w:firstLine="0" w:firstLineChars="0"/>
                    <w:jc w:val="center"/>
                    <w:rPr>
                      <w:sz w:val="21"/>
                      <w:szCs w:val="21"/>
                    </w:rPr>
                  </w:pPr>
                  <w:r>
                    <w:rPr>
                      <w:rFonts w:hint="eastAsia"/>
                      <w:sz w:val="21"/>
                      <w:szCs w:val="21"/>
                    </w:rPr>
                    <w:t>SO</w:t>
                  </w:r>
                  <w:r>
                    <w:rPr>
                      <w:rFonts w:hint="eastAsia"/>
                      <w:sz w:val="21"/>
                      <w:szCs w:val="21"/>
                      <w:vertAlign w:val="subscript"/>
                    </w:rPr>
                    <w:t>2</w:t>
                  </w:r>
                </w:p>
              </w:tc>
              <w:tc>
                <w:tcPr>
                  <w:tcW w:w="2400" w:type="dxa"/>
                  <w:tcBorders>
                    <w:tl2br w:val="nil"/>
                    <w:tr2bl w:val="nil"/>
                  </w:tcBorders>
                  <w:vAlign w:val="center"/>
                </w:tcPr>
                <w:p w14:paraId="65F92286">
                  <w:pPr>
                    <w:spacing w:line="240" w:lineRule="auto"/>
                    <w:ind w:firstLine="0" w:firstLineChars="0"/>
                    <w:jc w:val="center"/>
                    <w:rPr>
                      <w:sz w:val="21"/>
                      <w:szCs w:val="21"/>
                    </w:rPr>
                  </w:pPr>
                  <w:r>
                    <w:rPr>
                      <w:rFonts w:hint="eastAsia"/>
                      <w:sz w:val="21"/>
                      <w:szCs w:val="21"/>
                    </w:rPr>
                    <w:t>年平均值</w:t>
                  </w:r>
                </w:p>
              </w:tc>
              <w:tc>
                <w:tcPr>
                  <w:tcW w:w="2145" w:type="dxa"/>
                  <w:tcBorders>
                    <w:tl2br w:val="nil"/>
                    <w:tr2bl w:val="nil"/>
                  </w:tcBorders>
                  <w:vAlign w:val="center"/>
                </w:tcPr>
                <w:p w14:paraId="21AE67EA">
                  <w:pPr>
                    <w:spacing w:line="240" w:lineRule="auto"/>
                    <w:ind w:firstLine="0" w:firstLineChars="0"/>
                    <w:jc w:val="center"/>
                    <w:rPr>
                      <w:sz w:val="21"/>
                      <w:szCs w:val="21"/>
                    </w:rPr>
                  </w:pPr>
                  <w:r>
                    <w:rPr>
                      <w:rFonts w:hint="eastAsia"/>
                      <w:sz w:val="21"/>
                      <w:szCs w:val="21"/>
                    </w:rPr>
                    <w:t>60</w:t>
                  </w:r>
                </w:p>
              </w:tc>
              <w:tc>
                <w:tcPr>
                  <w:tcW w:w="1950" w:type="dxa"/>
                  <w:vMerge w:val="restart"/>
                  <w:tcBorders>
                    <w:tl2br w:val="nil"/>
                    <w:tr2bl w:val="nil"/>
                  </w:tcBorders>
                  <w:vAlign w:val="center"/>
                </w:tcPr>
                <w:p w14:paraId="3AD551CD">
                  <w:pPr>
                    <w:spacing w:line="240" w:lineRule="auto"/>
                    <w:ind w:firstLine="0" w:firstLineChars="0"/>
                    <w:jc w:val="center"/>
                    <w:rPr>
                      <w:sz w:val="21"/>
                      <w:szCs w:val="21"/>
                    </w:rPr>
                  </w:pPr>
                  <w:r>
                    <w:rPr>
                      <w:rFonts w:hint="eastAsia"/>
                      <w:sz w:val="21"/>
                      <w:szCs w:val="21"/>
                    </w:rPr>
                    <w:t>μg/m</w:t>
                  </w:r>
                  <w:r>
                    <w:rPr>
                      <w:rFonts w:hint="eastAsia"/>
                      <w:sz w:val="21"/>
                      <w:szCs w:val="21"/>
                      <w:vertAlign w:val="superscript"/>
                    </w:rPr>
                    <w:t>3</w:t>
                  </w:r>
                </w:p>
              </w:tc>
            </w:tr>
            <w:tr w14:paraId="4FC5321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7" w:hRule="atLeast"/>
                <w:jc w:val="center"/>
              </w:trPr>
              <w:tc>
                <w:tcPr>
                  <w:tcW w:w="1752" w:type="dxa"/>
                  <w:vMerge w:val="continue"/>
                  <w:tcBorders>
                    <w:tl2br w:val="nil"/>
                    <w:tr2bl w:val="nil"/>
                  </w:tcBorders>
                  <w:vAlign w:val="center"/>
                </w:tcPr>
                <w:p w14:paraId="0EC2D329">
                  <w:pPr>
                    <w:spacing w:line="240" w:lineRule="auto"/>
                    <w:ind w:firstLine="0" w:firstLineChars="0"/>
                    <w:jc w:val="center"/>
                    <w:rPr>
                      <w:sz w:val="21"/>
                      <w:szCs w:val="21"/>
                    </w:rPr>
                  </w:pPr>
                </w:p>
              </w:tc>
              <w:tc>
                <w:tcPr>
                  <w:tcW w:w="2400" w:type="dxa"/>
                  <w:tcBorders>
                    <w:tl2br w:val="nil"/>
                    <w:tr2bl w:val="nil"/>
                  </w:tcBorders>
                  <w:vAlign w:val="center"/>
                </w:tcPr>
                <w:p w14:paraId="632B85E3">
                  <w:pPr>
                    <w:spacing w:line="240" w:lineRule="auto"/>
                    <w:ind w:firstLine="0" w:firstLineChars="0"/>
                    <w:jc w:val="center"/>
                    <w:rPr>
                      <w:sz w:val="21"/>
                      <w:szCs w:val="21"/>
                    </w:rPr>
                  </w:pPr>
                  <w:r>
                    <w:rPr>
                      <w:rFonts w:hint="eastAsia"/>
                      <w:sz w:val="21"/>
                      <w:szCs w:val="21"/>
                    </w:rPr>
                    <w:t>日平均值</w:t>
                  </w:r>
                </w:p>
              </w:tc>
              <w:tc>
                <w:tcPr>
                  <w:tcW w:w="2145" w:type="dxa"/>
                  <w:tcBorders>
                    <w:tl2br w:val="nil"/>
                    <w:tr2bl w:val="nil"/>
                  </w:tcBorders>
                  <w:vAlign w:val="center"/>
                </w:tcPr>
                <w:p w14:paraId="17BC45EF">
                  <w:pPr>
                    <w:spacing w:line="240" w:lineRule="auto"/>
                    <w:ind w:firstLine="0" w:firstLineChars="0"/>
                    <w:jc w:val="center"/>
                    <w:rPr>
                      <w:sz w:val="21"/>
                      <w:szCs w:val="21"/>
                    </w:rPr>
                  </w:pPr>
                  <w:r>
                    <w:rPr>
                      <w:rFonts w:hint="eastAsia"/>
                      <w:sz w:val="21"/>
                      <w:szCs w:val="21"/>
                    </w:rPr>
                    <w:t>150</w:t>
                  </w:r>
                </w:p>
              </w:tc>
              <w:tc>
                <w:tcPr>
                  <w:tcW w:w="1950" w:type="dxa"/>
                  <w:vMerge w:val="continue"/>
                  <w:tcBorders>
                    <w:tl2br w:val="nil"/>
                    <w:tr2bl w:val="nil"/>
                  </w:tcBorders>
                  <w:vAlign w:val="center"/>
                </w:tcPr>
                <w:p w14:paraId="2CD3ADF4">
                  <w:pPr>
                    <w:spacing w:line="240" w:lineRule="auto"/>
                    <w:ind w:firstLine="0" w:firstLineChars="0"/>
                    <w:jc w:val="center"/>
                    <w:rPr>
                      <w:sz w:val="21"/>
                      <w:szCs w:val="21"/>
                    </w:rPr>
                  </w:pPr>
                </w:p>
              </w:tc>
            </w:tr>
            <w:tr w14:paraId="10771F9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6" w:hRule="atLeast"/>
                <w:jc w:val="center"/>
              </w:trPr>
              <w:tc>
                <w:tcPr>
                  <w:tcW w:w="1752" w:type="dxa"/>
                  <w:vMerge w:val="continue"/>
                  <w:tcBorders>
                    <w:tl2br w:val="nil"/>
                    <w:tr2bl w:val="nil"/>
                  </w:tcBorders>
                  <w:vAlign w:val="center"/>
                </w:tcPr>
                <w:p w14:paraId="5B1FB55C">
                  <w:pPr>
                    <w:spacing w:line="240" w:lineRule="auto"/>
                    <w:ind w:firstLine="0" w:firstLineChars="0"/>
                    <w:jc w:val="center"/>
                    <w:rPr>
                      <w:sz w:val="21"/>
                      <w:szCs w:val="21"/>
                    </w:rPr>
                  </w:pPr>
                </w:p>
              </w:tc>
              <w:tc>
                <w:tcPr>
                  <w:tcW w:w="2400" w:type="dxa"/>
                  <w:tcBorders>
                    <w:tl2br w:val="nil"/>
                    <w:tr2bl w:val="nil"/>
                  </w:tcBorders>
                  <w:vAlign w:val="center"/>
                </w:tcPr>
                <w:p w14:paraId="6A7D60D0">
                  <w:pPr>
                    <w:spacing w:line="240" w:lineRule="auto"/>
                    <w:ind w:firstLine="0" w:firstLineChars="0"/>
                    <w:jc w:val="center"/>
                    <w:rPr>
                      <w:sz w:val="21"/>
                      <w:szCs w:val="21"/>
                    </w:rPr>
                  </w:pPr>
                  <w:r>
                    <w:rPr>
                      <w:rFonts w:hint="eastAsia"/>
                      <w:sz w:val="21"/>
                      <w:szCs w:val="21"/>
                    </w:rPr>
                    <w:t>1小时平均值</w:t>
                  </w:r>
                </w:p>
              </w:tc>
              <w:tc>
                <w:tcPr>
                  <w:tcW w:w="2145" w:type="dxa"/>
                  <w:tcBorders>
                    <w:tl2br w:val="nil"/>
                    <w:tr2bl w:val="nil"/>
                  </w:tcBorders>
                  <w:vAlign w:val="center"/>
                </w:tcPr>
                <w:p w14:paraId="66F7F5F5">
                  <w:pPr>
                    <w:spacing w:line="240" w:lineRule="auto"/>
                    <w:ind w:firstLine="0" w:firstLineChars="0"/>
                    <w:jc w:val="center"/>
                    <w:rPr>
                      <w:sz w:val="21"/>
                      <w:szCs w:val="21"/>
                    </w:rPr>
                  </w:pPr>
                  <w:r>
                    <w:rPr>
                      <w:rFonts w:hint="eastAsia"/>
                      <w:sz w:val="21"/>
                      <w:szCs w:val="21"/>
                    </w:rPr>
                    <w:t>500</w:t>
                  </w:r>
                </w:p>
              </w:tc>
              <w:tc>
                <w:tcPr>
                  <w:tcW w:w="1950" w:type="dxa"/>
                  <w:vMerge w:val="continue"/>
                  <w:tcBorders>
                    <w:tl2br w:val="nil"/>
                    <w:tr2bl w:val="nil"/>
                  </w:tcBorders>
                  <w:vAlign w:val="center"/>
                </w:tcPr>
                <w:p w14:paraId="51A3B582">
                  <w:pPr>
                    <w:spacing w:line="240" w:lineRule="auto"/>
                    <w:ind w:firstLine="0" w:firstLineChars="0"/>
                    <w:jc w:val="center"/>
                    <w:rPr>
                      <w:sz w:val="21"/>
                      <w:szCs w:val="21"/>
                    </w:rPr>
                  </w:pPr>
                </w:p>
              </w:tc>
            </w:tr>
            <w:tr w14:paraId="4B190FD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336" w:hRule="atLeast"/>
                <w:jc w:val="center"/>
              </w:trPr>
              <w:tc>
                <w:tcPr>
                  <w:tcW w:w="1752" w:type="dxa"/>
                  <w:vMerge w:val="restart"/>
                  <w:tcBorders>
                    <w:tl2br w:val="nil"/>
                    <w:tr2bl w:val="nil"/>
                  </w:tcBorders>
                  <w:vAlign w:val="center"/>
                </w:tcPr>
                <w:p w14:paraId="45036B6C">
                  <w:pPr>
                    <w:spacing w:line="240" w:lineRule="auto"/>
                    <w:ind w:firstLine="0" w:firstLineChars="0"/>
                    <w:jc w:val="center"/>
                    <w:rPr>
                      <w:sz w:val="21"/>
                      <w:szCs w:val="21"/>
                    </w:rPr>
                  </w:pPr>
                  <w:r>
                    <w:rPr>
                      <w:rFonts w:hint="eastAsia"/>
                      <w:sz w:val="21"/>
                      <w:szCs w:val="21"/>
                    </w:rPr>
                    <w:t>NO</w:t>
                  </w:r>
                  <w:r>
                    <w:rPr>
                      <w:rFonts w:hint="eastAsia"/>
                      <w:sz w:val="21"/>
                      <w:szCs w:val="21"/>
                      <w:vertAlign w:val="subscript"/>
                    </w:rPr>
                    <w:t>2</w:t>
                  </w:r>
                </w:p>
              </w:tc>
              <w:tc>
                <w:tcPr>
                  <w:tcW w:w="2400" w:type="dxa"/>
                  <w:tcBorders>
                    <w:tl2br w:val="nil"/>
                    <w:tr2bl w:val="nil"/>
                  </w:tcBorders>
                  <w:vAlign w:val="center"/>
                </w:tcPr>
                <w:p w14:paraId="2F3CF556">
                  <w:pPr>
                    <w:spacing w:line="240" w:lineRule="auto"/>
                    <w:ind w:firstLine="0" w:firstLineChars="0"/>
                    <w:jc w:val="center"/>
                    <w:rPr>
                      <w:sz w:val="21"/>
                      <w:szCs w:val="21"/>
                    </w:rPr>
                  </w:pPr>
                  <w:r>
                    <w:rPr>
                      <w:rFonts w:hint="eastAsia"/>
                      <w:sz w:val="21"/>
                      <w:szCs w:val="21"/>
                    </w:rPr>
                    <w:t>年平均</w:t>
                  </w:r>
                </w:p>
              </w:tc>
              <w:tc>
                <w:tcPr>
                  <w:tcW w:w="2145" w:type="dxa"/>
                  <w:tcBorders>
                    <w:tl2br w:val="nil"/>
                    <w:tr2bl w:val="nil"/>
                  </w:tcBorders>
                  <w:vAlign w:val="center"/>
                </w:tcPr>
                <w:p w14:paraId="509CBBAF">
                  <w:pPr>
                    <w:spacing w:line="240" w:lineRule="auto"/>
                    <w:ind w:firstLine="0" w:firstLineChars="0"/>
                    <w:jc w:val="center"/>
                    <w:rPr>
                      <w:sz w:val="21"/>
                      <w:szCs w:val="21"/>
                    </w:rPr>
                  </w:pPr>
                  <w:r>
                    <w:rPr>
                      <w:rFonts w:hint="eastAsia"/>
                      <w:sz w:val="21"/>
                      <w:szCs w:val="21"/>
                    </w:rPr>
                    <w:t>40</w:t>
                  </w:r>
                </w:p>
              </w:tc>
              <w:tc>
                <w:tcPr>
                  <w:tcW w:w="1950" w:type="dxa"/>
                  <w:vMerge w:val="continue"/>
                  <w:tcBorders>
                    <w:tl2br w:val="nil"/>
                    <w:tr2bl w:val="nil"/>
                  </w:tcBorders>
                  <w:vAlign w:val="center"/>
                </w:tcPr>
                <w:p w14:paraId="27D90171">
                  <w:pPr>
                    <w:spacing w:line="240" w:lineRule="auto"/>
                    <w:ind w:firstLine="0" w:firstLineChars="0"/>
                    <w:jc w:val="center"/>
                    <w:rPr>
                      <w:sz w:val="21"/>
                      <w:szCs w:val="21"/>
                    </w:rPr>
                  </w:pPr>
                </w:p>
              </w:tc>
            </w:tr>
            <w:tr w14:paraId="5B04625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336" w:hRule="atLeast"/>
                <w:jc w:val="center"/>
              </w:trPr>
              <w:tc>
                <w:tcPr>
                  <w:tcW w:w="1752" w:type="dxa"/>
                  <w:vMerge w:val="continue"/>
                  <w:tcBorders>
                    <w:tl2br w:val="nil"/>
                    <w:tr2bl w:val="nil"/>
                  </w:tcBorders>
                  <w:vAlign w:val="center"/>
                </w:tcPr>
                <w:p w14:paraId="1B825386">
                  <w:pPr>
                    <w:spacing w:line="240" w:lineRule="auto"/>
                    <w:ind w:firstLine="0" w:firstLineChars="0"/>
                    <w:jc w:val="center"/>
                    <w:rPr>
                      <w:sz w:val="21"/>
                      <w:szCs w:val="21"/>
                    </w:rPr>
                  </w:pPr>
                </w:p>
              </w:tc>
              <w:tc>
                <w:tcPr>
                  <w:tcW w:w="2400" w:type="dxa"/>
                  <w:tcBorders>
                    <w:tl2br w:val="nil"/>
                    <w:tr2bl w:val="nil"/>
                  </w:tcBorders>
                  <w:vAlign w:val="center"/>
                </w:tcPr>
                <w:p w14:paraId="71CB0508">
                  <w:pPr>
                    <w:spacing w:line="240" w:lineRule="auto"/>
                    <w:ind w:firstLine="0" w:firstLineChars="0"/>
                    <w:jc w:val="center"/>
                    <w:rPr>
                      <w:sz w:val="21"/>
                      <w:szCs w:val="21"/>
                    </w:rPr>
                  </w:pPr>
                  <w:r>
                    <w:rPr>
                      <w:rFonts w:hint="eastAsia"/>
                      <w:sz w:val="21"/>
                      <w:szCs w:val="21"/>
                    </w:rPr>
                    <w:t>日平均</w:t>
                  </w:r>
                </w:p>
              </w:tc>
              <w:tc>
                <w:tcPr>
                  <w:tcW w:w="2145" w:type="dxa"/>
                  <w:tcBorders>
                    <w:tl2br w:val="nil"/>
                    <w:tr2bl w:val="nil"/>
                  </w:tcBorders>
                  <w:vAlign w:val="center"/>
                </w:tcPr>
                <w:p w14:paraId="148CFD71">
                  <w:pPr>
                    <w:spacing w:line="240" w:lineRule="auto"/>
                    <w:ind w:firstLine="0" w:firstLineChars="0"/>
                    <w:jc w:val="center"/>
                    <w:rPr>
                      <w:sz w:val="21"/>
                      <w:szCs w:val="21"/>
                    </w:rPr>
                  </w:pPr>
                  <w:r>
                    <w:rPr>
                      <w:rFonts w:hint="eastAsia"/>
                      <w:sz w:val="21"/>
                      <w:szCs w:val="21"/>
                    </w:rPr>
                    <w:t>80</w:t>
                  </w:r>
                </w:p>
              </w:tc>
              <w:tc>
                <w:tcPr>
                  <w:tcW w:w="1950" w:type="dxa"/>
                  <w:vMerge w:val="continue"/>
                  <w:tcBorders>
                    <w:tl2br w:val="nil"/>
                    <w:tr2bl w:val="nil"/>
                  </w:tcBorders>
                  <w:vAlign w:val="center"/>
                </w:tcPr>
                <w:p w14:paraId="7FE3A380">
                  <w:pPr>
                    <w:spacing w:line="240" w:lineRule="auto"/>
                    <w:ind w:firstLine="0" w:firstLineChars="0"/>
                    <w:jc w:val="center"/>
                    <w:rPr>
                      <w:sz w:val="21"/>
                      <w:szCs w:val="21"/>
                    </w:rPr>
                  </w:pPr>
                </w:p>
              </w:tc>
            </w:tr>
            <w:tr w14:paraId="02BE389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336" w:hRule="atLeast"/>
                <w:jc w:val="center"/>
              </w:trPr>
              <w:tc>
                <w:tcPr>
                  <w:tcW w:w="1752" w:type="dxa"/>
                  <w:vMerge w:val="continue"/>
                  <w:tcBorders>
                    <w:tl2br w:val="nil"/>
                    <w:tr2bl w:val="nil"/>
                  </w:tcBorders>
                  <w:vAlign w:val="center"/>
                </w:tcPr>
                <w:p w14:paraId="523D2208">
                  <w:pPr>
                    <w:spacing w:line="240" w:lineRule="auto"/>
                    <w:ind w:firstLine="0" w:firstLineChars="0"/>
                    <w:jc w:val="center"/>
                    <w:rPr>
                      <w:sz w:val="21"/>
                      <w:szCs w:val="21"/>
                    </w:rPr>
                  </w:pPr>
                </w:p>
              </w:tc>
              <w:tc>
                <w:tcPr>
                  <w:tcW w:w="2400" w:type="dxa"/>
                  <w:tcBorders>
                    <w:tl2br w:val="nil"/>
                    <w:tr2bl w:val="nil"/>
                  </w:tcBorders>
                  <w:vAlign w:val="center"/>
                </w:tcPr>
                <w:p w14:paraId="0E4F6DDE">
                  <w:pPr>
                    <w:spacing w:line="240" w:lineRule="auto"/>
                    <w:ind w:firstLine="0" w:firstLineChars="0"/>
                    <w:jc w:val="center"/>
                    <w:rPr>
                      <w:sz w:val="21"/>
                      <w:szCs w:val="21"/>
                    </w:rPr>
                  </w:pPr>
                  <w:r>
                    <w:rPr>
                      <w:rFonts w:hint="eastAsia"/>
                      <w:sz w:val="21"/>
                      <w:szCs w:val="21"/>
                    </w:rPr>
                    <w:t>1小时平均</w:t>
                  </w:r>
                </w:p>
              </w:tc>
              <w:tc>
                <w:tcPr>
                  <w:tcW w:w="2145" w:type="dxa"/>
                  <w:tcBorders>
                    <w:tl2br w:val="nil"/>
                    <w:tr2bl w:val="nil"/>
                  </w:tcBorders>
                  <w:vAlign w:val="center"/>
                </w:tcPr>
                <w:p w14:paraId="183692C6">
                  <w:pPr>
                    <w:spacing w:line="240" w:lineRule="auto"/>
                    <w:ind w:firstLine="0" w:firstLineChars="0"/>
                    <w:jc w:val="center"/>
                    <w:rPr>
                      <w:sz w:val="21"/>
                      <w:szCs w:val="21"/>
                    </w:rPr>
                  </w:pPr>
                  <w:r>
                    <w:rPr>
                      <w:rFonts w:hint="eastAsia"/>
                      <w:sz w:val="21"/>
                      <w:szCs w:val="21"/>
                    </w:rPr>
                    <w:t>200</w:t>
                  </w:r>
                </w:p>
              </w:tc>
              <w:tc>
                <w:tcPr>
                  <w:tcW w:w="1950" w:type="dxa"/>
                  <w:vMerge w:val="continue"/>
                  <w:tcBorders>
                    <w:tl2br w:val="nil"/>
                    <w:tr2bl w:val="nil"/>
                  </w:tcBorders>
                  <w:vAlign w:val="center"/>
                </w:tcPr>
                <w:p w14:paraId="00A98775">
                  <w:pPr>
                    <w:spacing w:line="240" w:lineRule="auto"/>
                    <w:ind w:firstLine="0" w:firstLineChars="0"/>
                    <w:jc w:val="center"/>
                    <w:rPr>
                      <w:sz w:val="21"/>
                      <w:szCs w:val="21"/>
                    </w:rPr>
                  </w:pPr>
                </w:p>
              </w:tc>
            </w:tr>
            <w:tr w14:paraId="038020F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337" w:hRule="atLeast"/>
                <w:jc w:val="center"/>
              </w:trPr>
              <w:tc>
                <w:tcPr>
                  <w:tcW w:w="1752" w:type="dxa"/>
                  <w:vMerge w:val="restart"/>
                  <w:tcBorders>
                    <w:tl2br w:val="nil"/>
                    <w:tr2bl w:val="nil"/>
                  </w:tcBorders>
                  <w:vAlign w:val="center"/>
                </w:tcPr>
                <w:p w14:paraId="568DF5B0">
                  <w:pPr>
                    <w:spacing w:line="240" w:lineRule="auto"/>
                    <w:ind w:firstLine="0" w:firstLineChars="0"/>
                    <w:jc w:val="center"/>
                    <w:rPr>
                      <w:sz w:val="21"/>
                      <w:szCs w:val="21"/>
                    </w:rPr>
                  </w:pPr>
                  <w:r>
                    <w:rPr>
                      <w:rFonts w:hint="eastAsia"/>
                      <w:sz w:val="21"/>
                      <w:szCs w:val="21"/>
                    </w:rPr>
                    <w:t>CO</w:t>
                  </w:r>
                </w:p>
              </w:tc>
              <w:tc>
                <w:tcPr>
                  <w:tcW w:w="2400" w:type="dxa"/>
                  <w:tcBorders>
                    <w:tl2br w:val="nil"/>
                    <w:tr2bl w:val="nil"/>
                  </w:tcBorders>
                  <w:vAlign w:val="center"/>
                </w:tcPr>
                <w:p w14:paraId="1F173771">
                  <w:pPr>
                    <w:spacing w:line="240" w:lineRule="auto"/>
                    <w:ind w:firstLine="0" w:firstLineChars="0"/>
                    <w:jc w:val="center"/>
                    <w:rPr>
                      <w:sz w:val="21"/>
                      <w:szCs w:val="21"/>
                    </w:rPr>
                  </w:pPr>
                  <w:r>
                    <w:rPr>
                      <w:rFonts w:hint="eastAsia"/>
                      <w:sz w:val="21"/>
                      <w:szCs w:val="21"/>
                    </w:rPr>
                    <w:t>24小时平均</w:t>
                  </w:r>
                </w:p>
              </w:tc>
              <w:tc>
                <w:tcPr>
                  <w:tcW w:w="2145" w:type="dxa"/>
                  <w:tcBorders>
                    <w:tl2br w:val="nil"/>
                    <w:tr2bl w:val="nil"/>
                  </w:tcBorders>
                  <w:vAlign w:val="center"/>
                </w:tcPr>
                <w:p w14:paraId="58B6B4C1">
                  <w:pPr>
                    <w:spacing w:line="240" w:lineRule="auto"/>
                    <w:ind w:firstLine="0" w:firstLineChars="0"/>
                    <w:jc w:val="center"/>
                    <w:rPr>
                      <w:sz w:val="21"/>
                      <w:szCs w:val="21"/>
                    </w:rPr>
                  </w:pPr>
                  <w:r>
                    <w:rPr>
                      <w:rFonts w:hint="eastAsia"/>
                      <w:sz w:val="21"/>
                      <w:szCs w:val="21"/>
                    </w:rPr>
                    <w:t>4</w:t>
                  </w:r>
                </w:p>
              </w:tc>
              <w:tc>
                <w:tcPr>
                  <w:tcW w:w="1950" w:type="dxa"/>
                  <w:vMerge w:val="restart"/>
                  <w:tcBorders>
                    <w:tl2br w:val="nil"/>
                    <w:tr2bl w:val="nil"/>
                  </w:tcBorders>
                  <w:vAlign w:val="center"/>
                </w:tcPr>
                <w:p w14:paraId="74412D9F">
                  <w:pPr>
                    <w:spacing w:line="240" w:lineRule="auto"/>
                    <w:ind w:firstLine="0" w:firstLineChars="0"/>
                    <w:jc w:val="center"/>
                    <w:rPr>
                      <w:sz w:val="21"/>
                      <w:szCs w:val="21"/>
                    </w:rPr>
                  </w:pPr>
                  <w:r>
                    <w:rPr>
                      <w:rFonts w:hint="eastAsia"/>
                      <w:sz w:val="21"/>
                      <w:szCs w:val="21"/>
                    </w:rPr>
                    <w:t>mg/m</w:t>
                  </w:r>
                  <w:r>
                    <w:rPr>
                      <w:rFonts w:hint="eastAsia"/>
                      <w:sz w:val="21"/>
                      <w:szCs w:val="21"/>
                      <w:vertAlign w:val="superscript"/>
                    </w:rPr>
                    <w:t>3</w:t>
                  </w:r>
                </w:p>
              </w:tc>
            </w:tr>
            <w:tr w14:paraId="49A4000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337" w:hRule="atLeast"/>
                <w:jc w:val="center"/>
              </w:trPr>
              <w:tc>
                <w:tcPr>
                  <w:tcW w:w="1752" w:type="dxa"/>
                  <w:vMerge w:val="continue"/>
                  <w:tcBorders>
                    <w:tl2br w:val="nil"/>
                    <w:tr2bl w:val="nil"/>
                  </w:tcBorders>
                  <w:vAlign w:val="center"/>
                </w:tcPr>
                <w:p w14:paraId="657DE62B">
                  <w:pPr>
                    <w:spacing w:line="240" w:lineRule="auto"/>
                    <w:ind w:firstLine="0" w:firstLineChars="0"/>
                    <w:jc w:val="center"/>
                    <w:rPr>
                      <w:sz w:val="21"/>
                      <w:szCs w:val="21"/>
                    </w:rPr>
                  </w:pPr>
                </w:p>
              </w:tc>
              <w:tc>
                <w:tcPr>
                  <w:tcW w:w="2400" w:type="dxa"/>
                  <w:tcBorders>
                    <w:tl2br w:val="nil"/>
                    <w:tr2bl w:val="nil"/>
                  </w:tcBorders>
                  <w:vAlign w:val="center"/>
                </w:tcPr>
                <w:p w14:paraId="29F3E72C">
                  <w:pPr>
                    <w:spacing w:line="240" w:lineRule="auto"/>
                    <w:ind w:firstLine="0" w:firstLineChars="0"/>
                    <w:jc w:val="center"/>
                    <w:rPr>
                      <w:sz w:val="21"/>
                      <w:szCs w:val="21"/>
                    </w:rPr>
                  </w:pPr>
                  <w:r>
                    <w:rPr>
                      <w:rFonts w:hint="eastAsia"/>
                      <w:sz w:val="21"/>
                      <w:szCs w:val="21"/>
                    </w:rPr>
                    <w:t>1小时平均</w:t>
                  </w:r>
                </w:p>
              </w:tc>
              <w:tc>
                <w:tcPr>
                  <w:tcW w:w="2145" w:type="dxa"/>
                  <w:tcBorders>
                    <w:tl2br w:val="nil"/>
                    <w:tr2bl w:val="nil"/>
                  </w:tcBorders>
                  <w:vAlign w:val="center"/>
                </w:tcPr>
                <w:p w14:paraId="0CF85DE0">
                  <w:pPr>
                    <w:spacing w:line="240" w:lineRule="auto"/>
                    <w:ind w:firstLine="0" w:firstLineChars="0"/>
                    <w:jc w:val="center"/>
                    <w:rPr>
                      <w:sz w:val="21"/>
                      <w:szCs w:val="21"/>
                    </w:rPr>
                  </w:pPr>
                  <w:r>
                    <w:rPr>
                      <w:rFonts w:hint="eastAsia"/>
                      <w:sz w:val="21"/>
                      <w:szCs w:val="21"/>
                    </w:rPr>
                    <w:t>10</w:t>
                  </w:r>
                </w:p>
              </w:tc>
              <w:tc>
                <w:tcPr>
                  <w:tcW w:w="1950" w:type="dxa"/>
                  <w:vMerge w:val="continue"/>
                  <w:tcBorders>
                    <w:tl2br w:val="nil"/>
                    <w:tr2bl w:val="nil"/>
                  </w:tcBorders>
                  <w:vAlign w:val="center"/>
                </w:tcPr>
                <w:p w14:paraId="2F361A84">
                  <w:pPr>
                    <w:spacing w:line="240" w:lineRule="auto"/>
                    <w:ind w:firstLine="0" w:firstLineChars="0"/>
                    <w:jc w:val="center"/>
                    <w:rPr>
                      <w:sz w:val="21"/>
                      <w:szCs w:val="21"/>
                    </w:rPr>
                  </w:pPr>
                </w:p>
              </w:tc>
            </w:tr>
            <w:tr w14:paraId="5E505CA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7" w:hRule="atLeast"/>
                <w:jc w:val="center"/>
              </w:trPr>
              <w:tc>
                <w:tcPr>
                  <w:tcW w:w="1752" w:type="dxa"/>
                  <w:vMerge w:val="restart"/>
                  <w:tcBorders>
                    <w:tl2br w:val="nil"/>
                    <w:tr2bl w:val="nil"/>
                  </w:tcBorders>
                  <w:vAlign w:val="center"/>
                </w:tcPr>
                <w:p w14:paraId="33A14690">
                  <w:pPr>
                    <w:spacing w:line="240" w:lineRule="auto"/>
                    <w:ind w:firstLine="0" w:firstLineChars="0"/>
                    <w:jc w:val="center"/>
                    <w:rPr>
                      <w:sz w:val="21"/>
                      <w:szCs w:val="21"/>
                    </w:rPr>
                  </w:pPr>
                  <w:r>
                    <w:rPr>
                      <w:rFonts w:hint="eastAsia"/>
                      <w:sz w:val="21"/>
                      <w:szCs w:val="21"/>
                    </w:rPr>
                    <w:t>O</w:t>
                  </w:r>
                  <w:r>
                    <w:rPr>
                      <w:rFonts w:hint="eastAsia"/>
                      <w:sz w:val="21"/>
                      <w:szCs w:val="21"/>
                      <w:vertAlign w:val="subscript"/>
                    </w:rPr>
                    <w:t>3</w:t>
                  </w:r>
                </w:p>
              </w:tc>
              <w:tc>
                <w:tcPr>
                  <w:tcW w:w="2400" w:type="dxa"/>
                  <w:tcBorders>
                    <w:tl2br w:val="nil"/>
                    <w:tr2bl w:val="nil"/>
                  </w:tcBorders>
                  <w:vAlign w:val="center"/>
                </w:tcPr>
                <w:p w14:paraId="4D1CC320">
                  <w:pPr>
                    <w:spacing w:line="240" w:lineRule="auto"/>
                    <w:ind w:firstLine="0" w:firstLineChars="0"/>
                    <w:jc w:val="center"/>
                    <w:rPr>
                      <w:sz w:val="21"/>
                      <w:szCs w:val="21"/>
                    </w:rPr>
                  </w:pPr>
                  <w:r>
                    <w:rPr>
                      <w:rFonts w:hint="eastAsia"/>
                      <w:sz w:val="21"/>
                      <w:szCs w:val="21"/>
                    </w:rPr>
                    <w:t>日最大8小时平均</w:t>
                  </w:r>
                </w:p>
              </w:tc>
              <w:tc>
                <w:tcPr>
                  <w:tcW w:w="2145" w:type="dxa"/>
                  <w:tcBorders>
                    <w:tl2br w:val="nil"/>
                    <w:tr2bl w:val="nil"/>
                  </w:tcBorders>
                  <w:vAlign w:val="center"/>
                </w:tcPr>
                <w:p w14:paraId="63768108">
                  <w:pPr>
                    <w:spacing w:line="240" w:lineRule="auto"/>
                    <w:ind w:firstLine="0" w:firstLineChars="0"/>
                    <w:jc w:val="center"/>
                    <w:rPr>
                      <w:sz w:val="21"/>
                      <w:szCs w:val="21"/>
                    </w:rPr>
                  </w:pPr>
                  <w:r>
                    <w:rPr>
                      <w:rFonts w:hint="eastAsia"/>
                      <w:sz w:val="21"/>
                      <w:szCs w:val="21"/>
                    </w:rPr>
                    <w:t>160</w:t>
                  </w:r>
                </w:p>
              </w:tc>
              <w:tc>
                <w:tcPr>
                  <w:tcW w:w="1950" w:type="dxa"/>
                  <w:vMerge w:val="restart"/>
                  <w:tcBorders>
                    <w:tl2br w:val="nil"/>
                    <w:tr2bl w:val="nil"/>
                  </w:tcBorders>
                  <w:vAlign w:val="center"/>
                </w:tcPr>
                <w:p w14:paraId="54410B03">
                  <w:pPr>
                    <w:spacing w:line="240" w:lineRule="auto"/>
                    <w:ind w:firstLine="0" w:firstLineChars="0"/>
                    <w:jc w:val="center"/>
                    <w:rPr>
                      <w:sz w:val="21"/>
                      <w:szCs w:val="21"/>
                    </w:rPr>
                  </w:pPr>
                  <w:r>
                    <w:rPr>
                      <w:rFonts w:hint="eastAsia"/>
                      <w:sz w:val="21"/>
                      <w:szCs w:val="21"/>
                    </w:rPr>
                    <w:t>μg/m</w:t>
                  </w:r>
                  <w:r>
                    <w:rPr>
                      <w:rFonts w:hint="eastAsia"/>
                      <w:sz w:val="21"/>
                      <w:szCs w:val="21"/>
                      <w:vertAlign w:val="superscript"/>
                    </w:rPr>
                    <w:t>3</w:t>
                  </w:r>
                </w:p>
              </w:tc>
            </w:tr>
            <w:tr w14:paraId="404D507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337" w:hRule="atLeast"/>
                <w:jc w:val="center"/>
              </w:trPr>
              <w:tc>
                <w:tcPr>
                  <w:tcW w:w="1752" w:type="dxa"/>
                  <w:vMerge w:val="continue"/>
                  <w:tcBorders>
                    <w:tl2br w:val="nil"/>
                    <w:tr2bl w:val="nil"/>
                  </w:tcBorders>
                  <w:vAlign w:val="center"/>
                </w:tcPr>
                <w:p w14:paraId="4BFEBE4B">
                  <w:pPr>
                    <w:spacing w:line="240" w:lineRule="auto"/>
                    <w:ind w:firstLine="0" w:firstLineChars="0"/>
                    <w:jc w:val="center"/>
                    <w:rPr>
                      <w:sz w:val="21"/>
                      <w:szCs w:val="21"/>
                    </w:rPr>
                  </w:pPr>
                </w:p>
              </w:tc>
              <w:tc>
                <w:tcPr>
                  <w:tcW w:w="2400" w:type="dxa"/>
                  <w:tcBorders>
                    <w:tl2br w:val="nil"/>
                    <w:tr2bl w:val="nil"/>
                  </w:tcBorders>
                  <w:vAlign w:val="center"/>
                </w:tcPr>
                <w:p w14:paraId="06D71E5D">
                  <w:pPr>
                    <w:spacing w:line="240" w:lineRule="auto"/>
                    <w:ind w:firstLine="0" w:firstLineChars="0"/>
                    <w:jc w:val="center"/>
                    <w:rPr>
                      <w:sz w:val="21"/>
                      <w:szCs w:val="21"/>
                    </w:rPr>
                  </w:pPr>
                  <w:r>
                    <w:rPr>
                      <w:rFonts w:hint="eastAsia"/>
                      <w:sz w:val="21"/>
                      <w:szCs w:val="21"/>
                    </w:rPr>
                    <w:t>1小时平均</w:t>
                  </w:r>
                </w:p>
              </w:tc>
              <w:tc>
                <w:tcPr>
                  <w:tcW w:w="2145" w:type="dxa"/>
                  <w:tcBorders>
                    <w:tl2br w:val="nil"/>
                    <w:tr2bl w:val="nil"/>
                  </w:tcBorders>
                  <w:vAlign w:val="center"/>
                </w:tcPr>
                <w:p w14:paraId="05B48478">
                  <w:pPr>
                    <w:spacing w:line="240" w:lineRule="auto"/>
                    <w:ind w:firstLine="0" w:firstLineChars="0"/>
                    <w:jc w:val="center"/>
                    <w:rPr>
                      <w:sz w:val="21"/>
                      <w:szCs w:val="21"/>
                    </w:rPr>
                  </w:pPr>
                  <w:r>
                    <w:rPr>
                      <w:rFonts w:hint="eastAsia"/>
                      <w:sz w:val="21"/>
                      <w:szCs w:val="21"/>
                    </w:rPr>
                    <w:t>200</w:t>
                  </w:r>
                </w:p>
              </w:tc>
              <w:tc>
                <w:tcPr>
                  <w:tcW w:w="1950" w:type="dxa"/>
                  <w:vMerge w:val="continue"/>
                  <w:tcBorders>
                    <w:tl2br w:val="nil"/>
                    <w:tr2bl w:val="nil"/>
                  </w:tcBorders>
                  <w:vAlign w:val="center"/>
                </w:tcPr>
                <w:p w14:paraId="794AA949">
                  <w:pPr>
                    <w:spacing w:line="240" w:lineRule="auto"/>
                    <w:ind w:firstLine="0" w:firstLineChars="0"/>
                    <w:jc w:val="center"/>
                    <w:rPr>
                      <w:sz w:val="21"/>
                      <w:szCs w:val="21"/>
                    </w:rPr>
                  </w:pPr>
                </w:p>
              </w:tc>
            </w:tr>
            <w:tr w14:paraId="2750B93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7" w:hRule="atLeast"/>
                <w:jc w:val="center"/>
              </w:trPr>
              <w:tc>
                <w:tcPr>
                  <w:tcW w:w="1752" w:type="dxa"/>
                  <w:vMerge w:val="restart"/>
                  <w:tcBorders>
                    <w:tl2br w:val="nil"/>
                    <w:tr2bl w:val="nil"/>
                  </w:tcBorders>
                  <w:vAlign w:val="center"/>
                </w:tcPr>
                <w:p w14:paraId="71153501">
                  <w:pPr>
                    <w:spacing w:line="240" w:lineRule="auto"/>
                    <w:ind w:firstLine="0" w:firstLineChars="0"/>
                    <w:jc w:val="center"/>
                    <w:rPr>
                      <w:sz w:val="21"/>
                      <w:szCs w:val="21"/>
                    </w:rPr>
                  </w:pPr>
                  <w:r>
                    <w:rPr>
                      <w:rFonts w:hint="eastAsia"/>
                      <w:sz w:val="21"/>
                      <w:szCs w:val="21"/>
                    </w:rPr>
                    <w:t>PM</w:t>
                  </w:r>
                  <w:r>
                    <w:rPr>
                      <w:rFonts w:hint="eastAsia"/>
                      <w:sz w:val="21"/>
                      <w:szCs w:val="21"/>
                      <w:vertAlign w:val="subscript"/>
                    </w:rPr>
                    <w:t>10</w:t>
                  </w:r>
                </w:p>
              </w:tc>
              <w:tc>
                <w:tcPr>
                  <w:tcW w:w="2400" w:type="dxa"/>
                  <w:tcBorders>
                    <w:tl2br w:val="nil"/>
                    <w:tr2bl w:val="nil"/>
                  </w:tcBorders>
                  <w:vAlign w:val="center"/>
                </w:tcPr>
                <w:p w14:paraId="559F5BA7">
                  <w:pPr>
                    <w:spacing w:line="240" w:lineRule="auto"/>
                    <w:ind w:firstLine="0" w:firstLineChars="0"/>
                    <w:jc w:val="center"/>
                    <w:rPr>
                      <w:sz w:val="21"/>
                      <w:szCs w:val="21"/>
                    </w:rPr>
                  </w:pPr>
                  <w:r>
                    <w:rPr>
                      <w:rFonts w:hint="eastAsia"/>
                      <w:sz w:val="21"/>
                      <w:szCs w:val="21"/>
                    </w:rPr>
                    <w:t>年平均</w:t>
                  </w:r>
                </w:p>
              </w:tc>
              <w:tc>
                <w:tcPr>
                  <w:tcW w:w="2145" w:type="dxa"/>
                  <w:tcBorders>
                    <w:tl2br w:val="nil"/>
                    <w:tr2bl w:val="nil"/>
                  </w:tcBorders>
                  <w:vAlign w:val="center"/>
                </w:tcPr>
                <w:p w14:paraId="5D8BEBE9">
                  <w:pPr>
                    <w:spacing w:line="240" w:lineRule="auto"/>
                    <w:ind w:firstLine="0" w:firstLineChars="0"/>
                    <w:jc w:val="center"/>
                    <w:rPr>
                      <w:sz w:val="21"/>
                      <w:szCs w:val="21"/>
                    </w:rPr>
                  </w:pPr>
                  <w:r>
                    <w:rPr>
                      <w:rFonts w:hint="eastAsia"/>
                      <w:sz w:val="21"/>
                      <w:szCs w:val="21"/>
                    </w:rPr>
                    <w:t>60</w:t>
                  </w:r>
                </w:p>
              </w:tc>
              <w:tc>
                <w:tcPr>
                  <w:tcW w:w="1950" w:type="dxa"/>
                  <w:vMerge w:val="continue"/>
                  <w:tcBorders>
                    <w:tl2br w:val="nil"/>
                    <w:tr2bl w:val="nil"/>
                  </w:tcBorders>
                  <w:vAlign w:val="center"/>
                </w:tcPr>
                <w:p w14:paraId="5BE6261B">
                  <w:pPr>
                    <w:spacing w:line="240" w:lineRule="auto"/>
                    <w:ind w:firstLine="0" w:firstLineChars="0"/>
                    <w:jc w:val="center"/>
                    <w:rPr>
                      <w:sz w:val="21"/>
                      <w:szCs w:val="21"/>
                    </w:rPr>
                  </w:pPr>
                </w:p>
              </w:tc>
            </w:tr>
            <w:tr w14:paraId="3569449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337" w:hRule="atLeast"/>
                <w:jc w:val="center"/>
              </w:trPr>
              <w:tc>
                <w:tcPr>
                  <w:tcW w:w="1752" w:type="dxa"/>
                  <w:vMerge w:val="continue"/>
                  <w:tcBorders>
                    <w:tl2br w:val="nil"/>
                    <w:tr2bl w:val="nil"/>
                  </w:tcBorders>
                  <w:vAlign w:val="center"/>
                </w:tcPr>
                <w:p w14:paraId="5EDD6F68">
                  <w:pPr>
                    <w:spacing w:line="240" w:lineRule="auto"/>
                    <w:ind w:firstLine="0" w:firstLineChars="0"/>
                    <w:jc w:val="center"/>
                    <w:rPr>
                      <w:sz w:val="21"/>
                      <w:szCs w:val="21"/>
                    </w:rPr>
                  </w:pPr>
                </w:p>
              </w:tc>
              <w:tc>
                <w:tcPr>
                  <w:tcW w:w="2400" w:type="dxa"/>
                  <w:tcBorders>
                    <w:tl2br w:val="nil"/>
                    <w:tr2bl w:val="nil"/>
                  </w:tcBorders>
                  <w:vAlign w:val="center"/>
                </w:tcPr>
                <w:p w14:paraId="7007C41E">
                  <w:pPr>
                    <w:spacing w:line="240" w:lineRule="auto"/>
                    <w:ind w:firstLine="0" w:firstLineChars="0"/>
                    <w:jc w:val="center"/>
                    <w:rPr>
                      <w:sz w:val="21"/>
                      <w:szCs w:val="21"/>
                    </w:rPr>
                  </w:pPr>
                  <w:r>
                    <w:rPr>
                      <w:rFonts w:hint="eastAsia"/>
                      <w:sz w:val="21"/>
                      <w:szCs w:val="21"/>
                    </w:rPr>
                    <w:t>24小时平均</w:t>
                  </w:r>
                </w:p>
              </w:tc>
              <w:tc>
                <w:tcPr>
                  <w:tcW w:w="2145" w:type="dxa"/>
                  <w:tcBorders>
                    <w:tl2br w:val="nil"/>
                    <w:tr2bl w:val="nil"/>
                  </w:tcBorders>
                  <w:vAlign w:val="center"/>
                </w:tcPr>
                <w:p w14:paraId="74FB9CD8">
                  <w:pPr>
                    <w:spacing w:line="240" w:lineRule="auto"/>
                    <w:ind w:firstLine="0" w:firstLineChars="0"/>
                    <w:jc w:val="center"/>
                    <w:rPr>
                      <w:sz w:val="21"/>
                      <w:szCs w:val="21"/>
                    </w:rPr>
                  </w:pPr>
                  <w:r>
                    <w:rPr>
                      <w:rFonts w:hint="eastAsia"/>
                      <w:sz w:val="21"/>
                      <w:szCs w:val="21"/>
                    </w:rPr>
                    <w:t>120</w:t>
                  </w:r>
                </w:p>
              </w:tc>
              <w:tc>
                <w:tcPr>
                  <w:tcW w:w="1950" w:type="dxa"/>
                  <w:vMerge w:val="continue"/>
                  <w:tcBorders>
                    <w:tl2br w:val="nil"/>
                    <w:tr2bl w:val="nil"/>
                  </w:tcBorders>
                  <w:vAlign w:val="center"/>
                </w:tcPr>
                <w:p w14:paraId="73BD04AD">
                  <w:pPr>
                    <w:spacing w:line="240" w:lineRule="auto"/>
                    <w:ind w:firstLine="0" w:firstLineChars="0"/>
                    <w:jc w:val="center"/>
                    <w:rPr>
                      <w:sz w:val="21"/>
                      <w:szCs w:val="21"/>
                    </w:rPr>
                  </w:pPr>
                </w:p>
              </w:tc>
            </w:tr>
            <w:tr w14:paraId="05DBE0F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337" w:hRule="atLeast"/>
                <w:jc w:val="center"/>
              </w:trPr>
              <w:tc>
                <w:tcPr>
                  <w:tcW w:w="1752" w:type="dxa"/>
                  <w:vMerge w:val="restart"/>
                  <w:tcBorders>
                    <w:tl2br w:val="nil"/>
                    <w:tr2bl w:val="nil"/>
                  </w:tcBorders>
                  <w:vAlign w:val="center"/>
                </w:tcPr>
                <w:p w14:paraId="2278B29E">
                  <w:pPr>
                    <w:spacing w:line="240" w:lineRule="auto"/>
                    <w:ind w:firstLine="0" w:firstLineChars="0"/>
                    <w:jc w:val="center"/>
                    <w:rPr>
                      <w:sz w:val="21"/>
                      <w:szCs w:val="21"/>
                    </w:rPr>
                  </w:pPr>
                  <w:r>
                    <w:rPr>
                      <w:rFonts w:hint="eastAsia"/>
                      <w:sz w:val="21"/>
                      <w:szCs w:val="21"/>
                    </w:rPr>
                    <w:t>PM</w:t>
                  </w:r>
                  <w:r>
                    <w:rPr>
                      <w:rFonts w:hint="eastAsia"/>
                      <w:sz w:val="21"/>
                      <w:szCs w:val="21"/>
                      <w:vertAlign w:val="subscript"/>
                    </w:rPr>
                    <w:t>2.5</w:t>
                  </w:r>
                </w:p>
              </w:tc>
              <w:tc>
                <w:tcPr>
                  <w:tcW w:w="2400" w:type="dxa"/>
                  <w:tcBorders>
                    <w:tl2br w:val="nil"/>
                    <w:tr2bl w:val="nil"/>
                  </w:tcBorders>
                  <w:vAlign w:val="center"/>
                </w:tcPr>
                <w:p w14:paraId="0B690A81">
                  <w:pPr>
                    <w:spacing w:line="240" w:lineRule="auto"/>
                    <w:ind w:firstLine="0" w:firstLineChars="0"/>
                    <w:jc w:val="center"/>
                    <w:rPr>
                      <w:sz w:val="21"/>
                      <w:szCs w:val="21"/>
                    </w:rPr>
                  </w:pPr>
                  <w:r>
                    <w:rPr>
                      <w:rFonts w:hint="eastAsia"/>
                      <w:sz w:val="21"/>
                      <w:szCs w:val="21"/>
                    </w:rPr>
                    <w:t>年平均</w:t>
                  </w:r>
                </w:p>
              </w:tc>
              <w:tc>
                <w:tcPr>
                  <w:tcW w:w="2145" w:type="dxa"/>
                  <w:tcBorders>
                    <w:tl2br w:val="nil"/>
                    <w:tr2bl w:val="nil"/>
                  </w:tcBorders>
                  <w:vAlign w:val="center"/>
                </w:tcPr>
                <w:p w14:paraId="57C4A5B1">
                  <w:pPr>
                    <w:spacing w:line="240" w:lineRule="auto"/>
                    <w:ind w:firstLine="0" w:firstLineChars="0"/>
                    <w:jc w:val="center"/>
                    <w:rPr>
                      <w:sz w:val="21"/>
                      <w:szCs w:val="21"/>
                    </w:rPr>
                  </w:pPr>
                  <w:r>
                    <w:rPr>
                      <w:rFonts w:hint="eastAsia"/>
                      <w:sz w:val="21"/>
                      <w:szCs w:val="21"/>
                    </w:rPr>
                    <w:t>30</w:t>
                  </w:r>
                </w:p>
              </w:tc>
              <w:tc>
                <w:tcPr>
                  <w:tcW w:w="1950" w:type="dxa"/>
                  <w:vMerge w:val="continue"/>
                  <w:tcBorders>
                    <w:tl2br w:val="nil"/>
                    <w:tr2bl w:val="nil"/>
                  </w:tcBorders>
                  <w:vAlign w:val="center"/>
                </w:tcPr>
                <w:p w14:paraId="2E15654C">
                  <w:pPr>
                    <w:spacing w:line="240" w:lineRule="auto"/>
                    <w:ind w:firstLine="0" w:firstLineChars="0"/>
                    <w:jc w:val="center"/>
                    <w:rPr>
                      <w:sz w:val="21"/>
                      <w:szCs w:val="21"/>
                    </w:rPr>
                  </w:pPr>
                </w:p>
              </w:tc>
            </w:tr>
            <w:tr w14:paraId="2A571E5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337" w:hRule="atLeast"/>
                <w:jc w:val="center"/>
              </w:trPr>
              <w:tc>
                <w:tcPr>
                  <w:tcW w:w="1752" w:type="dxa"/>
                  <w:vMerge w:val="continue"/>
                  <w:tcBorders>
                    <w:tl2br w:val="nil"/>
                    <w:tr2bl w:val="nil"/>
                  </w:tcBorders>
                  <w:vAlign w:val="center"/>
                </w:tcPr>
                <w:p w14:paraId="5F521ABA">
                  <w:pPr>
                    <w:spacing w:line="240" w:lineRule="auto"/>
                    <w:ind w:firstLine="0" w:firstLineChars="0"/>
                    <w:jc w:val="center"/>
                    <w:rPr>
                      <w:sz w:val="21"/>
                      <w:szCs w:val="21"/>
                    </w:rPr>
                  </w:pPr>
                </w:p>
              </w:tc>
              <w:tc>
                <w:tcPr>
                  <w:tcW w:w="2400" w:type="dxa"/>
                  <w:tcBorders>
                    <w:tl2br w:val="nil"/>
                    <w:tr2bl w:val="nil"/>
                  </w:tcBorders>
                  <w:vAlign w:val="center"/>
                </w:tcPr>
                <w:p w14:paraId="6BD837D8">
                  <w:pPr>
                    <w:spacing w:line="240" w:lineRule="auto"/>
                    <w:ind w:firstLine="0" w:firstLineChars="0"/>
                    <w:jc w:val="center"/>
                    <w:rPr>
                      <w:sz w:val="21"/>
                      <w:szCs w:val="21"/>
                    </w:rPr>
                  </w:pPr>
                  <w:r>
                    <w:rPr>
                      <w:rFonts w:hint="eastAsia"/>
                      <w:sz w:val="21"/>
                      <w:szCs w:val="21"/>
                    </w:rPr>
                    <w:t>24小时平均</w:t>
                  </w:r>
                </w:p>
              </w:tc>
              <w:tc>
                <w:tcPr>
                  <w:tcW w:w="2145" w:type="dxa"/>
                  <w:tcBorders>
                    <w:tl2br w:val="nil"/>
                    <w:tr2bl w:val="nil"/>
                  </w:tcBorders>
                  <w:vAlign w:val="center"/>
                </w:tcPr>
                <w:p w14:paraId="60E35759">
                  <w:pPr>
                    <w:spacing w:line="240" w:lineRule="auto"/>
                    <w:ind w:firstLine="0" w:firstLineChars="0"/>
                    <w:jc w:val="center"/>
                    <w:rPr>
                      <w:sz w:val="21"/>
                      <w:szCs w:val="21"/>
                    </w:rPr>
                  </w:pPr>
                  <w:r>
                    <w:rPr>
                      <w:rFonts w:hint="eastAsia"/>
                      <w:sz w:val="21"/>
                      <w:szCs w:val="21"/>
                    </w:rPr>
                    <w:t>60</w:t>
                  </w:r>
                </w:p>
              </w:tc>
              <w:tc>
                <w:tcPr>
                  <w:tcW w:w="1950" w:type="dxa"/>
                  <w:vMerge w:val="continue"/>
                  <w:tcBorders>
                    <w:tl2br w:val="nil"/>
                    <w:tr2bl w:val="nil"/>
                  </w:tcBorders>
                  <w:vAlign w:val="center"/>
                </w:tcPr>
                <w:p w14:paraId="0C9AD12B">
                  <w:pPr>
                    <w:spacing w:line="240" w:lineRule="auto"/>
                    <w:ind w:firstLine="0" w:firstLineChars="0"/>
                    <w:jc w:val="center"/>
                    <w:rPr>
                      <w:sz w:val="21"/>
                      <w:szCs w:val="21"/>
                    </w:rPr>
                  </w:pPr>
                </w:p>
              </w:tc>
            </w:tr>
            <w:tr w14:paraId="405CABE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337" w:hRule="atLeast"/>
                <w:jc w:val="center"/>
              </w:trPr>
              <w:tc>
                <w:tcPr>
                  <w:tcW w:w="1752" w:type="dxa"/>
                  <w:vMerge w:val="restart"/>
                  <w:tcBorders>
                    <w:tl2br w:val="nil"/>
                    <w:tr2bl w:val="nil"/>
                  </w:tcBorders>
                  <w:vAlign w:val="center"/>
                </w:tcPr>
                <w:p w14:paraId="6B32A5AC">
                  <w:pPr>
                    <w:spacing w:line="240" w:lineRule="auto"/>
                    <w:ind w:firstLine="0" w:firstLineChars="0"/>
                    <w:jc w:val="center"/>
                    <w:rPr>
                      <w:sz w:val="21"/>
                      <w:szCs w:val="21"/>
                    </w:rPr>
                  </w:pPr>
                  <w:r>
                    <w:rPr>
                      <w:rFonts w:hint="eastAsia"/>
                      <w:sz w:val="21"/>
                      <w:szCs w:val="21"/>
                    </w:rPr>
                    <w:t>TSP</w:t>
                  </w:r>
                </w:p>
              </w:tc>
              <w:tc>
                <w:tcPr>
                  <w:tcW w:w="2400" w:type="dxa"/>
                  <w:tcBorders>
                    <w:tl2br w:val="nil"/>
                    <w:tr2bl w:val="nil"/>
                  </w:tcBorders>
                  <w:vAlign w:val="center"/>
                </w:tcPr>
                <w:p w14:paraId="110AA3AF">
                  <w:pPr>
                    <w:spacing w:line="240" w:lineRule="auto"/>
                    <w:ind w:firstLine="0" w:firstLineChars="0"/>
                    <w:jc w:val="center"/>
                    <w:rPr>
                      <w:sz w:val="21"/>
                      <w:szCs w:val="21"/>
                    </w:rPr>
                  </w:pPr>
                  <w:r>
                    <w:rPr>
                      <w:rFonts w:hint="eastAsia"/>
                      <w:sz w:val="21"/>
                      <w:szCs w:val="21"/>
                    </w:rPr>
                    <w:t>年平均</w:t>
                  </w:r>
                </w:p>
              </w:tc>
              <w:tc>
                <w:tcPr>
                  <w:tcW w:w="2145" w:type="dxa"/>
                  <w:tcBorders>
                    <w:tl2br w:val="nil"/>
                    <w:tr2bl w:val="nil"/>
                  </w:tcBorders>
                  <w:vAlign w:val="center"/>
                </w:tcPr>
                <w:p w14:paraId="60362F23">
                  <w:pPr>
                    <w:spacing w:line="240" w:lineRule="auto"/>
                    <w:ind w:firstLine="0" w:firstLineChars="0"/>
                    <w:jc w:val="center"/>
                    <w:rPr>
                      <w:sz w:val="21"/>
                      <w:szCs w:val="21"/>
                    </w:rPr>
                  </w:pPr>
                  <w:r>
                    <w:rPr>
                      <w:rFonts w:hint="eastAsia"/>
                      <w:sz w:val="21"/>
                      <w:szCs w:val="21"/>
                    </w:rPr>
                    <w:t>200</w:t>
                  </w:r>
                </w:p>
              </w:tc>
              <w:tc>
                <w:tcPr>
                  <w:tcW w:w="1950" w:type="dxa"/>
                  <w:vMerge w:val="continue"/>
                  <w:tcBorders>
                    <w:tl2br w:val="nil"/>
                    <w:tr2bl w:val="nil"/>
                  </w:tcBorders>
                  <w:vAlign w:val="center"/>
                </w:tcPr>
                <w:p w14:paraId="19BB4542">
                  <w:pPr>
                    <w:spacing w:line="240" w:lineRule="auto"/>
                    <w:ind w:firstLine="0" w:firstLineChars="0"/>
                    <w:jc w:val="center"/>
                    <w:rPr>
                      <w:sz w:val="21"/>
                      <w:szCs w:val="21"/>
                    </w:rPr>
                  </w:pPr>
                </w:p>
              </w:tc>
            </w:tr>
            <w:tr w14:paraId="74111E1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341" w:hRule="atLeast"/>
                <w:jc w:val="center"/>
              </w:trPr>
              <w:tc>
                <w:tcPr>
                  <w:tcW w:w="1752" w:type="dxa"/>
                  <w:vMerge w:val="continue"/>
                  <w:tcBorders>
                    <w:tl2br w:val="nil"/>
                    <w:tr2bl w:val="nil"/>
                  </w:tcBorders>
                  <w:vAlign w:val="center"/>
                </w:tcPr>
                <w:p w14:paraId="3E3B75DD">
                  <w:pPr>
                    <w:spacing w:line="240" w:lineRule="auto"/>
                    <w:ind w:firstLine="0" w:firstLineChars="0"/>
                    <w:jc w:val="center"/>
                    <w:rPr>
                      <w:sz w:val="21"/>
                      <w:szCs w:val="21"/>
                    </w:rPr>
                  </w:pPr>
                </w:p>
              </w:tc>
              <w:tc>
                <w:tcPr>
                  <w:tcW w:w="2400" w:type="dxa"/>
                  <w:tcBorders>
                    <w:tl2br w:val="nil"/>
                    <w:tr2bl w:val="nil"/>
                  </w:tcBorders>
                  <w:vAlign w:val="center"/>
                </w:tcPr>
                <w:p w14:paraId="0A257AED">
                  <w:pPr>
                    <w:spacing w:line="240" w:lineRule="auto"/>
                    <w:ind w:firstLine="0" w:firstLineChars="0"/>
                    <w:jc w:val="center"/>
                    <w:rPr>
                      <w:sz w:val="21"/>
                      <w:szCs w:val="21"/>
                    </w:rPr>
                  </w:pPr>
                  <w:r>
                    <w:rPr>
                      <w:rFonts w:hint="eastAsia"/>
                      <w:sz w:val="21"/>
                      <w:szCs w:val="21"/>
                    </w:rPr>
                    <w:t>24小时平均</w:t>
                  </w:r>
                </w:p>
              </w:tc>
              <w:tc>
                <w:tcPr>
                  <w:tcW w:w="2145" w:type="dxa"/>
                  <w:tcBorders>
                    <w:tl2br w:val="nil"/>
                    <w:tr2bl w:val="nil"/>
                  </w:tcBorders>
                  <w:vAlign w:val="center"/>
                </w:tcPr>
                <w:p w14:paraId="5AE98F31">
                  <w:pPr>
                    <w:spacing w:line="240" w:lineRule="auto"/>
                    <w:ind w:firstLine="0" w:firstLineChars="0"/>
                    <w:jc w:val="center"/>
                    <w:rPr>
                      <w:sz w:val="21"/>
                      <w:szCs w:val="21"/>
                    </w:rPr>
                  </w:pPr>
                  <w:r>
                    <w:rPr>
                      <w:rFonts w:hint="eastAsia"/>
                      <w:sz w:val="21"/>
                      <w:szCs w:val="21"/>
                    </w:rPr>
                    <w:t>300</w:t>
                  </w:r>
                </w:p>
              </w:tc>
              <w:tc>
                <w:tcPr>
                  <w:tcW w:w="1950" w:type="dxa"/>
                  <w:vMerge w:val="continue"/>
                  <w:tcBorders>
                    <w:tl2br w:val="nil"/>
                    <w:tr2bl w:val="nil"/>
                  </w:tcBorders>
                  <w:vAlign w:val="center"/>
                </w:tcPr>
                <w:p w14:paraId="4D273460">
                  <w:pPr>
                    <w:spacing w:line="240" w:lineRule="auto"/>
                    <w:ind w:firstLine="0" w:firstLineChars="0"/>
                    <w:jc w:val="center"/>
                    <w:rPr>
                      <w:sz w:val="21"/>
                      <w:szCs w:val="21"/>
                    </w:rPr>
                  </w:pPr>
                </w:p>
              </w:tc>
            </w:tr>
          </w:tbl>
          <w:p w14:paraId="4FBC42AE">
            <w:pPr>
              <w:ind w:firstLine="482"/>
              <w:rPr>
                <w:b/>
                <w:bCs/>
              </w:rPr>
            </w:pPr>
            <w:r>
              <w:rPr>
                <w:rFonts w:hint="eastAsia"/>
                <w:b/>
                <w:bCs/>
              </w:rPr>
              <w:t>2、地表水环境</w:t>
            </w:r>
          </w:p>
          <w:p w14:paraId="0456DD77">
            <w:pPr>
              <w:ind w:firstLine="480"/>
            </w:pPr>
            <w:r>
              <w:t>地表水：檬子河执行《地表水环境质量标准》（GB3838-2002）中Ⅲ类水体标准，巴河巴州区段执行《地表水环境质量标准》（GB3838-2002）Ⅱ类水体标准</w:t>
            </w:r>
            <w:r>
              <w:rPr>
                <w:rFonts w:hint="eastAsia"/>
              </w:rPr>
              <w:t>。</w:t>
            </w:r>
          </w:p>
          <w:p w14:paraId="137ABFF4">
            <w:pPr>
              <w:ind w:firstLine="0" w:firstLineChars="0"/>
              <w:jc w:val="center"/>
              <w:rPr>
                <w:b/>
                <w:bCs/>
                <w:sz w:val="21"/>
                <w:szCs w:val="21"/>
              </w:rPr>
            </w:pPr>
            <w:r>
              <w:rPr>
                <w:rFonts w:hint="eastAsia"/>
                <w:b/>
                <w:bCs/>
                <w:sz w:val="21"/>
                <w:szCs w:val="21"/>
              </w:rPr>
              <w:t>表3-11  地表水环境质量执行标准</w:t>
            </w:r>
          </w:p>
          <w:tbl>
            <w:tblPr>
              <w:tblStyle w:val="32"/>
              <w:tblW w:w="8179"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2494"/>
              <w:gridCol w:w="2112"/>
              <w:gridCol w:w="1966"/>
              <w:gridCol w:w="1607"/>
            </w:tblGrid>
            <w:tr w14:paraId="5831F40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23" w:hRule="atLeast"/>
                <w:jc w:val="center"/>
              </w:trPr>
              <w:tc>
                <w:tcPr>
                  <w:tcW w:w="2494" w:type="dxa"/>
                  <w:vMerge w:val="restart"/>
                  <w:tcBorders>
                    <w:tl2br w:val="nil"/>
                    <w:tr2bl w:val="nil"/>
                  </w:tcBorders>
                  <w:vAlign w:val="center"/>
                </w:tcPr>
                <w:p w14:paraId="67229D13">
                  <w:pPr>
                    <w:spacing w:line="240" w:lineRule="auto"/>
                    <w:ind w:firstLine="0" w:firstLineChars="0"/>
                    <w:jc w:val="center"/>
                    <w:rPr>
                      <w:b/>
                      <w:bCs/>
                      <w:sz w:val="21"/>
                      <w:szCs w:val="21"/>
                    </w:rPr>
                  </w:pPr>
                  <w:r>
                    <w:rPr>
                      <w:rFonts w:hint="eastAsia"/>
                      <w:b/>
                      <w:bCs/>
                      <w:sz w:val="21"/>
                      <w:szCs w:val="21"/>
                    </w:rPr>
                    <w:t>评价因子</w:t>
                  </w:r>
                </w:p>
              </w:tc>
              <w:tc>
                <w:tcPr>
                  <w:tcW w:w="4078" w:type="dxa"/>
                  <w:gridSpan w:val="2"/>
                  <w:tcBorders>
                    <w:tl2br w:val="nil"/>
                    <w:tr2bl w:val="nil"/>
                  </w:tcBorders>
                  <w:vAlign w:val="center"/>
                </w:tcPr>
                <w:p w14:paraId="35F0CCE7">
                  <w:pPr>
                    <w:spacing w:line="240" w:lineRule="auto"/>
                    <w:ind w:firstLine="0" w:firstLineChars="0"/>
                    <w:jc w:val="center"/>
                    <w:rPr>
                      <w:b/>
                      <w:bCs/>
                      <w:sz w:val="21"/>
                      <w:szCs w:val="21"/>
                    </w:rPr>
                  </w:pPr>
                  <w:r>
                    <w:rPr>
                      <w:rFonts w:hint="eastAsia"/>
                      <w:b/>
                      <w:bCs/>
                      <w:sz w:val="21"/>
                      <w:szCs w:val="21"/>
                    </w:rPr>
                    <w:t>标准限值</w:t>
                  </w:r>
                </w:p>
              </w:tc>
              <w:tc>
                <w:tcPr>
                  <w:tcW w:w="1607" w:type="dxa"/>
                  <w:vMerge w:val="restart"/>
                  <w:tcBorders>
                    <w:tl2br w:val="nil"/>
                    <w:tr2bl w:val="nil"/>
                  </w:tcBorders>
                  <w:vAlign w:val="center"/>
                </w:tcPr>
                <w:p w14:paraId="71F17C14">
                  <w:pPr>
                    <w:spacing w:line="240" w:lineRule="auto"/>
                    <w:ind w:firstLine="0" w:firstLineChars="0"/>
                    <w:jc w:val="center"/>
                    <w:rPr>
                      <w:b/>
                      <w:bCs/>
                      <w:sz w:val="21"/>
                      <w:szCs w:val="21"/>
                    </w:rPr>
                  </w:pPr>
                  <w:r>
                    <w:rPr>
                      <w:rFonts w:hint="eastAsia"/>
                      <w:b/>
                      <w:bCs/>
                      <w:sz w:val="21"/>
                      <w:szCs w:val="21"/>
                    </w:rPr>
                    <w:t>单位</w:t>
                  </w:r>
                </w:p>
              </w:tc>
            </w:tr>
            <w:tr w14:paraId="0FE6942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vMerge w:val="continue"/>
                  <w:tcBorders>
                    <w:tl2br w:val="nil"/>
                    <w:tr2bl w:val="nil"/>
                  </w:tcBorders>
                  <w:vAlign w:val="center"/>
                </w:tcPr>
                <w:p w14:paraId="0F6B14E6">
                  <w:pPr>
                    <w:spacing w:line="240" w:lineRule="auto"/>
                    <w:ind w:firstLine="0" w:firstLineChars="0"/>
                    <w:jc w:val="center"/>
                    <w:rPr>
                      <w:b/>
                      <w:bCs/>
                      <w:sz w:val="21"/>
                      <w:szCs w:val="21"/>
                    </w:rPr>
                  </w:pPr>
                </w:p>
              </w:tc>
              <w:tc>
                <w:tcPr>
                  <w:tcW w:w="2112" w:type="dxa"/>
                  <w:tcBorders>
                    <w:tl2br w:val="nil"/>
                    <w:tr2bl w:val="nil"/>
                  </w:tcBorders>
                  <w:vAlign w:val="center"/>
                </w:tcPr>
                <w:p w14:paraId="1A0D6E0F">
                  <w:pPr>
                    <w:spacing w:line="240" w:lineRule="auto"/>
                    <w:ind w:firstLine="0" w:firstLineChars="0"/>
                    <w:jc w:val="center"/>
                    <w:rPr>
                      <w:b/>
                      <w:bCs/>
                      <w:sz w:val="21"/>
                      <w:szCs w:val="21"/>
                    </w:rPr>
                  </w:pPr>
                  <w:r>
                    <w:rPr>
                      <w:b/>
                      <w:bCs/>
                    </w:rPr>
                    <w:t>Ⅲ类</w:t>
                  </w:r>
                </w:p>
              </w:tc>
              <w:tc>
                <w:tcPr>
                  <w:tcW w:w="1966" w:type="dxa"/>
                  <w:tcBorders>
                    <w:tl2br w:val="nil"/>
                    <w:tr2bl w:val="nil"/>
                  </w:tcBorders>
                  <w:vAlign w:val="center"/>
                </w:tcPr>
                <w:p w14:paraId="1043F943">
                  <w:pPr>
                    <w:spacing w:line="240" w:lineRule="auto"/>
                    <w:ind w:firstLine="0" w:firstLineChars="0"/>
                    <w:jc w:val="center"/>
                    <w:rPr>
                      <w:b/>
                      <w:bCs/>
                      <w:sz w:val="21"/>
                      <w:szCs w:val="21"/>
                    </w:rPr>
                  </w:pPr>
                  <w:r>
                    <w:rPr>
                      <w:b/>
                      <w:bCs/>
                    </w:rPr>
                    <w:t>Ⅱ类</w:t>
                  </w:r>
                </w:p>
              </w:tc>
              <w:tc>
                <w:tcPr>
                  <w:tcW w:w="1607" w:type="dxa"/>
                  <w:vMerge w:val="continue"/>
                  <w:tcBorders>
                    <w:tl2br w:val="nil"/>
                    <w:tr2bl w:val="nil"/>
                  </w:tcBorders>
                  <w:vAlign w:val="center"/>
                </w:tcPr>
                <w:p w14:paraId="1ABE4194">
                  <w:pPr>
                    <w:spacing w:line="240" w:lineRule="auto"/>
                    <w:ind w:firstLine="0" w:firstLineChars="0"/>
                    <w:jc w:val="center"/>
                    <w:rPr>
                      <w:b/>
                      <w:bCs/>
                      <w:sz w:val="21"/>
                      <w:szCs w:val="21"/>
                    </w:rPr>
                  </w:pPr>
                </w:p>
              </w:tc>
            </w:tr>
            <w:tr w14:paraId="61CBC94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1BCD3C6F">
                  <w:pPr>
                    <w:spacing w:line="240" w:lineRule="auto"/>
                    <w:ind w:firstLine="0" w:firstLineChars="0"/>
                    <w:jc w:val="center"/>
                    <w:rPr>
                      <w:sz w:val="21"/>
                      <w:szCs w:val="21"/>
                    </w:rPr>
                  </w:pPr>
                  <w:r>
                    <w:rPr>
                      <w:rFonts w:hint="eastAsia"/>
                      <w:sz w:val="21"/>
                      <w:szCs w:val="21"/>
                    </w:rPr>
                    <w:t>水温</w:t>
                  </w:r>
                </w:p>
              </w:tc>
              <w:tc>
                <w:tcPr>
                  <w:tcW w:w="4078" w:type="dxa"/>
                  <w:gridSpan w:val="2"/>
                  <w:tcBorders>
                    <w:tl2br w:val="nil"/>
                    <w:tr2bl w:val="nil"/>
                  </w:tcBorders>
                  <w:vAlign w:val="center"/>
                </w:tcPr>
                <w:p w14:paraId="2B9439A1">
                  <w:pPr>
                    <w:spacing w:line="240" w:lineRule="auto"/>
                    <w:ind w:firstLine="0" w:firstLineChars="0"/>
                    <w:jc w:val="center"/>
                    <w:rPr>
                      <w:sz w:val="21"/>
                      <w:szCs w:val="21"/>
                    </w:rPr>
                  </w:pPr>
                  <w:r>
                    <w:rPr>
                      <w:rFonts w:hint="eastAsia"/>
                      <w:sz w:val="21"/>
                      <w:szCs w:val="21"/>
                    </w:rPr>
                    <w:t>人为造成的环境水温变化应限制在：</w:t>
                  </w:r>
                </w:p>
                <w:p w14:paraId="70739E04">
                  <w:pPr>
                    <w:spacing w:line="240" w:lineRule="auto"/>
                    <w:ind w:firstLine="0" w:firstLineChars="0"/>
                    <w:jc w:val="center"/>
                    <w:rPr>
                      <w:sz w:val="21"/>
                      <w:szCs w:val="21"/>
                    </w:rPr>
                  </w:pPr>
                  <w:r>
                    <w:rPr>
                      <w:rFonts w:hint="eastAsia"/>
                      <w:sz w:val="21"/>
                      <w:szCs w:val="21"/>
                    </w:rPr>
                    <w:t>周平均最大温升≤1</w:t>
                  </w:r>
                </w:p>
                <w:p w14:paraId="1E81F910">
                  <w:pPr>
                    <w:spacing w:line="240" w:lineRule="auto"/>
                    <w:ind w:firstLine="0" w:firstLineChars="0"/>
                    <w:jc w:val="center"/>
                    <w:rPr>
                      <w:sz w:val="21"/>
                      <w:szCs w:val="21"/>
                    </w:rPr>
                  </w:pPr>
                  <w:r>
                    <w:rPr>
                      <w:rFonts w:hint="eastAsia"/>
                      <w:sz w:val="21"/>
                      <w:szCs w:val="21"/>
                    </w:rPr>
                    <w:t>周平均最大温降&lt;2</w:t>
                  </w:r>
                </w:p>
              </w:tc>
              <w:tc>
                <w:tcPr>
                  <w:tcW w:w="1607" w:type="dxa"/>
                  <w:tcBorders>
                    <w:tl2br w:val="nil"/>
                    <w:tr2bl w:val="nil"/>
                  </w:tcBorders>
                  <w:vAlign w:val="center"/>
                </w:tcPr>
                <w:p w14:paraId="7B3CAD28">
                  <w:pPr>
                    <w:spacing w:line="240" w:lineRule="auto"/>
                    <w:ind w:firstLine="0" w:firstLineChars="0"/>
                    <w:jc w:val="center"/>
                    <w:rPr>
                      <w:sz w:val="21"/>
                      <w:szCs w:val="21"/>
                    </w:rPr>
                  </w:pPr>
                  <w:r>
                    <w:rPr>
                      <w:sz w:val="21"/>
                      <w:szCs w:val="21"/>
                    </w:rPr>
                    <w:t>℃</w:t>
                  </w:r>
                </w:p>
              </w:tc>
            </w:tr>
            <w:tr w14:paraId="7862555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61F55214">
                  <w:pPr>
                    <w:spacing w:line="240" w:lineRule="auto"/>
                    <w:ind w:firstLine="0" w:firstLineChars="0"/>
                    <w:jc w:val="center"/>
                    <w:rPr>
                      <w:sz w:val="21"/>
                      <w:szCs w:val="21"/>
                    </w:rPr>
                  </w:pPr>
                  <w:r>
                    <w:rPr>
                      <w:rFonts w:hint="eastAsia"/>
                      <w:sz w:val="21"/>
                      <w:szCs w:val="21"/>
                    </w:rPr>
                    <w:t>pH</w:t>
                  </w:r>
                </w:p>
              </w:tc>
              <w:tc>
                <w:tcPr>
                  <w:tcW w:w="4078" w:type="dxa"/>
                  <w:gridSpan w:val="2"/>
                  <w:tcBorders>
                    <w:tl2br w:val="nil"/>
                    <w:tr2bl w:val="nil"/>
                  </w:tcBorders>
                  <w:vAlign w:val="center"/>
                </w:tcPr>
                <w:p w14:paraId="1B5AA654">
                  <w:pPr>
                    <w:spacing w:line="240" w:lineRule="auto"/>
                    <w:ind w:firstLine="0" w:firstLineChars="0"/>
                    <w:jc w:val="center"/>
                    <w:rPr>
                      <w:sz w:val="21"/>
                      <w:szCs w:val="21"/>
                    </w:rPr>
                  </w:pPr>
                  <w:r>
                    <w:rPr>
                      <w:rFonts w:hint="eastAsia"/>
                      <w:sz w:val="21"/>
                      <w:szCs w:val="21"/>
                    </w:rPr>
                    <w:t>6~9</w:t>
                  </w:r>
                </w:p>
              </w:tc>
              <w:tc>
                <w:tcPr>
                  <w:tcW w:w="1607" w:type="dxa"/>
                  <w:tcBorders>
                    <w:tl2br w:val="nil"/>
                    <w:tr2bl w:val="nil"/>
                  </w:tcBorders>
                  <w:vAlign w:val="center"/>
                </w:tcPr>
                <w:p w14:paraId="7FABAEEA">
                  <w:pPr>
                    <w:spacing w:line="240" w:lineRule="auto"/>
                    <w:ind w:firstLine="0" w:firstLineChars="0"/>
                    <w:jc w:val="center"/>
                    <w:rPr>
                      <w:sz w:val="21"/>
                      <w:szCs w:val="21"/>
                    </w:rPr>
                  </w:pPr>
                  <w:r>
                    <w:rPr>
                      <w:rFonts w:hint="eastAsia"/>
                      <w:sz w:val="21"/>
                      <w:szCs w:val="21"/>
                    </w:rPr>
                    <w:t>无量纲</w:t>
                  </w:r>
                </w:p>
              </w:tc>
            </w:tr>
            <w:tr w14:paraId="7E69C06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6F71FBD8">
                  <w:pPr>
                    <w:spacing w:line="240" w:lineRule="auto"/>
                    <w:ind w:firstLine="0" w:firstLineChars="0"/>
                    <w:jc w:val="center"/>
                    <w:rPr>
                      <w:sz w:val="21"/>
                      <w:szCs w:val="21"/>
                    </w:rPr>
                  </w:pPr>
                  <w:r>
                    <w:rPr>
                      <w:rFonts w:hint="eastAsia"/>
                      <w:sz w:val="21"/>
                      <w:szCs w:val="21"/>
                    </w:rPr>
                    <w:t>溶解氧</w:t>
                  </w:r>
                </w:p>
              </w:tc>
              <w:tc>
                <w:tcPr>
                  <w:tcW w:w="2112" w:type="dxa"/>
                  <w:tcBorders>
                    <w:tl2br w:val="nil"/>
                    <w:tr2bl w:val="nil"/>
                  </w:tcBorders>
                  <w:vAlign w:val="center"/>
                </w:tcPr>
                <w:p w14:paraId="02D781B0">
                  <w:pPr>
                    <w:spacing w:line="240" w:lineRule="auto"/>
                    <w:ind w:firstLine="0" w:firstLineChars="0"/>
                    <w:jc w:val="center"/>
                    <w:rPr>
                      <w:sz w:val="21"/>
                      <w:szCs w:val="21"/>
                    </w:rPr>
                  </w:pPr>
                  <w:r>
                    <w:rPr>
                      <w:rFonts w:hint="eastAsia"/>
                      <w:sz w:val="21"/>
                      <w:szCs w:val="21"/>
                    </w:rPr>
                    <w:t>≥5</w:t>
                  </w:r>
                </w:p>
              </w:tc>
              <w:tc>
                <w:tcPr>
                  <w:tcW w:w="1966" w:type="dxa"/>
                  <w:tcBorders>
                    <w:tl2br w:val="nil"/>
                    <w:tr2bl w:val="nil"/>
                  </w:tcBorders>
                  <w:vAlign w:val="center"/>
                </w:tcPr>
                <w:p w14:paraId="2096E5ED">
                  <w:pPr>
                    <w:spacing w:line="240" w:lineRule="auto"/>
                    <w:ind w:firstLine="0" w:firstLineChars="0"/>
                    <w:jc w:val="center"/>
                    <w:rPr>
                      <w:sz w:val="21"/>
                      <w:szCs w:val="21"/>
                    </w:rPr>
                  </w:pPr>
                  <w:r>
                    <w:rPr>
                      <w:rFonts w:hint="eastAsia"/>
                      <w:sz w:val="21"/>
                      <w:szCs w:val="21"/>
                    </w:rPr>
                    <w:t>≥6</w:t>
                  </w:r>
                </w:p>
              </w:tc>
              <w:tc>
                <w:tcPr>
                  <w:tcW w:w="1607" w:type="dxa"/>
                  <w:vMerge w:val="restart"/>
                  <w:tcBorders>
                    <w:tl2br w:val="nil"/>
                    <w:tr2bl w:val="nil"/>
                  </w:tcBorders>
                  <w:vAlign w:val="center"/>
                </w:tcPr>
                <w:p w14:paraId="57FF7649">
                  <w:pPr>
                    <w:spacing w:line="240" w:lineRule="auto"/>
                    <w:ind w:firstLine="0" w:firstLineChars="0"/>
                    <w:jc w:val="center"/>
                    <w:rPr>
                      <w:sz w:val="21"/>
                      <w:szCs w:val="21"/>
                    </w:rPr>
                  </w:pPr>
                  <w:r>
                    <w:rPr>
                      <w:rFonts w:hint="eastAsia"/>
                      <w:sz w:val="21"/>
                      <w:szCs w:val="21"/>
                    </w:rPr>
                    <w:t>mg/L</w:t>
                  </w:r>
                </w:p>
              </w:tc>
            </w:tr>
            <w:tr w14:paraId="12DE975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3A075995">
                  <w:pPr>
                    <w:spacing w:line="240" w:lineRule="auto"/>
                    <w:ind w:firstLine="0" w:firstLineChars="0"/>
                    <w:jc w:val="center"/>
                    <w:rPr>
                      <w:sz w:val="21"/>
                      <w:szCs w:val="21"/>
                    </w:rPr>
                  </w:pPr>
                  <w:r>
                    <w:rPr>
                      <w:rFonts w:hint="eastAsia"/>
                      <w:sz w:val="21"/>
                      <w:szCs w:val="21"/>
                    </w:rPr>
                    <w:t>高锰酸盐指数</w:t>
                  </w:r>
                </w:p>
              </w:tc>
              <w:tc>
                <w:tcPr>
                  <w:tcW w:w="2112" w:type="dxa"/>
                  <w:tcBorders>
                    <w:tl2br w:val="nil"/>
                    <w:tr2bl w:val="nil"/>
                  </w:tcBorders>
                  <w:vAlign w:val="center"/>
                </w:tcPr>
                <w:p w14:paraId="47047016">
                  <w:pPr>
                    <w:spacing w:line="240" w:lineRule="auto"/>
                    <w:ind w:firstLine="0" w:firstLineChars="0"/>
                    <w:jc w:val="center"/>
                    <w:rPr>
                      <w:sz w:val="21"/>
                      <w:szCs w:val="21"/>
                    </w:rPr>
                  </w:pPr>
                  <w:r>
                    <w:rPr>
                      <w:rFonts w:hint="eastAsia"/>
                      <w:sz w:val="21"/>
                      <w:szCs w:val="21"/>
                    </w:rPr>
                    <w:t>≤6</w:t>
                  </w:r>
                </w:p>
              </w:tc>
              <w:tc>
                <w:tcPr>
                  <w:tcW w:w="1966" w:type="dxa"/>
                  <w:tcBorders>
                    <w:tl2br w:val="nil"/>
                    <w:tr2bl w:val="nil"/>
                  </w:tcBorders>
                  <w:vAlign w:val="center"/>
                </w:tcPr>
                <w:p w14:paraId="104CD65C">
                  <w:pPr>
                    <w:spacing w:line="240" w:lineRule="auto"/>
                    <w:ind w:firstLine="0" w:firstLineChars="0"/>
                    <w:jc w:val="center"/>
                    <w:rPr>
                      <w:sz w:val="21"/>
                      <w:szCs w:val="21"/>
                    </w:rPr>
                  </w:pPr>
                  <w:r>
                    <w:rPr>
                      <w:rFonts w:hint="eastAsia"/>
                      <w:sz w:val="21"/>
                      <w:szCs w:val="21"/>
                    </w:rPr>
                    <w:t>≤4</w:t>
                  </w:r>
                </w:p>
              </w:tc>
              <w:tc>
                <w:tcPr>
                  <w:tcW w:w="1607" w:type="dxa"/>
                  <w:vMerge w:val="continue"/>
                  <w:tcBorders>
                    <w:tl2br w:val="nil"/>
                    <w:tr2bl w:val="nil"/>
                  </w:tcBorders>
                  <w:vAlign w:val="center"/>
                </w:tcPr>
                <w:p w14:paraId="6EC83D25">
                  <w:pPr>
                    <w:spacing w:line="240" w:lineRule="auto"/>
                    <w:ind w:firstLine="0" w:firstLineChars="0"/>
                    <w:jc w:val="center"/>
                    <w:rPr>
                      <w:sz w:val="21"/>
                      <w:szCs w:val="21"/>
                    </w:rPr>
                  </w:pPr>
                </w:p>
              </w:tc>
            </w:tr>
            <w:tr w14:paraId="7D50148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0061022F">
                  <w:pPr>
                    <w:spacing w:line="240" w:lineRule="auto"/>
                    <w:ind w:firstLine="0" w:firstLineChars="0"/>
                    <w:jc w:val="center"/>
                    <w:rPr>
                      <w:sz w:val="21"/>
                      <w:szCs w:val="21"/>
                    </w:rPr>
                  </w:pPr>
                  <w:r>
                    <w:rPr>
                      <w:rFonts w:hint="eastAsia"/>
                      <w:sz w:val="21"/>
                      <w:szCs w:val="21"/>
                    </w:rPr>
                    <w:t>BOD</w:t>
                  </w:r>
                  <w:r>
                    <w:rPr>
                      <w:rFonts w:hint="eastAsia"/>
                      <w:sz w:val="21"/>
                      <w:szCs w:val="21"/>
                      <w:vertAlign w:val="subscript"/>
                    </w:rPr>
                    <w:t>5</w:t>
                  </w:r>
                </w:p>
              </w:tc>
              <w:tc>
                <w:tcPr>
                  <w:tcW w:w="2112" w:type="dxa"/>
                  <w:tcBorders>
                    <w:tl2br w:val="nil"/>
                    <w:tr2bl w:val="nil"/>
                  </w:tcBorders>
                  <w:vAlign w:val="center"/>
                </w:tcPr>
                <w:p w14:paraId="249D782D">
                  <w:pPr>
                    <w:spacing w:line="240" w:lineRule="auto"/>
                    <w:ind w:firstLine="0" w:firstLineChars="0"/>
                    <w:jc w:val="center"/>
                    <w:rPr>
                      <w:sz w:val="21"/>
                      <w:szCs w:val="21"/>
                    </w:rPr>
                  </w:pPr>
                  <w:r>
                    <w:rPr>
                      <w:rFonts w:hint="eastAsia"/>
                      <w:sz w:val="21"/>
                      <w:szCs w:val="21"/>
                    </w:rPr>
                    <w:t>≤4</w:t>
                  </w:r>
                </w:p>
              </w:tc>
              <w:tc>
                <w:tcPr>
                  <w:tcW w:w="1966" w:type="dxa"/>
                  <w:tcBorders>
                    <w:tl2br w:val="nil"/>
                    <w:tr2bl w:val="nil"/>
                  </w:tcBorders>
                  <w:vAlign w:val="center"/>
                </w:tcPr>
                <w:p w14:paraId="48182B8B">
                  <w:pPr>
                    <w:spacing w:line="240" w:lineRule="auto"/>
                    <w:ind w:firstLine="0" w:firstLineChars="0"/>
                    <w:jc w:val="center"/>
                    <w:rPr>
                      <w:sz w:val="21"/>
                      <w:szCs w:val="21"/>
                    </w:rPr>
                  </w:pPr>
                  <w:r>
                    <w:rPr>
                      <w:rFonts w:hint="eastAsia"/>
                      <w:sz w:val="21"/>
                      <w:szCs w:val="21"/>
                    </w:rPr>
                    <w:t>≤3</w:t>
                  </w:r>
                </w:p>
              </w:tc>
              <w:tc>
                <w:tcPr>
                  <w:tcW w:w="1607" w:type="dxa"/>
                  <w:vMerge w:val="continue"/>
                  <w:tcBorders>
                    <w:tl2br w:val="nil"/>
                    <w:tr2bl w:val="nil"/>
                  </w:tcBorders>
                  <w:vAlign w:val="center"/>
                </w:tcPr>
                <w:p w14:paraId="624B4983">
                  <w:pPr>
                    <w:spacing w:line="240" w:lineRule="auto"/>
                    <w:ind w:firstLine="0" w:firstLineChars="0"/>
                    <w:jc w:val="center"/>
                    <w:rPr>
                      <w:sz w:val="21"/>
                      <w:szCs w:val="21"/>
                    </w:rPr>
                  </w:pPr>
                </w:p>
              </w:tc>
            </w:tr>
            <w:tr w14:paraId="2B27CE2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042FAAFA">
                  <w:pPr>
                    <w:spacing w:line="240" w:lineRule="auto"/>
                    <w:ind w:firstLine="0" w:firstLineChars="0"/>
                    <w:jc w:val="center"/>
                    <w:rPr>
                      <w:sz w:val="21"/>
                      <w:szCs w:val="21"/>
                    </w:rPr>
                  </w:pPr>
                  <w:r>
                    <w:rPr>
                      <w:rFonts w:hint="eastAsia"/>
                      <w:sz w:val="21"/>
                      <w:szCs w:val="21"/>
                    </w:rPr>
                    <w:t>COD</w:t>
                  </w:r>
                </w:p>
              </w:tc>
              <w:tc>
                <w:tcPr>
                  <w:tcW w:w="2112" w:type="dxa"/>
                  <w:tcBorders>
                    <w:tl2br w:val="nil"/>
                    <w:tr2bl w:val="nil"/>
                  </w:tcBorders>
                  <w:vAlign w:val="center"/>
                </w:tcPr>
                <w:p w14:paraId="33BEF417">
                  <w:pPr>
                    <w:spacing w:line="240" w:lineRule="auto"/>
                    <w:ind w:firstLine="0" w:firstLineChars="0"/>
                    <w:jc w:val="center"/>
                    <w:rPr>
                      <w:sz w:val="21"/>
                      <w:szCs w:val="21"/>
                    </w:rPr>
                  </w:pPr>
                  <w:r>
                    <w:rPr>
                      <w:rFonts w:hint="eastAsia"/>
                      <w:sz w:val="21"/>
                      <w:szCs w:val="21"/>
                    </w:rPr>
                    <w:t>≤20</w:t>
                  </w:r>
                </w:p>
              </w:tc>
              <w:tc>
                <w:tcPr>
                  <w:tcW w:w="1966" w:type="dxa"/>
                  <w:tcBorders>
                    <w:tl2br w:val="nil"/>
                    <w:tr2bl w:val="nil"/>
                  </w:tcBorders>
                  <w:vAlign w:val="center"/>
                </w:tcPr>
                <w:p w14:paraId="3FA6E3D5">
                  <w:pPr>
                    <w:spacing w:line="240" w:lineRule="auto"/>
                    <w:ind w:firstLine="0" w:firstLineChars="0"/>
                    <w:jc w:val="center"/>
                    <w:rPr>
                      <w:sz w:val="21"/>
                      <w:szCs w:val="21"/>
                    </w:rPr>
                  </w:pPr>
                  <w:r>
                    <w:rPr>
                      <w:rFonts w:hint="eastAsia"/>
                      <w:sz w:val="21"/>
                      <w:szCs w:val="21"/>
                    </w:rPr>
                    <w:t>≤15</w:t>
                  </w:r>
                </w:p>
              </w:tc>
              <w:tc>
                <w:tcPr>
                  <w:tcW w:w="1607" w:type="dxa"/>
                  <w:vMerge w:val="continue"/>
                  <w:tcBorders>
                    <w:tl2br w:val="nil"/>
                    <w:tr2bl w:val="nil"/>
                  </w:tcBorders>
                  <w:vAlign w:val="center"/>
                </w:tcPr>
                <w:p w14:paraId="007F352E">
                  <w:pPr>
                    <w:spacing w:line="240" w:lineRule="auto"/>
                    <w:ind w:firstLine="0" w:firstLineChars="0"/>
                    <w:jc w:val="center"/>
                    <w:rPr>
                      <w:sz w:val="21"/>
                      <w:szCs w:val="21"/>
                    </w:rPr>
                  </w:pPr>
                </w:p>
              </w:tc>
            </w:tr>
            <w:tr w14:paraId="0AEA624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311D4B1F">
                  <w:pPr>
                    <w:spacing w:line="240" w:lineRule="auto"/>
                    <w:ind w:firstLine="0" w:firstLineChars="0"/>
                    <w:jc w:val="center"/>
                    <w:rPr>
                      <w:sz w:val="21"/>
                      <w:szCs w:val="21"/>
                    </w:rPr>
                  </w:pPr>
                  <w:r>
                    <w:rPr>
                      <w:rFonts w:hint="eastAsia"/>
                      <w:sz w:val="21"/>
                      <w:szCs w:val="21"/>
                    </w:rPr>
                    <w:t>氨氮</w:t>
                  </w:r>
                </w:p>
              </w:tc>
              <w:tc>
                <w:tcPr>
                  <w:tcW w:w="2112" w:type="dxa"/>
                  <w:tcBorders>
                    <w:tl2br w:val="nil"/>
                    <w:tr2bl w:val="nil"/>
                  </w:tcBorders>
                  <w:vAlign w:val="center"/>
                </w:tcPr>
                <w:p w14:paraId="4BD7C123">
                  <w:pPr>
                    <w:spacing w:line="240" w:lineRule="auto"/>
                    <w:ind w:firstLine="0" w:firstLineChars="0"/>
                    <w:jc w:val="center"/>
                    <w:rPr>
                      <w:sz w:val="21"/>
                      <w:szCs w:val="21"/>
                    </w:rPr>
                  </w:pPr>
                  <w:r>
                    <w:rPr>
                      <w:rFonts w:hint="eastAsia"/>
                      <w:sz w:val="21"/>
                      <w:szCs w:val="21"/>
                    </w:rPr>
                    <w:t>≤1</w:t>
                  </w:r>
                </w:p>
              </w:tc>
              <w:tc>
                <w:tcPr>
                  <w:tcW w:w="1966" w:type="dxa"/>
                  <w:tcBorders>
                    <w:tl2br w:val="nil"/>
                    <w:tr2bl w:val="nil"/>
                  </w:tcBorders>
                  <w:vAlign w:val="center"/>
                </w:tcPr>
                <w:p w14:paraId="2F1927E1">
                  <w:pPr>
                    <w:spacing w:line="240" w:lineRule="auto"/>
                    <w:ind w:firstLine="0" w:firstLineChars="0"/>
                    <w:jc w:val="center"/>
                    <w:rPr>
                      <w:sz w:val="21"/>
                      <w:szCs w:val="21"/>
                    </w:rPr>
                  </w:pPr>
                  <w:r>
                    <w:rPr>
                      <w:rFonts w:hint="eastAsia"/>
                      <w:sz w:val="21"/>
                      <w:szCs w:val="21"/>
                    </w:rPr>
                    <w:t>≤0.5</w:t>
                  </w:r>
                </w:p>
              </w:tc>
              <w:tc>
                <w:tcPr>
                  <w:tcW w:w="1607" w:type="dxa"/>
                  <w:vMerge w:val="continue"/>
                  <w:tcBorders>
                    <w:tl2br w:val="nil"/>
                    <w:tr2bl w:val="nil"/>
                  </w:tcBorders>
                  <w:vAlign w:val="center"/>
                </w:tcPr>
                <w:p w14:paraId="731BC1E5">
                  <w:pPr>
                    <w:spacing w:line="240" w:lineRule="auto"/>
                    <w:ind w:firstLine="0" w:firstLineChars="0"/>
                    <w:jc w:val="center"/>
                    <w:rPr>
                      <w:sz w:val="21"/>
                      <w:szCs w:val="21"/>
                    </w:rPr>
                  </w:pPr>
                </w:p>
              </w:tc>
            </w:tr>
            <w:tr w14:paraId="0506D5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5CC83F63">
                  <w:pPr>
                    <w:spacing w:line="240" w:lineRule="auto"/>
                    <w:ind w:firstLine="0" w:firstLineChars="0"/>
                    <w:jc w:val="center"/>
                    <w:rPr>
                      <w:sz w:val="21"/>
                      <w:szCs w:val="21"/>
                    </w:rPr>
                  </w:pPr>
                  <w:r>
                    <w:rPr>
                      <w:rFonts w:hint="eastAsia"/>
                      <w:sz w:val="21"/>
                      <w:szCs w:val="21"/>
                    </w:rPr>
                    <w:t>总磷</w:t>
                  </w:r>
                </w:p>
              </w:tc>
              <w:tc>
                <w:tcPr>
                  <w:tcW w:w="2112" w:type="dxa"/>
                  <w:tcBorders>
                    <w:tl2br w:val="nil"/>
                    <w:tr2bl w:val="nil"/>
                  </w:tcBorders>
                  <w:vAlign w:val="center"/>
                </w:tcPr>
                <w:p w14:paraId="0934A8C3">
                  <w:pPr>
                    <w:spacing w:line="240" w:lineRule="auto"/>
                    <w:ind w:firstLine="0" w:firstLineChars="0"/>
                    <w:jc w:val="center"/>
                    <w:rPr>
                      <w:sz w:val="21"/>
                      <w:szCs w:val="21"/>
                    </w:rPr>
                  </w:pPr>
                  <w:r>
                    <w:rPr>
                      <w:rFonts w:hint="eastAsia"/>
                      <w:sz w:val="21"/>
                      <w:szCs w:val="21"/>
                    </w:rPr>
                    <w:t>≤0.2</w:t>
                  </w:r>
                </w:p>
              </w:tc>
              <w:tc>
                <w:tcPr>
                  <w:tcW w:w="1966" w:type="dxa"/>
                  <w:tcBorders>
                    <w:tl2br w:val="nil"/>
                    <w:tr2bl w:val="nil"/>
                  </w:tcBorders>
                  <w:vAlign w:val="center"/>
                </w:tcPr>
                <w:p w14:paraId="443AF49E">
                  <w:pPr>
                    <w:spacing w:line="240" w:lineRule="auto"/>
                    <w:ind w:firstLine="0" w:firstLineChars="0"/>
                    <w:jc w:val="center"/>
                    <w:rPr>
                      <w:sz w:val="21"/>
                      <w:szCs w:val="21"/>
                    </w:rPr>
                  </w:pPr>
                  <w:r>
                    <w:rPr>
                      <w:rFonts w:hint="eastAsia"/>
                      <w:sz w:val="21"/>
                      <w:szCs w:val="21"/>
                    </w:rPr>
                    <w:t>≤0.1</w:t>
                  </w:r>
                </w:p>
              </w:tc>
              <w:tc>
                <w:tcPr>
                  <w:tcW w:w="1607" w:type="dxa"/>
                  <w:vMerge w:val="continue"/>
                  <w:tcBorders>
                    <w:tl2br w:val="nil"/>
                    <w:tr2bl w:val="nil"/>
                  </w:tcBorders>
                  <w:vAlign w:val="center"/>
                </w:tcPr>
                <w:p w14:paraId="24C71895">
                  <w:pPr>
                    <w:spacing w:line="240" w:lineRule="auto"/>
                    <w:ind w:firstLine="0" w:firstLineChars="0"/>
                    <w:jc w:val="center"/>
                    <w:rPr>
                      <w:sz w:val="21"/>
                      <w:szCs w:val="21"/>
                    </w:rPr>
                  </w:pPr>
                </w:p>
              </w:tc>
            </w:tr>
            <w:tr w14:paraId="6033348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722789FE">
                  <w:pPr>
                    <w:spacing w:line="240" w:lineRule="auto"/>
                    <w:ind w:firstLine="0" w:firstLineChars="0"/>
                    <w:jc w:val="center"/>
                    <w:rPr>
                      <w:sz w:val="21"/>
                      <w:szCs w:val="21"/>
                    </w:rPr>
                  </w:pPr>
                  <w:r>
                    <w:rPr>
                      <w:rFonts w:hint="eastAsia"/>
                      <w:sz w:val="21"/>
                      <w:szCs w:val="21"/>
                    </w:rPr>
                    <w:t>石油类</w:t>
                  </w:r>
                </w:p>
              </w:tc>
              <w:tc>
                <w:tcPr>
                  <w:tcW w:w="2112" w:type="dxa"/>
                  <w:tcBorders>
                    <w:tl2br w:val="nil"/>
                    <w:tr2bl w:val="nil"/>
                  </w:tcBorders>
                  <w:vAlign w:val="center"/>
                </w:tcPr>
                <w:p w14:paraId="71E5B94D">
                  <w:pPr>
                    <w:spacing w:line="240" w:lineRule="auto"/>
                    <w:ind w:firstLine="0" w:firstLineChars="0"/>
                    <w:jc w:val="center"/>
                    <w:rPr>
                      <w:sz w:val="21"/>
                      <w:szCs w:val="21"/>
                    </w:rPr>
                  </w:pPr>
                  <w:r>
                    <w:rPr>
                      <w:rFonts w:hint="eastAsia"/>
                      <w:sz w:val="21"/>
                      <w:szCs w:val="21"/>
                    </w:rPr>
                    <w:t>≤0.05</w:t>
                  </w:r>
                </w:p>
              </w:tc>
              <w:tc>
                <w:tcPr>
                  <w:tcW w:w="1966" w:type="dxa"/>
                  <w:tcBorders>
                    <w:tl2br w:val="nil"/>
                    <w:tr2bl w:val="nil"/>
                  </w:tcBorders>
                  <w:vAlign w:val="center"/>
                </w:tcPr>
                <w:p w14:paraId="1502ABB2">
                  <w:pPr>
                    <w:spacing w:line="240" w:lineRule="auto"/>
                    <w:ind w:firstLine="0" w:firstLineChars="0"/>
                    <w:jc w:val="center"/>
                    <w:rPr>
                      <w:sz w:val="21"/>
                      <w:szCs w:val="21"/>
                    </w:rPr>
                  </w:pPr>
                  <w:r>
                    <w:rPr>
                      <w:rFonts w:hint="eastAsia"/>
                      <w:sz w:val="21"/>
                      <w:szCs w:val="21"/>
                    </w:rPr>
                    <w:t>≤0.05</w:t>
                  </w:r>
                </w:p>
              </w:tc>
              <w:tc>
                <w:tcPr>
                  <w:tcW w:w="1607" w:type="dxa"/>
                  <w:vMerge w:val="continue"/>
                  <w:tcBorders>
                    <w:tl2br w:val="nil"/>
                    <w:tr2bl w:val="nil"/>
                  </w:tcBorders>
                  <w:vAlign w:val="center"/>
                </w:tcPr>
                <w:p w14:paraId="228194B9">
                  <w:pPr>
                    <w:spacing w:line="240" w:lineRule="auto"/>
                    <w:ind w:firstLine="0" w:firstLineChars="0"/>
                    <w:jc w:val="center"/>
                    <w:rPr>
                      <w:sz w:val="21"/>
                      <w:szCs w:val="21"/>
                    </w:rPr>
                  </w:pPr>
                </w:p>
              </w:tc>
            </w:tr>
            <w:tr w14:paraId="76D1DF3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277214A7">
                  <w:pPr>
                    <w:spacing w:line="240" w:lineRule="auto"/>
                    <w:ind w:firstLine="0" w:firstLineChars="0"/>
                    <w:jc w:val="center"/>
                    <w:rPr>
                      <w:sz w:val="21"/>
                      <w:szCs w:val="21"/>
                    </w:rPr>
                  </w:pPr>
                  <w:r>
                    <w:rPr>
                      <w:rFonts w:hint="eastAsia"/>
                      <w:sz w:val="21"/>
                      <w:szCs w:val="21"/>
                    </w:rPr>
                    <w:t>铅</w:t>
                  </w:r>
                </w:p>
              </w:tc>
              <w:tc>
                <w:tcPr>
                  <w:tcW w:w="2112" w:type="dxa"/>
                  <w:tcBorders>
                    <w:tl2br w:val="nil"/>
                    <w:tr2bl w:val="nil"/>
                  </w:tcBorders>
                  <w:vAlign w:val="center"/>
                </w:tcPr>
                <w:p w14:paraId="5E8F11B3">
                  <w:pPr>
                    <w:spacing w:line="240" w:lineRule="auto"/>
                    <w:ind w:firstLine="0" w:firstLineChars="0"/>
                    <w:jc w:val="center"/>
                    <w:rPr>
                      <w:sz w:val="21"/>
                      <w:szCs w:val="21"/>
                    </w:rPr>
                  </w:pPr>
                  <w:r>
                    <w:rPr>
                      <w:rFonts w:hint="eastAsia"/>
                      <w:sz w:val="21"/>
                      <w:szCs w:val="21"/>
                    </w:rPr>
                    <w:t>≤0.05</w:t>
                  </w:r>
                </w:p>
              </w:tc>
              <w:tc>
                <w:tcPr>
                  <w:tcW w:w="1966" w:type="dxa"/>
                  <w:tcBorders>
                    <w:tl2br w:val="nil"/>
                    <w:tr2bl w:val="nil"/>
                  </w:tcBorders>
                  <w:vAlign w:val="center"/>
                </w:tcPr>
                <w:p w14:paraId="31A6E15C">
                  <w:pPr>
                    <w:spacing w:line="240" w:lineRule="auto"/>
                    <w:ind w:firstLine="0" w:firstLineChars="0"/>
                    <w:jc w:val="center"/>
                    <w:rPr>
                      <w:sz w:val="21"/>
                      <w:szCs w:val="21"/>
                    </w:rPr>
                  </w:pPr>
                  <w:r>
                    <w:rPr>
                      <w:rFonts w:hint="eastAsia"/>
                      <w:sz w:val="21"/>
                      <w:szCs w:val="21"/>
                    </w:rPr>
                    <w:t>≤0.01</w:t>
                  </w:r>
                </w:p>
              </w:tc>
              <w:tc>
                <w:tcPr>
                  <w:tcW w:w="1607" w:type="dxa"/>
                  <w:vMerge w:val="continue"/>
                  <w:tcBorders>
                    <w:tl2br w:val="nil"/>
                    <w:tr2bl w:val="nil"/>
                  </w:tcBorders>
                  <w:vAlign w:val="center"/>
                </w:tcPr>
                <w:p w14:paraId="6A205E63">
                  <w:pPr>
                    <w:spacing w:line="240" w:lineRule="auto"/>
                    <w:ind w:firstLine="0" w:firstLineChars="0"/>
                    <w:jc w:val="center"/>
                    <w:rPr>
                      <w:sz w:val="21"/>
                      <w:szCs w:val="21"/>
                    </w:rPr>
                  </w:pPr>
                </w:p>
              </w:tc>
            </w:tr>
            <w:tr w14:paraId="274184D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6C6E4136">
                  <w:pPr>
                    <w:spacing w:line="240" w:lineRule="auto"/>
                    <w:ind w:firstLine="0" w:firstLineChars="0"/>
                    <w:jc w:val="center"/>
                    <w:rPr>
                      <w:sz w:val="21"/>
                      <w:szCs w:val="21"/>
                    </w:rPr>
                  </w:pPr>
                  <w:r>
                    <w:rPr>
                      <w:rFonts w:hint="eastAsia"/>
                      <w:sz w:val="21"/>
                      <w:szCs w:val="21"/>
                    </w:rPr>
                    <w:t>总汞</w:t>
                  </w:r>
                </w:p>
              </w:tc>
              <w:tc>
                <w:tcPr>
                  <w:tcW w:w="2112" w:type="dxa"/>
                  <w:tcBorders>
                    <w:tl2br w:val="nil"/>
                    <w:tr2bl w:val="nil"/>
                  </w:tcBorders>
                  <w:vAlign w:val="center"/>
                </w:tcPr>
                <w:p w14:paraId="5CC89FD7">
                  <w:pPr>
                    <w:spacing w:line="240" w:lineRule="auto"/>
                    <w:ind w:firstLine="0" w:firstLineChars="0"/>
                    <w:jc w:val="center"/>
                    <w:rPr>
                      <w:sz w:val="21"/>
                      <w:szCs w:val="21"/>
                    </w:rPr>
                  </w:pPr>
                  <w:r>
                    <w:rPr>
                      <w:rFonts w:hint="eastAsia"/>
                      <w:sz w:val="21"/>
                      <w:szCs w:val="21"/>
                    </w:rPr>
                    <w:t>≤0.0001</w:t>
                  </w:r>
                </w:p>
              </w:tc>
              <w:tc>
                <w:tcPr>
                  <w:tcW w:w="1966" w:type="dxa"/>
                  <w:tcBorders>
                    <w:tl2br w:val="nil"/>
                    <w:tr2bl w:val="nil"/>
                  </w:tcBorders>
                  <w:vAlign w:val="center"/>
                </w:tcPr>
                <w:p w14:paraId="17A8D240">
                  <w:pPr>
                    <w:spacing w:line="240" w:lineRule="auto"/>
                    <w:ind w:firstLine="0" w:firstLineChars="0"/>
                    <w:jc w:val="center"/>
                    <w:rPr>
                      <w:sz w:val="21"/>
                      <w:szCs w:val="21"/>
                    </w:rPr>
                  </w:pPr>
                  <w:r>
                    <w:rPr>
                      <w:rFonts w:hint="eastAsia"/>
                      <w:sz w:val="21"/>
                      <w:szCs w:val="21"/>
                    </w:rPr>
                    <w:t>≤0.00005</w:t>
                  </w:r>
                </w:p>
              </w:tc>
              <w:tc>
                <w:tcPr>
                  <w:tcW w:w="1607" w:type="dxa"/>
                  <w:vMerge w:val="continue"/>
                  <w:tcBorders>
                    <w:tl2br w:val="nil"/>
                    <w:tr2bl w:val="nil"/>
                  </w:tcBorders>
                  <w:vAlign w:val="center"/>
                </w:tcPr>
                <w:p w14:paraId="42969E3E">
                  <w:pPr>
                    <w:spacing w:line="240" w:lineRule="auto"/>
                    <w:ind w:firstLine="0" w:firstLineChars="0"/>
                    <w:jc w:val="center"/>
                    <w:rPr>
                      <w:sz w:val="21"/>
                      <w:szCs w:val="21"/>
                    </w:rPr>
                  </w:pPr>
                </w:p>
              </w:tc>
            </w:tr>
            <w:tr w14:paraId="114C020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17912D08">
                  <w:pPr>
                    <w:spacing w:line="240" w:lineRule="auto"/>
                    <w:ind w:firstLine="0" w:firstLineChars="0"/>
                    <w:jc w:val="center"/>
                    <w:rPr>
                      <w:sz w:val="21"/>
                      <w:szCs w:val="21"/>
                    </w:rPr>
                  </w:pPr>
                  <w:r>
                    <w:rPr>
                      <w:rFonts w:hint="eastAsia"/>
                      <w:sz w:val="21"/>
                      <w:szCs w:val="21"/>
                    </w:rPr>
                    <w:t>挥发酚</w:t>
                  </w:r>
                </w:p>
              </w:tc>
              <w:tc>
                <w:tcPr>
                  <w:tcW w:w="2112" w:type="dxa"/>
                  <w:tcBorders>
                    <w:tl2br w:val="nil"/>
                    <w:tr2bl w:val="nil"/>
                  </w:tcBorders>
                  <w:vAlign w:val="center"/>
                </w:tcPr>
                <w:p w14:paraId="37793CFC">
                  <w:pPr>
                    <w:spacing w:line="240" w:lineRule="auto"/>
                    <w:ind w:firstLine="0" w:firstLineChars="0"/>
                    <w:jc w:val="center"/>
                    <w:rPr>
                      <w:sz w:val="21"/>
                      <w:szCs w:val="21"/>
                    </w:rPr>
                  </w:pPr>
                  <w:r>
                    <w:rPr>
                      <w:rFonts w:hint="eastAsia"/>
                      <w:sz w:val="21"/>
                      <w:szCs w:val="21"/>
                    </w:rPr>
                    <w:t>≤0.005</w:t>
                  </w:r>
                </w:p>
              </w:tc>
              <w:tc>
                <w:tcPr>
                  <w:tcW w:w="1966" w:type="dxa"/>
                  <w:tcBorders>
                    <w:tl2br w:val="nil"/>
                    <w:tr2bl w:val="nil"/>
                  </w:tcBorders>
                  <w:vAlign w:val="center"/>
                </w:tcPr>
                <w:p w14:paraId="41256869">
                  <w:pPr>
                    <w:spacing w:line="240" w:lineRule="auto"/>
                    <w:ind w:firstLine="0" w:firstLineChars="0"/>
                    <w:jc w:val="center"/>
                    <w:rPr>
                      <w:sz w:val="21"/>
                      <w:szCs w:val="21"/>
                    </w:rPr>
                  </w:pPr>
                  <w:r>
                    <w:rPr>
                      <w:rFonts w:hint="eastAsia"/>
                      <w:sz w:val="21"/>
                      <w:szCs w:val="21"/>
                    </w:rPr>
                    <w:t>≤0.002</w:t>
                  </w:r>
                </w:p>
              </w:tc>
              <w:tc>
                <w:tcPr>
                  <w:tcW w:w="1607" w:type="dxa"/>
                  <w:vMerge w:val="continue"/>
                  <w:tcBorders>
                    <w:tl2br w:val="nil"/>
                    <w:tr2bl w:val="nil"/>
                  </w:tcBorders>
                  <w:vAlign w:val="center"/>
                </w:tcPr>
                <w:p w14:paraId="53236E51">
                  <w:pPr>
                    <w:spacing w:line="240" w:lineRule="auto"/>
                    <w:ind w:firstLine="0" w:firstLineChars="0"/>
                    <w:jc w:val="center"/>
                    <w:rPr>
                      <w:sz w:val="21"/>
                      <w:szCs w:val="21"/>
                    </w:rPr>
                  </w:pPr>
                </w:p>
              </w:tc>
            </w:tr>
            <w:tr w14:paraId="7A3B97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2BF68FE6">
                  <w:pPr>
                    <w:spacing w:line="240" w:lineRule="auto"/>
                    <w:ind w:firstLine="0" w:firstLineChars="0"/>
                    <w:jc w:val="center"/>
                    <w:rPr>
                      <w:sz w:val="21"/>
                      <w:szCs w:val="21"/>
                    </w:rPr>
                  </w:pPr>
                  <w:r>
                    <w:rPr>
                      <w:rFonts w:hint="eastAsia"/>
                      <w:sz w:val="21"/>
                      <w:szCs w:val="21"/>
                    </w:rPr>
                    <w:t>氟化物</w:t>
                  </w:r>
                </w:p>
              </w:tc>
              <w:tc>
                <w:tcPr>
                  <w:tcW w:w="2112" w:type="dxa"/>
                  <w:tcBorders>
                    <w:tl2br w:val="nil"/>
                    <w:tr2bl w:val="nil"/>
                  </w:tcBorders>
                  <w:vAlign w:val="center"/>
                </w:tcPr>
                <w:p w14:paraId="2CFB3DBA">
                  <w:pPr>
                    <w:spacing w:line="240" w:lineRule="auto"/>
                    <w:ind w:firstLine="0" w:firstLineChars="0"/>
                    <w:jc w:val="center"/>
                    <w:rPr>
                      <w:sz w:val="21"/>
                      <w:szCs w:val="21"/>
                    </w:rPr>
                  </w:pPr>
                  <w:r>
                    <w:rPr>
                      <w:rFonts w:hint="eastAsia"/>
                      <w:sz w:val="21"/>
                      <w:szCs w:val="21"/>
                    </w:rPr>
                    <w:t>≤1</w:t>
                  </w:r>
                </w:p>
              </w:tc>
              <w:tc>
                <w:tcPr>
                  <w:tcW w:w="1966" w:type="dxa"/>
                  <w:tcBorders>
                    <w:tl2br w:val="nil"/>
                    <w:tr2bl w:val="nil"/>
                  </w:tcBorders>
                  <w:vAlign w:val="center"/>
                </w:tcPr>
                <w:p w14:paraId="3D7BD3E0">
                  <w:pPr>
                    <w:spacing w:line="240" w:lineRule="auto"/>
                    <w:ind w:firstLine="0" w:firstLineChars="0"/>
                    <w:jc w:val="center"/>
                    <w:rPr>
                      <w:sz w:val="21"/>
                      <w:szCs w:val="21"/>
                    </w:rPr>
                  </w:pPr>
                  <w:r>
                    <w:rPr>
                      <w:rFonts w:hint="eastAsia"/>
                      <w:sz w:val="21"/>
                      <w:szCs w:val="21"/>
                    </w:rPr>
                    <w:t>≤1</w:t>
                  </w:r>
                </w:p>
              </w:tc>
              <w:tc>
                <w:tcPr>
                  <w:tcW w:w="1607" w:type="dxa"/>
                  <w:vMerge w:val="continue"/>
                  <w:tcBorders>
                    <w:tl2br w:val="nil"/>
                    <w:tr2bl w:val="nil"/>
                  </w:tcBorders>
                  <w:vAlign w:val="center"/>
                </w:tcPr>
                <w:p w14:paraId="527C00E8">
                  <w:pPr>
                    <w:spacing w:line="240" w:lineRule="auto"/>
                    <w:ind w:firstLine="0" w:firstLineChars="0"/>
                    <w:jc w:val="center"/>
                    <w:rPr>
                      <w:sz w:val="21"/>
                      <w:szCs w:val="21"/>
                    </w:rPr>
                  </w:pPr>
                </w:p>
              </w:tc>
            </w:tr>
            <w:tr w14:paraId="4A357C2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5B30E850">
                  <w:pPr>
                    <w:spacing w:line="240" w:lineRule="auto"/>
                    <w:ind w:firstLine="0" w:firstLineChars="0"/>
                    <w:jc w:val="center"/>
                    <w:rPr>
                      <w:sz w:val="21"/>
                      <w:szCs w:val="21"/>
                    </w:rPr>
                  </w:pPr>
                  <w:r>
                    <w:rPr>
                      <w:rFonts w:hint="eastAsia"/>
                      <w:sz w:val="21"/>
                      <w:szCs w:val="21"/>
                    </w:rPr>
                    <w:t>硫化物</w:t>
                  </w:r>
                </w:p>
              </w:tc>
              <w:tc>
                <w:tcPr>
                  <w:tcW w:w="2112" w:type="dxa"/>
                  <w:tcBorders>
                    <w:tl2br w:val="nil"/>
                    <w:tr2bl w:val="nil"/>
                  </w:tcBorders>
                  <w:vAlign w:val="center"/>
                </w:tcPr>
                <w:p w14:paraId="7E4D2FFB">
                  <w:pPr>
                    <w:spacing w:line="240" w:lineRule="auto"/>
                    <w:ind w:firstLine="0" w:firstLineChars="0"/>
                    <w:jc w:val="center"/>
                    <w:rPr>
                      <w:sz w:val="21"/>
                      <w:szCs w:val="21"/>
                    </w:rPr>
                  </w:pPr>
                  <w:r>
                    <w:rPr>
                      <w:rFonts w:hint="eastAsia"/>
                      <w:sz w:val="21"/>
                      <w:szCs w:val="21"/>
                    </w:rPr>
                    <w:t>≤0.2</w:t>
                  </w:r>
                </w:p>
              </w:tc>
              <w:tc>
                <w:tcPr>
                  <w:tcW w:w="1966" w:type="dxa"/>
                  <w:tcBorders>
                    <w:tl2br w:val="nil"/>
                    <w:tr2bl w:val="nil"/>
                  </w:tcBorders>
                  <w:vAlign w:val="center"/>
                </w:tcPr>
                <w:p w14:paraId="7236B81A">
                  <w:pPr>
                    <w:spacing w:line="240" w:lineRule="auto"/>
                    <w:ind w:firstLine="0" w:firstLineChars="0"/>
                    <w:jc w:val="center"/>
                    <w:rPr>
                      <w:sz w:val="21"/>
                      <w:szCs w:val="21"/>
                    </w:rPr>
                  </w:pPr>
                  <w:r>
                    <w:rPr>
                      <w:rFonts w:hint="eastAsia"/>
                      <w:sz w:val="21"/>
                      <w:szCs w:val="21"/>
                    </w:rPr>
                    <w:t>≤0.1</w:t>
                  </w:r>
                </w:p>
              </w:tc>
              <w:tc>
                <w:tcPr>
                  <w:tcW w:w="1607" w:type="dxa"/>
                  <w:vMerge w:val="continue"/>
                  <w:tcBorders>
                    <w:tl2br w:val="nil"/>
                    <w:tr2bl w:val="nil"/>
                  </w:tcBorders>
                  <w:vAlign w:val="center"/>
                </w:tcPr>
                <w:p w14:paraId="3841AA77">
                  <w:pPr>
                    <w:spacing w:line="240" w:lineRule="auto"/>
                    <w:ind w:firstLine="0" w:firstLineChars="0"/>
                    <w:jc w:val="center"/>
                    <w:rPr>
                      <w:sz w:val="21"/>
                      <w:szCs w:val="21"/>
                    </w:rPr>
                  </w:pPr>
                </w:p>
              </w:tc>
            </w:tr>
            <w:tr w14:paraId="18F2971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00E8FE13">
                  <w:pPr>
                    <w:spacing w:line="240" w:lineRule="auto"/>
                    <w:ind w:firstLine="0" w:firstLineChars="0"/>
                    <w:jc w:val="center"/>
                    <w:rPr>
                      <w:sz w:val="21"/>
                      <w:szCs w:val="21"/>
                    </w:rPr>
                  </w:pPr>
                  <w:r>
                    <w:rPr>
                      <w:rFonts w:hint="eastAsia"/>
                      <w:sz w:val="21"/>
                      <w:szCs w:val="21"/>
                    </w:rPr>
                    <w:t>氰化物</w:t>
                  </w:r>
                </w:p>
              </w:tc>
              <w:tc>
                <w:tcPr>
                  <w:tcW w:w="2112" w:type="dxa"/>
                  <w:tcBorders>
                    <w:tl2br w:val="nil"/>
                    <w:tr2bl w:val="nil"/>
                  </w:tcBorders>
                  <w:vAlign w:val="center"/>
                </w:tcPr>
                <w:p w14:paraId="0567D5D4">
                  <w:pPr>
                    <w:spacing w:line="240" w:lineRule="auto"/>
                    <w:ind w:firstLine="0" w:firstLineChars="0"/>
                    <w:jc w:val="center"/>
                    <w:rPr>
                      <w:sz w:val="21"/>
                      <w:szCs w:val="21"/>
                    </w:rPr>
                  </w:pPr>
                  <w:r>
                    <w:rPr>
                      <w:rFonts w:hint="eastAsia"/>
                      <w:sz w:val="21"/>
                      <w:szCs w:val="21"/>
                    </w:rPr>
                    <w:t>≤0.2</w:t>
                  </w:r>
                </w:p>
              </w:tc>
              <w:tc>
                <w:tcPr>
                  <w:tcW w:w="1966" w:type="dxa"/>
                  <w:tcBorders>
                    <w:tl2br w:val="nil"/>
                    <w:tr2bl w:val="nil"/>
                  </w:tcBorders>
                  <w:vAlign w:val="center"/>
                </w:tcPr>
                <w:p w14:paraId="7B82DEF6">
                  <w:pPr>
                    <w:spacing w:line="240" w:lineRule="auto"/>
                    <w:ind w:firstLine="0" w:firstLineChars="0"/>
                    <w:jc w:val="center"/>
                    <w:rPr>
                      <w:sz w:val="21"/>
                      <w:szCs w:val="21"/>
                    </w:rPr>
                  </w:pPr>
                  <w:r>
                    <w:rPr>
                      <w:rFonts w:hint="eastAsia"/>
                      <w:sz w:val="21"/>
                      <w:szCs w:val="21"/>
                    </w:rPr>
                    <w:t>≤0.05</w:t>
                  </w:r>
                </w:p>
              </w:tc>
              <w:tc>
                <w:tcPr>
                  <w:tcW w:w="1607" w:type="dxa"/>
                  <w:vMerge w:val="continue"/>
                  <w:tcBorders>
                    <w:tl2br w:val="nil"/>
                    <w:tr2bl w:val="nil"/>
                  </w:tcBorders>
                  <w:vAlign w:val="center"/>
                </w:tcPr>
                <w:p w14:paraId="66B06A80">
                  <w:pPr>
                    <w:spacing w:line="240" w:lineRule="auto"/>
                    <w:ind w:firstLine="0" w:firstLineChars="0"/>
                    <w:jc w:val="center"/>
                    <w:rPr>
                      <w:sz w:val="21"/>
                      <w:szCs w:val="21"/>
                    </w:rPr>
                  </w:pPr>
                </w:p>
              </w:tc>
            </w:tr>
            <w:tr w14:paraId="458859A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2D9AA74B">
                  <w:pPr>
                    <w:spacing w:line="240" w:lineRule="auto"/>
                    <w:ind w:firstLine="0" w:firstLineChars="0"/>
                    <w:jc w:val="center"/>
                    <w:rPr>
                      <w:sz w:val="21"/>
                      <w:szCs w:val="21"/>
                    </w:rPr>
                  </w:pPr>
                  <w:r>
                    <w:rPr>
                      <w:rFonts w:hint="eastAsia"/>
                      <w:sz w:val="21"/>
                      <w:szCs w:val="21"/>
                    </w:rPr>
                    <w:t>六价铬</w:t>
                  </w:r>
                </w:p>
              </w:tc>
              <w:tc>
                <w:tcPr>
                  <w:tcW w:w="2112" w:type="dxa"/>
                  <w:tcBorders>
                    <w:tl2br w:val="nil"/>
                    <w:tr2bl w:val="nil"/>
                  </w:tcBorders>
                  <w:vAlign w:val="center"/>
                </w:tcPr>
                <w:p w14:paraId="2110B799">
                  <w:pPr>
                    <w:spacing w:line="240" w:lineRule="auto"/>
                    <w:ind w:firstLine="0" w:firstLineChars="0"/>
                    <w:jc w:val="center"/>
                    <w:rPr>
                      <w:sz w:val="21"/>
                      <w:szCs w:val="21"/>
                    </w:rPr>
                  </w:pPr>
                  <w:r>
                    <w:rPr>
                      <w:rFonts w:hint="eastAsia"/>
                      <w:sz w:val="21"/>
                      <w:szCs w:val="21"/>
                    </w:rPr>
                    <w:t>≤0.05</w:t>
                  </w:r>
                </w:p>
              </w:tc>
              <w:tc>
                <w:tcPr>
                  <w:tcW w:w="1966" w:type="dxa"/>
                  <w:tcBorders>
                    <w:tl2br w:val="nil"/>
                    <w:tr2bl w:val="nil"/>
                  </w:tcBorders>
                  <w:vAlign w:val="center"/>
                </w:tcPr>
                <w:p w14:paraId="196029C6">
                  <w:pPr>
                    <w:spacing w:line="240" w:lineRule="auto"/>
                    <w:ind w:firstLine="0" w:firstLineChars="0"/>
                    <w:jc w:val="center"/>
                    <w:rPr>
                      <w:sz w:val="21"/>
                      <w:szCs w:val="21"/>
                    </w:rPr>
                  </w:pPr>
                  <w:r>
                    <w:rPr>
                      <w:rFonts w:hint="eastAsia"/>
                      <w:sz w:val="21"/>
                      <w:szCs w:val="21"/>
                    </w:rPr>
                    <w:t>≤0.05</w:t>
                  </w:r>
                </w:p>
              </w:tc>
              <w:tc>
                <w:tcPr>
                  <w:tcW w:w="1607" w:type="dxa"/>
                  <w:vMerge w:val="continue"/>
                  <w:tcBorders>
                    <w:tl2br w:val="nil"/>
                    <w:tr2bl w:val="nil"/>
                  </w:tcBorders>
                  <w:vAlign w:val="center"/>
                </w:tcPr>
                <w:p w14:paraId="192F4575">
                  <w:pPr>
                    <w:spacing w:line="240" w:lineRule="auto"/>
                    <w:ind w:firstLine="0" w:firstLineChars="0"/>
                    <w:jc w:val="center"/>
                    <w:rPr>
                      <w:sz w:val="21"/>
                      <w:szCs w:val="21"/>
                    </w:rPr>
                  </w:pPr>
                </w:p>
              </w:tc>
            </w:tr>
            <w:tr w14:paraId="2E2FB89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1AE3D500">
                  <w:pPr>
                    <w:spacing w:line="240" w:lineRule="auto"/>
                    <w:ind w:firstLine="0" w:firstLineChars="0"/>
                    <w:jc w:val="center"/>
                    <w:rPr>
                      <w:sz w:val="21"/>
                      <w:szCs w:val="21"/>
                    </w:rPr>
                  </w:pPr>
                  <w:r>
                    <w:rPr>
                      <w:rFonts w:hint="eastAsia"/>
                      <w:sz w:val="21"/>
                      <w:szCs w:val="21"/>
                    </w:rPr>
                    <w:t>总砷</w:t>
                  </w:r>
                </w:p>
              </w:tc>
              <w:tc>
                <w:tcPr>
                  <w:tcW w:w="2112" w:type="dxa"/>
                  <w:tcBorders>
                    <w:tl2br w:val="nil"/>
                    <w:tr2bl w:val="nil"/>
                  </w:tcBorders>
                  <w:vAlign w:val="center"/>
                </w:tcPr>
                <w:p w14:paraId="316F3479">
                  <w:pPr>
                    <w:spacing w:line="240" w:lineRule="auto"/>
                    <w:ind w:firstLine="0" w:firstLineChars="0"/>
                    <w:jc w:val="center"/>
                    <w:rPr>
                      <w:sz w:val="21"/>
                      <w:szCs w:val="21"/>
                    </w:rPr>
                  </w:pPr>
                  <w:r>
                    <w:rPr>
                      <w:rFonts w:hint="eastAsia"/>
                      <w:sz w:val="21"/>
                      <w:szCs w:val="21"/>
                    </w:rPr>
                    <w:t>≤0.05</w:t>
                  </w:r>
                </w:p>
              </w:tc>
              <w:tc>
                <w:tcPr>
                  <w:tcW w:w="1966" w:type="dxa"/>
                  <w:tcBorders>
                    <w:tl2br w:val="nil"/>
                    <w:tr2bl w:val="nil"/>
                  </w:tcBorders>
                  <w:vAlign w:val="center"/>
                </w:tcPr>
                <w:p w14:paraId="123CC6C6">
                  <w:pPr>
                    <w:spacing w:line="240" w:lineRule="auto"/>
                    <w:ind w:firstLine="0" w:firstLineChars="0"/>
                    <w:jc w:val="center"/>
                    <w:rPr>
                      <w:sz w:val="21"/>
                      <w:szCs w:val="21"/>
                    </w:rPr>
                  </w:pPr>
                  <w:r>
                    <w:rPr>
                      <w:rFonts w:hint="eastAsia"/>
                      <w:sz w:val="21"/>
                      <w:szCs w:val="21"/>
                    </w:rPr>
                    <w:t>≤0.05</w:t>
                  </w:r>
                </w:p>
              </w:tc>
              <w:tc>
                <w:tcPr>
                  <w:tcW w:w="1607" w:type="dxa"/>
                  <w:vMerge w:val="continue"/>
                  <w:tcBorders>
                    <w:tl2br w:val="nil"/>
                    <w:tr2bl w:val="nil"/>
                  </w:tcBorders>
                  <w:vAlign w:val="center"/>
                </w:tcPr>
                <w:p w14:paraId="40A251FA">
                  <w:pPr>
                    <w:spacing w:line="240" w:lineRule="auto"/>
                    <w:ind w:firstLine="0" w:firstLineChars="0"/>
                    <w:jc w:val="center"/>
                    <w:rPr>
                      <w:sz w:val="21"/>
                      <w:szCs w:val="21"/>
                    </w:rPr>
                  </w:pPr>
                </w:p>
              </w:tc>
            </w:tr>
            <w:tr w14:paraId="33D14AB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77C856DC">
                  <w:pPr>
                    <w:spacing w:line="240" w:lineRule="auto"/>
                    <w:ind w:firstLine="0" w:firstLineChars="0"/>
                    <w:jc w:val="center"/>
                    <w:rPr>
                      <w:sz w:val="21"/>
                      <w:szCs w:val="21"/>
                    </w:rPr>
                  </w:pPr>
                  <w:r>
                    <w:rPr>
                      <w:rFonts w:hint="eastAsia"/>
                      <w:sz w:val="21"/>
                      <w:szCs w:val="21"/>
                    </w:rPr>
                    <w:t>总镉</w:t>
                  </w:r>
                </w:p>
              </w:tc>
              <w:tc>
                <w:tcPr>
                  <w:tcW w:w="2112" w:type="dxa"/>
                  <w:tcBorders>
                    <w:tl2br w:val="nil"/>
                    <w:tr2bl w:val="nil"/>
                  </w:tcBorders>
                  <w:vAlign w:val="center"/>
                </w:tcPr>
                <w:p w14:paraId="5BB91B00">
                  <w:pPr>
                    <w:spacing w:line="240" w:lineRule="auto"/>
                    <w:ind w:firstLine="0" w:firstLineChars="0"/>
                    <w:jc w:val="center"/>
                    <w:rPr>
                      <w:sz w:val="21"/>
                      <w:szCs w:val="21"/>
                    </w:rPr>
                  </w:pPr>
                  <w:r>
                    <w:rPr>
                      <w:rFonts w:hint="eastAsia"/>
                      <w:sz w:val="21"/>
                      <w:szCs w:val="21"/>
                    </w:rPr>
                    <w:t>≤0.005</w:t>
                  </w:r>
                </w:p>
              </w:tc>
              <w:tc>
                <w:tcPr>
                  <w:tcW w:w="1966" w:type="dxa"/>
                  <w:tcBorders>
                    <w:tl2br w:val="nil"/>
                    <w:tr2bl w:val="nil"/>
                  </w:tcBorders>
                  <w:vAlign w:val="center"/>
                </w:tcPr>
                <w:p w14:paraId="674DAA30">
                  <w:pPr>
                    <w:spacing w:line="240" w:lineRule="auto"/>
                    <w:ind w:firstLine="0" w:firstLineChars="0"/>
                    <w:jc w:val="center"/>
                    <w:rPr>
                      <w:sz w:val="21"/>
                      <w:szCs w:val="21"/>
                    </w:rPr>
                  </w:pPr>
                  <w:r>
                    <w:rPr>
                      <w:rFonts w:hint="eastAsia"/>
                      <w:sz w:val="21"/>
                      <w:szCs w:val="21"/>
                    </w:rPr>
                    <w:t>≤0.005</w:t>
                  </w:r>
                </w:p>
              </w:tc>
              <w:tc>
                <w:tcPr>
                  <w:tcW w:w="1607" w:type="dxa"/>
                  <w:vMerge w:val="continue"/>
                  <w:tcBorders>
                    <w:tl2br w:val="nil"/>
                    <w:tr2bl w:val="nil"/>
                  </w:tcBorders>
                  <w:vAlign w:val="center"/>
                </w:tcPr>
                <w:p w14:paraId="2986CF73">
                  <w:pPr>
                    <w:spacing w:line="240" w:lineRule="auto"/>
                    <w:ind w:firstLine="0" w:firstLineChars="0"/>
                    <w:jc w:val="center"/>
                    <w:rPr>
                      <w:sz w:val="21"/>
                      <w:szCs w:val="21"/>
                    </w:rPr>
                  </w:pPr>
                </w:p>
              </w:tc>
            </w:tr>
            <w:tr w14:paraId="5A49F28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7F2C2372">
                  <w:pPr>
                    <w:spacing w:line="240" w:lineRule="auto"/>
                    <w:ind w:firstLine="0" w:firstLineChars="0"/>
                    <w:jc w:val="center"/>
                    <w:rPr>
                      <w:sz w:val="21"/>
                      <w:szCs w:val="21"/>
                    </w:rPr>
                  </w:pPr>
                  <w:r>
                    <w:rPr>
                      <w:rFonts w:hint="eastAsia"/>
                      <w:sz w:val="21"/>
                      <w:szCs w:val="21"/>
                    </w:rPr>
                    <w:t>硒</w:t>
                  </w:r>
                </w:p>
              </w:tc>
              <w:tc>
                <w:tcPr>
                  <w:tcW w:w="2112" w:type="dxa"/>
                  <w:tcBorders>
                    <w:tl2br w:val="nil"/>
                    <w:tr2bl w:val="nil"/>
                  </w:tcBorders>
                  <w:vAlign w:val="center"/>
                </w:tcPr>
                <w:p w14:paraId="5B58CBDE">
                  <w:pPr>
                    <w:spacing w:line="240" w:lineRule="auto"/>
                    <w:ind w:firstLine="0" w:firstLineChars="0"/>
                    <w:jc w:val="center"/>
                    <w:rPr>
                      <w:sz w:val="21"/>
                      <w:szCs w:val="21"/>
                    </w:rPr>
                  </w:pPr>
                  <w:r>
                    <w:rPr>
                      <w:rFonts w:hint="eastAsia"/>
                      <w:sz w:val="21"/>
                      <w:szCs w:val="21"/>
                    </w:rPr>
                    <w:t>≤0.01</w:t>
                  </w:r>
                </w:p>
              </w:tc>
              <w:tc>
                <w:tcPr>
                  <w:tcW w:w="1966" w:type="dxa"/>
                  <w:tcBorders>
                    <w:tl2br w:val="nil"/>
                    <w:tr2bl w:val="nil"/>
                  </w:tcBorders>
                  <w:vAlign w:val="center"/>
                </w:tcPr>
                <w:p w14:paraId="7891DC6F">
                  <w:pPr>
                    <w:spacing w:line="240" w:lineRule="auto"/>
                    <w:ind w:firstLine="0" w:firstLineChars="0"/>
                    <w:jc w:val="center"/>
                    <w:rPr>
                      <w:sz w:val="21"/>
                      <w:szCs w:val="21"/>
                    </w:rPr>
                  </w:pPr>
                  <w:r>
                    <w:rPr>
                      <w:rFonts w:hint="eastAsia"/>
                      <w:sz w:val="21"/>
                      <w:szCs w:val="21"/>
                    </w:rPr>
                    <w:t>≤0.01</w:t>
                  </w:r>
                </w:p>
              </w:tc>
              <w:tc>
                <w:tcPr>
                  <w:tcW w:w="1607" w:type="dxa"/>
                  <w:vMerge w:val="continue"/>
                  <w:tcBorders>
                    <w:tl2br w:val="nil"/>
                    <w:tr2bl w:val="nil"/>
                  </w:tcBorders>
                  <w:vAlign w:val="center"/>
                </w:tcPr>
                <w:p w14:paraId="0EC297E5">
                  <w:pPr>
                    <w:spacing w:line="240" w:lineRule="auto"/>
                    <w:ind w:firstLine="0" w:firstLineChars="0"/>
                    <w:jc w:val="center"/>
                    <w:rPr>
                      <w:sz w:val="21"/>
                      <w:szCs w:val="21"/>
                    </w:rPr>
                  </w:pPr>
                </w:p>
              </w:tc>
            </w:tr>
            <w:tr w14:paraId="69E576C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61EAD433">
                  <w:pPr>
                    <w:spacing w:line="240" w:lineRule="auto"/>
                    <w:ind w:firstLine="0" w:firstLineChars="0"/>
                    <w:jc w:val="center"/>
                    <w:rPr>
                      <w:sz w:val="21"/>
                      <w:szCs w:val="21"/>
                    </w:rPr>
                  </w:pPr>
                  <w:r>
                    <w:rPr>
                      <w:rFonts w:hint="eastAsia"/>
                      <w:sz w:val="21"/>
                      <w:szCs w:val="21"/>
                    </w:rPr>
                    <w:t>铜</w:t>
                  </w:r>
                </w:p>
              </w:tc>
              <w:tc>
                <w:tcPr>
                  <w:tcW w:w="2112" w:type="dxa"/>
                  <w:tcBorders>
                    <w:tl2br w:val="nil"/>
                    <w:tr2bl w:val="nil"/>
                  </w:tcBorders>
                  <w:vAlign w:val="center"/>
                </w:tcPr>
                <w:p w14:paraId="08DBA596">
                  <w:pPr>
                    <w:spacing w:line="240" w:lineRule="auto"/>
                    <w:ind w:firstLine="0" w:firstLineChars="0"/>
                    <w:jc w:val="center"/>
                    <w:rPr>
                      <w:sz w:val="21"/>
                      <w:szCs w:val="21"/>
                    </w:rPr>
                  </w:pPr>
                  <w:r>
                    <w:rPr>
                      <w:rFonts w:hint="eastAsia"/>
                      <w:sz w:val="21"/>
                      <w:szCs w:val="21"/>
                    </w:rPr>
                    <w:t>≤1</w:t>
                  </w:r>
                </w:p>
              </w:tc>
              <w:tc>
                <w:tcPr>
                  <w:tcW w:w="1966" w:type="dxa"/>
                  <w:tcBorders>
                    <w:tl2br w:val="nil"/>
                    <w:tr2bl w:val="nil"/>
                  </w:tcBorders>
                  <w:vAlign w:val="center"/>
                </w:tcPr>
                <w:p w14:paraId="6D6C2509">
                  <w:pPr>
                    <w:spacing w:line="240" w:lineRule="auto"/>
                    <w:ind w:firstLine="0" w:firstLineChars="0"/>
                    <w:jc w:val="center"/>
                    <w:rPr>
                      <w:sz w:val="21"/>
                      <w:szCs w:val="21"/>
                    </w:rPr>
                  </w:pPr>
                  <w:r>
                    <w:rPr>
                      <w:rFonts w:hint="eastAsia"/>
                      <w:sz w:val="21"/>
                      <w:szCs w:val="21"/>
                    </w:rPr>
                    <w:t>≤1</w:t>
                  </w:r>
                </w:p>
              </w:tc>
              <w:tc>
                <w:tcPr>
                  <w:tcW w:w="1607" w:type="dxa"/>
                  <w:vMerge w:val="continue"/>
                  <w:tcBorders>
                    <w:tl2br w:val="nil"/>
                    <w:tr2bl w:val="nil"/>
                  </w:tcBorders>
                  <w:vAlign w:val="center"/>
                </w:tcPr>
                <w:p w14:paraId="68D5B74A">
                  <w:pPr>
                    <w:spacing w:line="240" w:lineRule="auto"/>
                    <w:ind w:firstLine="0" w:firstLineChars="0"/>
                    <w:jc w:val="center"/>
                    <w:rPr>
                      <w:sz w:val="21"/>
                      <w:szCs w:val="21"/>
                    </w:rPr>
                  </w:pPr>
                </w:p>
              </w:tc>
            </w:tr>
            <w:tr w14:paraId="6DB9396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230BD6BE">
                  <w:pPr>
                    <w:spacing w:line="240" w:lineRule="auto"/>
                    <w:ind w:firstLine="0" w:firstLineChars="0"/>
                    <w:jc w:val="center"/>
                    <w:rPr>
                      <w:sz w:val="21"/>
                      <w:szCs w:val="21"/>
                    </w:rPr>
                  </w:pPr>
                  <w:r>
                    <w:rPr>
                      <w:rFonts w:hint="eastAsia"/>
                      <w:sz w:val="21"/>
                      <w:szCs w:val="21"/>
                    </w:rPr>
                    <w:t>锌</w:t>
                  </w:r>
                </w:p>
              </w:tc>
              <w:tc>
                <w:tcPr>
                  <w:tcW w:w="2112" w:type="dxa"/>
                  <w:tcBorders>
                    <w:tl2br w:val="nil"/>
                    <w:tr2bl w:val="nil"/>
                  </w:tcBorders>
                  <w:vAlign w:val="center"/>
                </w:tcPr>
                <w:p w14:paraId="1839EDF3">
                  <w:pPr>
                    <w:spacing w:line="240" w:lineRule="auto"/>
                    <w:ind w:firstLine="0" w:firstLineChars="0"/>
                    <w:jc w:val="center"/>
                    <w:rPr>
                      <w:sz w:val="21"/>
                      <w:szCs w:val="21"/>
                    </w:rPr>
                  </w:pPr>
                  <w:r>
                    <w:rPr>
                      <w:rFonts w:hint="eastAsia"/>
                      <w:sz w:val="21"/>
                      <w:szCs w:val="21"/>
                    </w:rPr>
                    <w:t>≤1</w:t>
                  </w:r>
                </w:p>
              </w:tc>
              <w:tc>
                <w:tcPr>
                  <w:tcW w:w="1966" w:type="dxa"/>
                  <w:tcBorders>
                    <w:tl2br w:val="nil"/>
                    <w:tr2bl w:val="nil"/>
                  </w:tcBorders>
                  <w:vAlign w:val="center"/>
                </w:tcPr>
                <w:p w14:paraId="016A3C3A">
                  <w:pPr>
                    <w:spacing w:line="240" w:lineRule="auto"/>
                    <w:ind w:firstLine="0" w:firstLineChars="0"/>
                    <w:jc w:val="center"/>
                    <w:rPr>
                      <w:sz w:val="21"/>
                      <w:szCs w:val="21"/>
                    </w:rPr>
                  </w:pPr>
                  <w:r>
                    <w:rPr>
                      <w:rFonts w:hint="eastAsia"/>
                      <w:sz w:val="21"/>
                      <w:szCs w:val="21"/>
                    </w:rPr>
                    <w:t>≤1</w:t>
                  </w:r>
                </w:p>
              </w:tc>
              <w:tc>
                <w:tcPr>
                  <w:tcW w:w="1607" w:type="dxa"/>
                  <w:vMerge w:val="continue"/>
                  <w:tcBorders>
                    <w:tl2br w:val="nil"/>
                    <w:tr2bl w:val="nil"/>
                  </w:tcBorders>
                  <w:vAlign w:val="center"/>
                </w:tcPr>
                <w:p w14:paraId="63953258">
                  <w:pPr>
                    <w:spacing w:line="240" w:lineRule="auto"/>
                    <w:ind w:firstLine="0" w:firstLineChars="0"/>
                    <w:jc w:val="center"/>
                    <w:rPr>
                      <w:sz w:val="21"/>
                      <w:szCs w:val="21"/>
                    </w:rPr>
                  </w:pPr>
                </w:p>
              </w:tc>
            </w:tr>
            <w:tr w14:paraId="5A844B8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75DCFFA2">
                  <w:pPr>
                    <w:spacing w:line="240" w:lineRule="auto"/>
                    <w:ind w:firstLine="0" w:firstLineChars="0"/>
                    <w:jc w:val="center"/>
                    <w:rPr>
                      <w:sz w:val="21"/>
                      <w:szCs w:val="21"/>
                    </w:rPr>
                  </w:pPr>
                  <w:r>
                    <w:rPr>
                      <w:rFonts w:hint="eastAsia"/>
                      <w:sz w:val="21"/>
                      <w:szCs w:val="21"/>
                    </w:rPr>
                    <w:t>阴离子表面活性剂</w:t>
                  </w:r>
                </w:p>
              </w:tc>
              <w:tc>
                <w:tcPr>
                  <w:tcW w:w="2112" w:type="dxa"/>
                  <w:tcBorders>
                    <w:tl2br w:val="nil"/>
                    <w:tr2bl w:val="nil"/>
                  </w:tcBorders>
                  <w:vAlign w:val="center"/>
                </w:tcPr>
                <w:p w14:paraId="3A47DF91">
                  <w:pPr>
                    <w:spacing w:line="240" w:lineRule="auto"/>
                    <w:ind w:firstLine="0" w:firstLineChars="0"/>
                    <w:jc w:val="center"/>
                    <w:rPr>
                      <w:sz w:val="21"/>
                      <w:szCs w:val="21"/>
                    </w:rPr>
                  </w:pPr>
                  <w:r>
                    <w:rPr>
                      <w:rFonts w:hint="eastAsia"/>
                      <w:sz w:val="21"/>
                      <w:szCs w:val="21"/>
                    </w:rPr>
                    <w:t>≤0.2</w:t>
                  </w:r>
                </w:p>
              </w:tc>
              <w:tc>
                <w:tcPr>
                  <w:tcW w:w="1966" w:type="dxa"/>
                  <w:tcBorders>
                    <w:tl2br w:val="nil"/>
                    <w:tr2bl w:val="nil"/>
                  </w:tcBorders>
                  <w:vAlign w:val="center"/>
                </w:tcPr>
                <w:p w14:paraId="72587EF0">
                  <w:pPr>
                    <w:spacing w:line="240" w:lineRule="auto"/>
                    <w:ind w:firstLine="0" w:firstLineChars="0"/>
                    <w:jc w:val="center"/>
                    <w:rPr>
                      <w:sz w:val="21"/>
                      <w:szCs w:val="21"/>
                    </w:rPr>
                  </w:pPr>
                  <w:r>
                    <w:rPr>
                      <w:rFonts w:hint="eastAsia"/>
                      <w:sz w:val="21"/>
                      <w:szCs w:val="21"/>
                    </w:rPr>
                    <w:t>≤0.2</w:t>
                  </w:r>
                </w:p>
              </w:tc>
              <w:tc>
                <w:tcPr>
                  <w:tcW w:w="1607" w:type="dxa"/>
                  <w:vMerge w:val="continue"/>
                  <w:tcBorders>
                    <w:tl2br w:val="nil"/>
                    <w:tr2bl w:val="nil"/>
                  </w:tcBorders>
                  <w:vAlign w:val="center"/>
                </w:tcPr>
                <w:p w14:paraId="480A9F0B">
                  <w:pPr>
                    <w:spacing w:line="240" w:lineRule="auto"/>
                    <w:ind w:firstLine="0" w:firstLineChars="0"/>
                    <w:jc w:val="center"/>
                    <w:rPr>
                      <w:sz w:val="21"/>
                      <w:szCs w:val="21"/>
                    </w:rPr>
                  </w:pPr>
                </w:p>
              </w:tc>
            </w:tr>
            <w:tr w14:paraId="5CAD4E4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4" w:type="dxa"/>
                  <w:tcBorders>
                    <w:tl2br w:val="nil"/>
                    <w:tr2bl w:val="nil"/>
                  </w:tcBorders>
                  <w:vAlign w:val="center"/>
                </w:tcPr>
                <w:p w14:paraId="20524E6A">
                  <w:pPr>
                    <w:spacing w:line="240" w:lineRule="auto"/>
                    <w:ind w:firstLine="0" w:firstLineChars="0"/>
                    <w:jc w:val="center"/>
                    <w:rPr>
                      <w:sz w:val="21"/>
                      <w:szCs w:val="21"/>
                    </w:rPr>
                  </w:pPr>
                  <w:r>
                    <w:rPr>
                      <w:rFonts w:hint="eastAsia"/>
                      <w:sz w:val="21"/>
                      <w:szCs w:val="21"/>
                    </w:rPr>
                    <w:t>粪大肠菌群</w:t>
                  </w:r>
                </w:p>
              </w:tc>
              <w:tc>
                <w:tcPr>
                  <w:tcW w:w="2112" w:type="dxa"/>
                  <w:tcBorders>
                    <w:tl2br w:val="nil"/>
                    <w:tr2bl w:val="nil"/>
                  </w:tcBorders>
                  <w:vAlign w:val="center"/>
                </w:tcPr>
                <w:p w14:paraId="10970038">
                  <w:pPr>
                    <w:spacing w:line="240" w:lineRule="auto"/>
                    <w:ind w:firstLine="0" w:firstLineChars="0"/>
                    <w:jc w:val="center"/>
                    <w:rPr>
                      <w:sz w:val="21"/>
                      <w:szCs w:val="21"/>
                    </w:rPr>
                  </w:pPr>
                  <w:r>
                    <w:rPr>
                      <w:rFonts w:hint="eastAsia"/>
                      <w:sz w:val="21"/>
                      <w:szCs w:val="21"/>
                    </w:rPr>
                    <w:t>≤10000</w:t>
                  </w:r>
                </w:p>
              </w:tc>
              <w:tc>
                <w:tcPr>
                  <w:tcW w:w="1966" w:type="dxa"/>
                  <w:tcBorders>
                    <w:tl2br w:val="nil"/>
                    <w:tr2bl w:val="nil"/>
                  </w:tcBorders>
                  <w:vAlign w:val="center"/>
                </w:tcPr>
                <w:p w14:paraId="0BF0114E">
                  <w:pPr>
                    <w:spacing w:line="240" w:lineRule="auto"/>
                    <w:ind w:firstLine="0" w:firstLineChars="0"/>
                    <w:jc w:val="center"/>
                    <w:rPr>
                      <w:sz w:val="21"/>
                      <w:szCs w:val="21"/>
                    </w:rPr>
                  </w:pPr>
                  <w:r>
                    <w:rPr>
                      <w:rFonts w:hint="eastAsia"/>
                      <w:sz w:val="21"/>
                      <w:szCs w:val="21"/>
                    </w:rPr>
                    <w:t>≤2000</w:t>
                  </w:r>
                </w:p>
              </w:tc>
              <w:tc>
                <w:tcPr>
                  <w:tcW w:w="1607" w:type="dxa"/>
                  <w:tcBorders>
                    <w:tl2br w:val="nil"/>
                    <w:tr2bl w:val="nil"/>
                  </w:tcBorders>
                  <w:vAlign w:val="center"/>
                </w:tcPr>
                <w:p w14:paraId="13D49037">
                  <w:pPr>
                    <w:spacing w:line="240" w:lineRule="auto"/>
                    <w:ind w:firstLine="0" w:firstLineChars="0"/>
                    <w:jc w:val="center"/>
                    <w:rPr>
                      <w:sz w:val="21"/>
                      <w:szCs w:val="21"/>
                    </w:rPr>
                  </w:pPr>
                  <w:r>
                    <w:rPr>
                      <w:spacing w:val="1"/>
                      <w:sz w:val="20"/>
                      <w:szCs w:val="20"/>
                    </w:rPr>
                    <w:t>（个</w:t>
                  </w:r>
                  <w:r>
                    <w:rPr>
                      <w:rFonts w:eastAsia="Times New Roman"/>
                      <w:spacing w:val="1"/>
                      <w:sz w:val="20"/>
                      <w:szCs w:val="20"/>
                    </w:rPr>
                    <w:t>/L</w:t>
                  </w:r>
                  <w:r>
                    <w:rPr>
                      <w:rFonts w:hint="eastAsia"/>
                      <w:spacing w:val="1"/>
                      <w:sz w:val="20"/>
                      <w:szCs w:val="20"/>
                    </w:rPr>
                    <w:t>）</w:t>
                  </w:r>
                </w:p>
              </w:tc>
            </w:tr>
          </w:tbl>
          <w:p w14:paraId="7FA0810F">
            <w:pPr>
              <w:ind w:firstLine="482"/>
              <w:rPr>
                <w:b/>
                <w:bCs/>
              </w:rPr>
            </w:pPr>
            <w:r>
              <w:rPr>
                <w:rFonts w:hint="eastAsia"/>
                <w:b/>
                <w:bCs/>
              </w:rPr>
              <w:t>3、声环境</w:t>
            </w:r>
          </w:p>
          <w:p w14:paraId="4B840E0A">
            <w:pPr>
              <w:ind w:firstLine="480"/>
            </w:pPr>
            <w:r>
              <w:t>城市区域声环境：执行《声环境质量标准》（GB3096-2008）中2类声环境功能区标准。</w:t>
            </w:r>
          </w:p>
          <w:p w14:paraId="241B7D8F">
            <w:pPr>
              <w:ind w:firstLine="480"/>
            </w:pPr>
            <w:r>
              <w:rPr>
                <w:rFonts w:hint="eastAsia"/>
              </w:rPr>
              <w:t>根据《巴中市城区噪声功能区调整划分方案》，城市主干道、次干道道路两侧35m内执行《声环境质量标准》（GB3096-2008）、中4a类声环境功能区标准；35m外执行《声环境质量标准》（GB3096-2008）中2类声环境功能区标准。</w:t>
            </w:r>
          </w:p>
          <w:p w14:paraId="4DACAE51">
            <w:pPr>
              <w:ind w:firstLine="0" w:firstLineChars="0"/>
              <w:jc w:val="center"/>
              <w:rPr>
                <w:b/>
                <w:bCs/>
                <w:sz w:val="21"/>
                <w:szCs w:val="21"/>
              </w:rPr>
            </w:pPr>
            <w:r>
              <w:rPr>
                <w:rFonts w:hint="eastAsia"/>
                <w:b/>
                <w:bCs/>
                <w:sz w:val="21"/>
                <w:szCs w:val="21"/>
              </w:rPr>
              <w:t>表3-11  声环境质量执行标准</w:t>
            </w:r>
          </w:p>
          <w:tbl>
            <w:tblPr>
              <w:tblStyle w:val="32"/>
              <w:tblW w:w="8268"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2644"/>
              <w:gridCol w:w="3010"/>
              <w:gridCol w:w="2614"/>
            </w:tblGrid>
            <w:tr w14:paraId="065228D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320" w:hRule="atLeast"/>
                <w:jc w:val="center"/>
              </w:trPr>
              <w:tc>
                <w:tcPr>
                  <w:tcW w:w="2644" w:type="dxa"/>
                  <w:vMerge w:val="restart"/>
                  <w:tcBorders>
                    <w:tl2br w:val="nil"/>
                    <w:tr2bl w:val="nil"/>
                  </w:tcBorders>
                  <w:vAlign w:val="center"/>
                </w:tcPr>
                <w:p w14:paraId="74A82B52">
                  <w:pPr>
                    <w:spacing w:line="240" w:lineRule="auto"/>
                    <w:ind w:firstLine="0" w:firstLineChars="0"/>
                    <w:jc w:val="center"/>
                    <w:rPr>
                      <w:b/>
                      <w:bCs/>
                      <w:sz w:val="21"/>
                      <w:szCs w:val="21"/>
                    </w:rPr>
                  </w:pPr>
                  <w:r>
                    <w:rPr>
                      <w:rFonts w:hint="eastAsia"/>
                      <w:b/>
                      <w:bCs/>
                      <w:sz w:val="21"/>
                      <w:szCs w:val="21"/>
                    </w:rPr>
                    <w:t>标准类型</w:t>
                  </w:r>
                </w:p>
              </w:tc>
              <w:tc>
                <w:tcPr>
                  <w:tcW w:w="5624" w:type="dxa"/>
                  <w:gridSpan w:val="2"/>
                  <w:tcBorders>
                    <w:tl2br w:val="nil"/>
                    <w:tr2bl w:val="nil"/>
                  </w:tcBorders>
                  <w:vAlign w:val="center"/>
                </w:tcPr>
                <w:p w14:paraId="7292D715">
                  <w:pPr>
                    <w:spacing w:line="240" w:lineRule="auto"/>
                    <w:ind w:firstLine="0" w:firstLineChars="0"/>
                    <w:jc w:val="center"/>
                    <w:rPr>
                      <w:b/>
                      <w:bCs/>
                      <w:sz w:val="21"/>
                      <w:szCs w:val="21"/>
                    </w:rPr>
                  </w:pPr>
                  <w:r>
                    <w:rPr>
                      <w:rFonts w:hint="eastAsia"/>
                      <w:b/>
                      <w:bCs/>
                      <w:sz w:val="21"/>
                      <w:szCs w:val="21"/>
                    </w:rPr>
                    <w:t>标准值准   Leq：dB（A）</w:t>
                  </w:r>
                </w:p>
              </w:tc>
            </w:tr>
            <w:tr w14:paraId="18F009B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6" w:hRule="atLeast"/>
                <w:jc w:val="center"/>
              </w:trPr>
              <w:tc>
                <w:tcPr>
                  <w:tcW w:w="2644" w:type="dxa"/>
                  <w:vMerge w:val="continue"/>
                  <w:tcBorders>
                    <w:tl2br w:val="nil"/>
                    <w:tr2bl w:val="nil"/>
                  </w:tcBorders>
                  <w:vAlign w:val="center"/>
                </w:tcPr>
                <w:p w14:paraId="18F62683">
                  <w:pPr>
                    <w:spacing w:line="240" w:lineRule="auto"/>
                    <w:ind w:firstLine="0" w:firstLineChars="0"/>
                    <w:jc w:val="center"/>
                    <w:rPr>
                      <w:sz w:val="21"/>
                      <w:szCs w:val="21"/>
                    </w:rPr>
                  </w:pPr>
                </w:p>
              </w:tc>
              <w:tc>
                <w:tcPr>
                  <w:tcW w:w="3010" w:type="dxa"/>
                  <w:tcBorders>
                    <w:tl2br w:val="nil"/>
                    <w:tr2bl w:val="nil"/>
                  </w:tcBorders>
                  <w:vAlign w:val="center"/>
                </w:tcPr>
                <w:p w14:paraId="363037F9">
                  <w:pPr>
                    <w:spacing w:line="240" w:lineRule="auto"/>
                    <w:ind w:firstLine="0" w:firstLineChars="0"/>
                    <w:jc w:val="center"/>
                    <w:rPr>
                      <w:sz w:val="21"/>
                      <w:szCs w:val="21"/>
                    </w:rPr>
                  </w:pPr>
                  <w:r>
                    <w:rPr>
                      <w:rFonts w:hint="eastAsia"/>
                      <w:sz w:val="21"/>
                      <w:szCs w:val="21"/>
                    </w:rPr>
                    <w:t>昼间</w:t>
                  </w:r>
                </w:p>
              </w:tc>
              <w:tc>
                <w:tcPr>
                  <w:tcW w:w="2614" w:type="dxa"/>
                  <w:tcBorders>
                    <w:tl2br w:val="nil"/>
                    <w:tr2bl w:val="nil"/>
                  </w:tcBorders>
                  <w:vAlign w:val="center"/>
                </w:tcPr>
                <w:p w14:paraId="72E010C3">
                  <w:pPr>
                    <w:spacing w:line="240" w:lineRule="auto"/>
                    <w:ind w:firstLine="0" w:firstLineChars="0"/>
                    <w:jc w:val="center"/>
                    <w:rPr>
                      <w:sz w:val="21"/>
                      <w:szCs w:val="21"/>
                    </w:rPr>
                  </w:pPr>
                  <w:r>
                    <w:rPr>
                      <w:rFonts w:hint="eastAsia"/>
                      <w:sz w:val="21"/>
                      <w:szCs w:val="21"/>
                    </w:rPr>
                    <w:t>夜间</w:t>
                  </w:r>
                </w:p>
              </w:tc>
            </w:tr>
            <w:tr w14:paraId="7A76B01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6" w:hRule="atLeast"/>
                <w:jc w:val="center"/>
              </w:trPr>
              <w:tc>
                <w:tcPr>
                  <w:tcW w:w="2644" w:type="dxa"/>
                  <w:tcBorders>
                    <w:tl2br w:val="nil"/>
                    <w:tr2bl w:val="nil"/>
                  </w:tcBorders>
                  <w:vAlign w:val="center"/>
                </w:tcPr>
                <w:p w14:paraId="4BB19B81">
                  <w:pPr>
                    <w:spacing w:line="240" w:lineRule="auto"/>
                    <w:ind w:firstLine="0" w:firstLineChars="0"/>
                    <w:jc w:val="center"/>
                    <w:rPr>
                      <w:sz w:val="21"/>
                      <w:szCs w:val="21"/>
                    </w:rPr>
                  </w:pPr>
                  <w:r>
                    <w:rPr>
                      <w:rFonts w:hint="eastAsia"/>
                      <w:sz w:val="21"/>
                      <w:szCs w:val="21"/>
                    </w:rPr>
                    <w:t>2类</w:t>
                  </w:r>
                </w:p>
              </w:tc>
              <w:tc>
                <w:tcPr>
                  <w:tcW w:w="3010" w:type="dxa"/>
                  <w:tcBorders>
                    <w:tl2br w:val="nil"/>
                    <w:tr2bl w:val="nil"/>
                  </w:tcBorders>
                  <w:vAlign w:val="center"/>
                </w:tcPr>
                <w:p w14:paraId="77A77E86">
                  <w:pPr>
                    <w:spacing w:line="240" w:lineRule="auto"/>
                    <w:ind w:firstLine="0" w:firstLineChars="0"/>
                    <w:jc w:val="center"/>
                    <w:rPr>
                      <w:sz w:val="21"/>
                      <w:szCs w:val="21"/>
                    </w:rPr>
                  </w:pPr>
                  <w:r>
                    <w:rPr>
                      <w:rFonts w:hint="eastAsia"/>
                      <w:sz w:val="21"/>
                      <w:szCs w:val="21"/>
                    </w:rPr>
                    <w:t>60</w:t>
                  </w:r>
                </w:p>
              </w:tc>
              <w:tc>
                <w:tcPr>
                  <w:tcW w:w="2614" w:type="dxa"/>
                  <w:tcBorders>
                    <w:tl2br w:val="nil"/>
                    <w:tr2bl w:val="nil"/>
                  </w:tcBorders>
                  <w:vAlign w:val="center"/>
                </w:tcPr>
                <w:p w14:paraId="6FADD2A3">
                  <w:pPr>
                    <w:spacing w:line="240" w:lineRule="auto"/>
                    <w:ind w:firstLine="0" w:firstLineChars="0"/>
                    <w:jc w:val="center"/>
                    <w:rPr>
                      <w:sz w:val="21"/>
                      <w:szCs w:val="21"/>
                    </w:rPr>
                  </w:pPr>
                  <w:r>
                    <w:rPr>
                      <w:rFonts w:hint="eastAsia"/>
                      <w:sz w:val="21"/>
                      <w:szCs w:val="21"/>
                    </w:rPr>
                    <w:t>50</w:t>
                  </w:r>
                </w:p>
              </w:tc>
            </w:tr>
            <w:tr w14:paraId="71EC61F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2644" w:type="dxa"/>
                  <w:tcBorders>
                    <w:tl2br w:val="nil"/>
                    <w:tr2bl w:val="nil"/>
                  </w:tcBorders>
                  <w:vAlign w:val="center"/>
                </w:tcPr>
                <w:p w14:paraId="364DA24B">
                  <w:pPr>
                    <w:spacing w:line="240" w:lineRule="auto"/>
                    <w:ind w:firstLine="0" w:firstLineChars="0"/>
                    <w:jc w:val="center"/>
                    <w:rPr>
                      <w:sz w:val="21"/>
                      <w:szCs w:val="21"/>
                    </w:rPr>
                  </w:pPr>
                  <w:r>
                    <w:rPr>
                      <w:rFonts w:hint="eastAsia"/>
                      <w:sz w:val="21"/>
                      <w:szCs w:val="21"/>
                    </w:rPr>
                    <w:t>4a类</w:t>
                  </w:r>
                </w:p>
              </w:tc>
              <w:tc>
                <w:tcPr>
                  <w:tcW w:w="3010" w:type="dxa"/>
                  <w:tcBorders>
                    <w:tl2br w:val="nil"/>
                    <w:tr2bl w:val="nil"/>
                  </w:tcBorders>
                  <w:vAlign w:val="center"/>
                </w:tcPr>
                <w:p w14:paraId="5B57E58B">
                  <w:pPr>
                    <w:spacing w:line="240" w:lineRule="auto"/>
                    <w:ind w:firstLine="0" w:firstLineChars="0"/>
                    <w:jc w:val="center"/>
                    <w:rPr>
                      <w:sz w:val="21"/>
                      <w:szCs w:val="21"/>
                    </w:rPr>
                  </w:pPr>
                  <w:r>
                    <w:rPr>
                      <w:rFonts w:hint="eastAsia"/>
                      <w:sz w:val="21"/>
                      <w:szCs w:val="21"/>
                    </w:rPr>
                    <w:t>70</w:t>
                  </w:r>
                </w:p>
              </w:tc>
              <w:tc>
                <w:tcPr>
                  <w:tcW w:w="2614" w:type="dxa"/>
                  <w:tcBorders>
                    <w:tl2br w:val="nil"/>
                    <w:tr2bl w:val="nil"/>
                  </w:tcBorders>
                  <w:vAlign w:val="center"/>
                </w:tcPr>
                <w:p w14:paraId="560DFE94">
                  <w:pPr>
                    <w:spacing w:line="240" w:lineRule="auto"/>
                    <w:ind w:firstLine="0" w:firstLineChars="0"/>
                    <w:jc w:val="center"/>
                    <w:rPr>
                      <w:sz w:val="21"/>
                      <w:szCs w:val="21"/>
                    </w:rPr>
                  </w:pPr>
                  <w:r>
                    <w:rPr>
                      <w:rFonts w:hint="eastAsia"/>
                      <w:sz w:val="21"/>
                      <w:szCs w:val="21"/>
                    </w:rPr>
                    <w:t>55</w:t>
                  </w:r>
                </w:p>
              </w:tc>
            </w:tr>
          </w:tbl>
          <w:p w14:paraId="1477E1CF">
            <w:pPr>
              <w:ind w:firstLine="0" w:firstLineChars="0"/>
              <w:rPr>
                <w:b/>
                <w:bCs/>
              </w:rPr>
            </w:pPr>
            <w:r>
              <w:rPr>
                <w:rFonts w:hint="eastAsia"/>
                <w:b/>
                <w:bCs/>
              </w:rPr>
              <w:t>二、污染物排放标准</w:t>
            </w:r>
          </w:p>
          <w:p w14:paraId="561E6CFB">
            <w:pPr>
              <w:ind w:firstLine="482"/>
            </w:pPr>
            <w:r>
              <w:rPr>
                <w:rFonts w:hint="eastAsia"/>
                <w:b/>
                <w:bCs/>
              </w:rPr>
              <w:t>1、废气</w:t>
            </w:r>
          </w:p>
          <w:p w14:paraId="6847CE85">
            <w:pPr>
              <w:ind w:firstLine="480"/>
            </w:pPr>
            <w:r>
              <w:rPr>
                <w:rFonts w:hint="eastAsia"/>
              </w:rPr>
              <w:t>施工期执行《四川省施工场地扬尘排放标准》（DB512682-2020）中排放限值，本项目施工期执行其中表1</w:t>
            </w:r>
            <w:r>
              <w:rPr>
                <w:rFonts w:hint="eastAsia"/>
                <w:lang w:val="en-US" w:eastAsia="zh-CN"/>
              </w:rPr>
              <w:t>巴中市</w:t>
            </w:r>
            <w:r>
              <w:rPr>
                <w:rFonts w:hint="eastAsia"/>
              </w:rPr>
              <w:t>的扬尘排放限值，其他大气污染物执行《大气污染物综合排放标准》（GB16297- 1996）中限值要求。</w:t>
            </w:r>
          </w:p>
          <w:p w14:paraId="25CAAF64">
            <w:pPr>
              <w:ind w:firstLine="422"/>
              <w:jc w:val="center"/>
              <w:rPr>
                <w:b/>
                <w:bCs/>
                <w:sz w:val="21"/>
                <w:szCs w:val="21"/>
              </w:rPr>
            </w:pPr>
            <w:r>
              <w:rPr>
                <w:rFonts w:hint="eastAsia"/>
                <w:b/>
                <w:bCs/>
                <w:sz w:val="21"/>
                <w:szCs w:val="21"/>
              </w:rPr>
              <w:t>表3-11  施工场地扬尘排放限值</w:t>
            </w:r>
          </w:p>
          <w:tbl>
            <w:tblPr>
              <w:tblStyle w:val="32"/>
              <w:tblW w:w="8146"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144"/>
              <w:gridCol w:w="1301"/>
              <w:gridCol w:w="2776"/>
              <w:gridCol w:w="2925"/>
            </w:tblGrid>
            <w:tr w14:paraId="476F264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320" w:hRule="atLeast"/>
                <w:jc w:val="center"/>
              </w:trPr>
              <w:tc>
                <w:tcPr>
                  <w:tcW w:w="1144" w:type="dxa"/>
                  <w:tcBorders>
                    <w:tl2br w:val="nil"/>
                    <w:tr2bl w:val="nil"/>
                  </w:tcBorders>
                  <w:vAlign w:val="center"/>
                </w:tcPr>
                <w:p w14:paraId="6BB75875">
                  <w:pPr>
                    <w:spacing w:line="240" w:lineRule="auto"/>
                    <w:ind w:firstLine="0" w:firstLineChars="0"/>
                    <w:jc w:val="center"/>
                    <w:rPr>
                      <w:b/>
                      <w:bCs/>
                      <w:sz w:val="21"/>
                      <w:szCs w:val="21"/>
                    </w:rPr>
                  </w:pPr>
                  <w:r>
                    <w:rPr>
                      <w:rFonts w:hint="eastAsia"/>
                      <w:b/>
                      <w:bCs/>
                      <w:sz w:val="21"/>
                      <w:szCs w:val="21"/>
                    </w:rPr>
                    <w:t>监测项目</w:t>
                  </w:r>
                </w:p>
              </w:tc>
              <w:tc>
                <w:tcPr>
                  <w:tcW w:w="1301" w:type="dxa"/>
                  <w:tcBorders>
                    <w:tl2br w:val="nil"/>
                    <w:tr2bl w:val="nil"/>
                  </w:tcBorders>
                  <w:vAlign w:val="center"/>
                </w:tcPr>
                <w:p w14:paraId="73C96521">
                  <w:pPr>
                    <w:spacing w:line="240" w:lineRule="auto"/>
                    <w:ind w:firstLine="0" w:firstLineChars="0"/>
                    <w:jc w:val="center"/>
                    <w:rPr>
                      <w:b/>
                      <w:bCs/>
                      <w:sz w:val="21"/>
                      <w:szCs w:val="21"/>
                    </w:rPr>
                  </w:pPr>
                  <w:r>
                    <w:rPr>
                      <w:rFonts w:hint="eastAsia"/>
                      <w:b/>
                      <w:bCs/>
                      <w:sz w:val="21"/>
                      <w:szCs w:val="21"/>
                    </w:rPr>
                    <w:t>区域</w:t>
                  </w:r>
                </w:p>
              </w:tc>
              <w:tc>
                <w:tcPr>
                  <w:tcW w:w="2776" w:type="dxa"/>
                  <w:tcBorders>
                    <w:tl2br w:val="nil"/>
                    <w:tr2bl w:val="nil"/>
                  </w:tcBorders>
                  <w:vAlign w:val="center"/>
                </w:tcPr>
                <w:p w14:paraId="1039A119">
                  <w:pPr>
                    <w:spacing w:line="240" w:lineRule="auto"/>
                    <w:ind w:firstLine="0" w:firstLineChars="0"/>
                    <w:jc w:val="center"/>
                    <w:rPr>
                      <w:b/>
                      <w:bCs/>
                      <w:sz w:val="21"/>
                      <w:szCs w:val="21"/>
                    </w:rPr>
                  </w:pPr>
                  <w:r>
                    <w:rPr>
                      <w:rFonts w:hint="eastAsia"/>
                      <w:b/>
                      <w:bCs/>
                      <w:sz w:val="21"/>
                      <w:szCs w:val="21"/>
                    </w:rPr>
                    <w:t>施工阶段</w:t>
                  </w:r>
                </w:p>
              </w:tc>
              <w:tc>
                <w:tcPr>
                  <w:tcW w:w="2925" w:type="dxa"/>
                  <w:tcBorders>
                    <w:tl2br w:val="nil"/>
                    <w:tr2bl w:val="nil"/>
                  </w:tcBorders>
                  <w:vAlign w:val="center"/>
                </w:tcPr>
                <w:p w14:paraId="0DE5E42C">
                  <w:pPr>
                    <w:spacing w:line="240" w:lineRule="auto"/>
                    <w:ind w:firstLine="0" w:firstLineChars="0"/>
                    <w:jc w:val="center"/>
                    <w:rPr>
                      <w:b/>
                      <w:bCs/>
                      <w:sz w:val="21"/>
                      <w:szCs w:val="21"/>
                    </w:rPr>
                  </w:pPr>
                  <w:r>
                    <w:rPr>
                      <w:rFonts w:hint="eastAsia"/>
                      <w:b/>
                      <w:bCs/>
                      <w:sz w:val="21"/>
                      <w:szCs w:val="21"/>
                    </w:rPr>
                    <w:t>监测点排放限值（μg/m</w:t>
                  </w:r>
                  <w:r>
                    <w:rPr>
                      <w:rFonts w:hint="eastAsia"/>
                      <w:b/>
                      <w:bCs/>
                      <w:sz w:val="21"/>
                      <w:szCs w:val="21"/>
                      <w:vertAlign w:val="superscript"/>
                    </w:rPr>
                    <w:t>3</w:t>
                  </w:r>
                  <w:r>
                    <w:rPr>
                      <w:rFonts w:hint="eastAsia"/>
                      <w:b/>
                      <w:bCs/>
                      <w:sz w:val="21"/>
                      <w:szCs w:val="21"/>
                    </w:rPr>
                    <w:t>）</w:t>
                  </w:r>
                </w:p>
              </w:tc>
            </w:tr>
            <w:tr w14:paraId="2EE7659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7" w:hRule="atLeast"/>
                <w:jc w:val="center"/>
              </w:trPr>
              <w:tc>
                <w:tcPr>
                  <w:tcW w:w="1144" w:type="dxa"/>
                  <w:vMerge w:val="restart"/>
                  <w:tcBorders>
                    <w:tl2br w:val="nil"/>
                    <w:tr2bl w:val="nil"/>
                  </w:tcBorders>
                  <w:vAlign w:val="center"/>
                </w:tcPr>
                <w:p w14:paraId="0E1C57C6">
                  <w:pPr>
                    <w:spacing w:line="240" w:lineRule="auto"/>
                    <w:ind w:firstLine="0" w:firstLineChars="0"/>
                    <w:jc w:val="center"/>
                    <w:rPr>
                      <w:sz w:val="21"/>
                      <w:szCs w:val="21"/>
                    </w:rPr>
                  </w:pPr>
                  <w:r>
                    <w:rPr>
                      <w:rFonts w:hint="eastAsia"/>
                      <w:sz w:val="21"/>
                      <w:szCs w:val="21"/>
                    </w:rPr>
                    <w:t>总悬浮颗粒物（TSP）</w:t>
                  </w:r>
                </w:p>
              </w:tc>
              <w:tc>
                <w:tcPr>
                  <w:tcW w:w="1301" w:type="dxa"/>
                  <w:vMerge w:val="restart"/>
                  <w:tcBorders>
                    <w:tl2br w:val="nil"/>
                    <w:tr2bl w:val="nil"/>
                  </w:tcBorders>
                  <w:vAlign w:val="center"/>
                </w:tcPr>
                <w:p w14:paraId="70600292">
                  <w:pPr>
                    <w:spacing w:line="240" w:lineRule="auto"/>
                    <w:ind w:firstLine="0" w:firstLineChars="0"/>
                    <w:jc w:val="center"/>
                    <w:rPr>
                      <w:sz w:val="21"/>
                      <w:szCs w:val="21"/>
                    </w:rPr>
                  </w:pPr>
                  <w:r>
                    <w:rPr>
                      <w:rFonts w:hint="eastAsia"/>
                      <w:sz w:val="21"/>
                      <w:szCs w:val="21"/>
                    </w:rPr>
                    <w:t>巴中市</w:t>
                  </w:r>
                </w:p>
              </w:tc>
              <w:tc>
                <w:tcPr>
                  <w:tcW w:w="2776" w:type="dxa"/>
                  <w:tcBorders>
                    <w:tl2br w:val="nil"/>
                    <w:tr2bl w:val="nil"/>
                  </w:tcBorders>
                  <w:vAlign w:val="center"/>
                </w:tcPr>
                <w:p w14:paraId="2E4F8B5C">
                  <w:pPr>
                    <w:spacing w:line="240" w:lineRule="auto"/>
                    <w:ind w:firstLine="0" w:firstLineChars="0"/>
                    <w:jc w:val="center"/>
                    <w:rPr>
                      <w:sz w:val="21"/>
                      <w:szCs w:val="21"/>
                    </w:rPr>
                  </w:pPr>
                  <w:r>
                    <w:rPr>
                      <w:rFonts w:hint="eastAsia"/>
                      <w:sz w:val="21"/>
                      <w:szCs w:val="21"/>
                    </w:rPr>
                    <w:t>拆除工程/土方开挖/土方回填阶段</w:t>
                  </w:r>
                </w:p>
              </w:tc>
              <w:tc>
                <w:tcPr>
                  <w:tcW w:w="2925" w:type="dxa"/>
                  <w:tcBorders>
                    <w:tl2br w:val="nil"/>
                    <w:tr2bl w:val="nil"/>
                  </w:tcBorders>
                  <w:vAlign w:val="center"/>
                </w:tcPr>
                <w:p w14:paraId="3CA206B0">
                  <w:pPr>
                    <w:spacing w:line="240" w:lineRule="auto"/>
                    <w:ind w:firstLine="0" w:firstLineChars="0"/>
                    <w:jc w:val="center"/>
                    <w:rPr>
                      <w:sz w:val="21"/>
                      <w:szCs w:val="21"/>
                    </w:rPr>
                  </w:pPr>
                  <w:r>
                    <w:rPr>
                      <w:rFonts w:hint="eastAsia"/>
                      <w:sz w:val="21"/>
                      <w:szCs w:val="21"/>
                    </w:rPr>
                    <w:t>600</w:t>
                  </w:r>
                </w:p>
              </w:tc>
            </w:tr>
            <w:tr w14:paraId="167997F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1144" w:type="dxa"/>
                  <w:vMerge w:val="continue"/>
                  <w:tcBorders>
                    <w:tl2br w:val="nil"/>
                    <w:tr2bl w:val="nil"/>
                  </w:tcBorders>
                  <w:vAlign w:val="center"/>
                </w:tcPr>
                <w:p w14:paraId="7E31B2B6">
                  <w:pPr>
                    <w:spacing w:line="240" w:lineRule="auto"/>
                    <w:ind w:firstLine="0" w:firstLineChars="0"/>
                    <w:jc w:val="center"/>
                    <w:rPr>
                      <w:sz w:val="21"/>
                      <w:szCs w:val="21"/>
                    </w:rPr>
                  </w:pPr>
                </w:p>
              </w:tc>
              <w:tc>
                <w:tcPr>
                  <w:tcW w:w="1301" w:type="dxa"/>
                  <w:vMerge w:val="continue"/>
                  <w:tcBorders>
                    <w:tl2br w:val="nil"/>
                    <w:tr2bl w:val="nil"/>
                  </w:tcBorders>
                  <w:vAlign w:val="center"/>
                </w:tcPr>
                <w:p w14:paraId="53A1F44A">
                  <w:pPr>
                    <w:spacing w:line="240" w:lineRule="auto"/>
                    <w:ind w:firstLine="0" w:firstLineChars="0"/>
                    <w:jc w:val="center"/>
                    <w:rPr>
                      <w:sz w:val="21"/>
                      <w:szCs w:val="21"/>
                    </w:rPr>
                  </w:pPr>
                </w:p>
              </w:tc>
              <w:tc>
                <w:tcPr>
                  <w:tcW w:w="2776" w:type="dxa"/>
                  <w:tcBorders>
                    <w:tl2br w:val="nil"/>
                    <w:tr2bl w:val="nil"/>
                  </w:tcBorders>
                  <w:vAlign w:val="center"/>
                </w:tcPr>
                <w:p w14:paraId="0725A49C">
                  <w:pPr>
                    <w:spacing w:line="240" w:lineRule="auto"/>
                    <w:ind w:firstLine="0" w:firstLineChars="0"/>
                    <w:jc w:val="center"/>
                    <w:rPr>
                      <w:sz w:val="21"/>
                      <w:szCs w:val="21"/>
                    </w:rPr>
                  </w:pPr>
                  <w:r>
                    <w:rPr>
                      <w:rFonts w:hint="eastAsia"/>
                      <w:sz w:val="21"/>
                      <w:szCs w:val="21"/>
                    </w:rPr>
                    <w:t>其他工程阶段</w:t>
                  </w:r>
                </w:p>
              </w:tc>
              <w:tc>
                <w:tcPr>
                  <w:tcW w:w="2925" w:type="dxa"/>
                  <w:tcBorders>
                    <w:tl2br w:val="nil"/>
                    <w:tr2bl w:val="nil"/>
                  </w:tcBorders>
                  <w:vAlign w:val="center"/>
                </w:tcPr>
                <w:p w14:paraId="4A28B376">
                  <w:pPr>
                    <w:spacing w:line="240" w:lineRule="auto"/>
                    <w:ind w:firstLine="0" w:firstLineChars="0"/>
                    <w:jc w:val="center"/>
                    <w:rPr>
                      <w:sz w:val="21"/>
                      <w:szCs w:val="21"/>
                    </w:rPr>
                  </w:pPr>
                  <w:r>
                    <w:rPr>
                      <w:rFonts w:hint="eastAsia"/>
                      <w:sz w:val="21"/>
                      <w:szCs w:val="21"/>
                    </w:rPr>
                    <w:t>250</w:t>
                  </w:r>
                </w:p>
              </w:tc>
            </w:tr>
          </w:tbl>
          <w:p w14:paraId="51C71633">
            <w:pPr>
              <w:ind w:firstLine="422"/>
              <w:jc w:val="center"/>
              <w:rPr>
                <w:b/>
                <w:bCs/>
                <w:sz w:val="21"/>
                <w:szCs w:val="21"/>
              </w:rPr>
            </w:pPr>
            <w:r>
              <w:rPr>
                <w:rFonts w:hint="eastAsia"/>
                <w:b/>
                <w:bCs/>
                <w:sz w:val="21"/>
                <w:szCs w:val="21"/>
              </w:rPr>
              <w:t>表3-11  大气污染物综合排放标准 单位：mg/m</w:t>
            </w:r>
            <w:r>
              <w:rPr>
                <w:rFonts w:hint="eastAsia"/>
                <w:b/>
                <w:bCs/>
                <w:sz w:val="21"/>
                <w:szCs w:val="21"/>
                <w:vertAlign w:val="superscript"/>
              </w:rPr>
              <w:t>3</w:t>
            </w:r>
          </w:p>
          <w:tbl>
            <w:tblPr>
              <w:tblStyle w:val="32"/>
              <w:tblW w:w="8140"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2046"/>
              <w:gridCol w:w="3443"/>
              <w:gridCol w:w="2651"/>
            </w:tblGrid>
            <w:tr w14:paraId="2F65AB4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27" w:hRule="atLeast"/>
                <w:jc w:val="center"/>
              </w:trPr>
              <w:tc>
                <w:tcPr>
                  <w:tcW w:w="2046" w:type="dxa"/>
                  <w:tcBorders>
                    <w:tl2br w:val="nil"/>
                    <w:tr2bl w:val="nil"/>
                  </w:tcBorders>
                  <w:vAlign w:val="center"/>
                </w:tcPr>
                <w:p w14:paraId="5DAB82F5">
                  <w:pPr>
                    <w:spacing w:line="240" w:lineRule="auto"/>
                    <w:ind w:firstLine="0" w:firstLineChars="0"/>
                    <w:jc w:val="center"/>
                    <w:rPr>
                      <w:b/>
                      <w:bCs/>
                      <w:sz w:val="21"/>
                      <w:szCs w:val="21"/>
                    </w:rPr>
                  </w:pPr>
                  <w:r>
                    <w:rPr>
                      <w:rFonts w:hint="eastAsia"/>
                      <w:b/>
                      <w:bCs/>
                      <w:sz w:val="21"/>
                      <w:szCs w:val="21"/>
                    </w:rPr>
                    <w:t>污染物项目</w:t>
                  </w:r>
                </w:p>
              </w:tc>
              <w:tc>
                <w:tcPr>
                  <w:tcW w:w="3443" w:type="dxa"/>
                  <w:tcBorders>
                    <w:tl2br w:val="nil"/>
                    <w:tr2bl w:val="nil"/>
                  </w:tcBorders>
                  <w:vAlign w:val="center"/>
                </w:tcPr>
                <w:p w14:paraId="17CBE871">
                  <w:pPr>
                    <w:spacing w:line="240" w:lineRule="auto"/>
                    <w:ind w:firstLine="0" w:firstLineChars="0"/>
                    <w:jc w:val="center"/>
                    <w:rPr>
                      <w:b/>
                      <w:bCs/>
                      <w:sz w:val="21"/>
                      <w:szCs w:val="21"/>
                    </w:rPr>
                  </w:pPr>
                  <w:r>
                    <w:rPr>
                      <w:rFonts w:hint="eastAsia"/>
                      <w:b/>
                      <w:bCs/>
                      <w:sz w:val="21"/>
                      <w:szCs w:val="21"/>
                    </w:rPr>
                    <w:t>排放浓度限值</w:t>
                  </w:r>
                </w:p>
              </w:tc>
              <w:tc>
                <w:tcPr>
                  <w:tcW w:w="2651" w:type="dxa"/>
                  <w:tcBorders>
                    <w:tl2br w:val="nil"/>
                    <w:tr2bl w:val="nil"/>
                  </w:tcBorders>
                  <w:vAlign w:val="center"/>
                </w:tcPr>
                <w:p w14:paraId="04A0FF10">
                  <w:pPr>
                    <w:spacing w:line="240" w:lineRule="auto"/>
                    <w:ind w:firstLine="0" w:firstLineChars="0"/>
                    <w:jc w:val="center"/>
                    <w:rPr>
                      <w:b/>
                      <w:bCs/>
                      <w:sz w:val="21"/>
                      <w:szCs w:val="21"/>
                    </w:rPr>
                  </w:pPr>
                  <w:r>
                    <w:rPr>
                      <w:rFonts w:hint="eastAsia"/>
                      <w:b/>
                      <w:bCs/>
                      <w:sz w:val="21"/>
                      <w:szCs w:val="21"/>
                    </w:rPr>
                    <w:t>无组织排放监控位置</w:t>
                  </w:r>
                </w:p>
              </w:tc>
            </w:tr>
            <w:tr w14:paraId="7EC5D45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2046" w:type="dxa"/>
                  <w:tcBorders>
                    <w:tl2br w:val="nil"/>
                    <w:tr2bl w:val="nil"/>
                  </w:tcBorders>
                  <w:vAlign w:val="center"/>
                </w:tcPr>
                <w:p w14:paraId="6A68B1E9">
                  <w:pPr>
                    <w:spacing w:line="240" w:lineRule="auto"/>
                    <w:ind w:firstLine="0" w:firstLineChars="0"/>
                    <w:jc w:val="center"/>
                    <w:rPr>
                      <w:sz w:val="21"/>
                      <w:szCs w:val="21"/>
                    </w:rPr>
                  </w:pPr>
                  <w:r>
                    <w:rPr>
                      <w:rFonts w:hint="eastAsia"/>
                      <w:sz w:val="21"/>
                      <w:szCs w:val="21"/>
                    </w:rPr>
                    <w:t>颗粒物</w:t>
                  </w:r>
                </w:p>
              </w:tc>
              <w:tc>
                <w:tcPr>
                  <w:tcW w:w="3443" w:type="dxa"/>
                  <w:tcBorders>
                    <w:tl2br w:val="nil"/>
                    <w:tr2bl w:val="nil"/>
                  </w:tcBorders>
                  <w:vAlign w:val="center"/>
                </w:tcPr>
                <w:p w14:paraId="4D7E1FCB">
                  <w:pPr>
                    <w:spacing w:line="240" w:lineRule="auto"/>
                    <w:ind w:firstLine="0" w:firstLineChars="0"/>
                    <w:jc w:val="center"/>
                    <w:rPr>
                      <w:sz w:val="21"/>
                      <w:szCs w:val="21"/>
                    </w:rPr>
                  </w:pPr>
                  <w:r>
                    <w:rPr>
                      <w:rFonts w:hint="eastAsia"/>
                      <w:sz w:val="21"/>
                      <w:szCs w:val="21"/>
                    </w:rPr>
                    <w:t>1.0</w:t>
                  </w:r>
                </w:p>
              </w:tc>
              <w:tc>
                <w:tcPr>
                  <w:tcW w:w="2651" w:type="dxa"/>
                  <w:vMerge w:val="restart"/>
                  <w:tcBorders>
                    <w:tl2br w:val="nil"/>
                    <w:tr2bl w:val="nil"/>
                  </w:tcBorders>
                  <w:vAlign w:val="center"/>
                </w:tcPr>
                <w:p w14:paraId="7A969B04">
                  <w:pPr>
                    <w:spacing w:line="240" w:lineRule="auto"/>
                    <w:ind w:firstLine="0" w:firstLineChars="0"/>
                    <w:jc w:val="center"/>
                    <w:rPr>
                      <w:sz w:val="21"/>
                      <w:szCs w:val="21"/>
                    </w:rPr>
                  </w:pPr>
                  <w:r>
                    <w:rPr>
                      <w:rFonts w:hint="eastAsia"/>
                      <w:sz w:val="21"/>
                      <w:szCs w:val="21"/>
                    </w:rPr>
                    <w:t>周界外浓度最高点</w:t>
                  </w:r>
                </w:p>
              </w:tc>
            </w:tr>
            <w:tr w14:paraId="538544B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2046" w:type="dxa"/>
                  <w:tcBorders>
                    <w:tl2br w:val="nil"/>
                    <w:tr2bl w:val="nil"/>
                  </w:tcBorders>
                  <w:vAlign w:val="center"/>
                </w:tcPr>
                <w:p w14:paraId="067049C1">
                  <w:pPr>
                    <w:spacing w:line="240" w:lineRule="auto"/>
                    <w:ind w:firstLine="0" w:firstLineChars="0"/>
                    <w:jc w:val="center"/>
                    <w:rPr>
                      <w:sz w:val="21"/>
                      <w:szCs w:val="21"/>
                    </w:rPr>
                  </w:pPr>
                  <w:r>
                    <w:rPr>
                      <w:rFonts w:hint="eastAsia"/>
                      <w:sz w:val="21"/>
                      <w:szCs w:val="21"/>
                    </w:rPr>
                    <w:t>SO</w:t>
                  </w:r>
                  <w:r>
                    <w:rPr>
                      <w:rFonts w:hint="eastAsia"/>
                      <w:sz w:val="21"/>
                      <w:szCs w:val="21"/>
                      <w:vertAlign w:val="subscript"/>
                    </w:rPr>
                    <w:t>2</w:t>
                  </w:r>
                </w:p>
              </w:tc>
              <w:tc>
                <w:tcPr>
                  <w:tcW w:w="3443" w:type="dxa"/>
                  <w:tcBorders>
                    <w:tl2br w:val="nil"/>
                    <w:tr2bl w:val="nil"/>
                  </w:tcBorders>
                  <w:vAlign w:val="center"/>
                </w:tcPr>
                <w:p w14:paraId="1CCA287D">
                  <w:pPr>
                    <w:spacing w:line="240" w:lineRule="auto"/>
                    <w:ind w:firstLine="0" w:firstLineChars="0"/>
                    <w:jc w:val="center"/>
                    <w:rPr>
                      <w:sz w:val="21"/>
                      <w:szCs w:val="21"/>
                    </w:rPr>
                  </w:pPr>
                  <w:r>
                    <w:rPr>
                      <w:rFonts w:hint="eastAsia"/>
                      <w:sz w:val="21"/>
                      <w:szCs w:val="21"/>
                    </w:rPr>
                    <w:t>0.4</w:t>
                  </w:r>
                </w:p>
              </w:tc>
              <w:tc>
                <w:tcPr>
                  <w:tcW w:w="2651" w:type="dxa"/>
                  <w:vMerge w:val="continue"/>
                  <w:tcBorders>
                    <w:tl2br w:val="nil"/>
                    <w:tr2bl w:val="nil"/>
                  </w:tcBorders>
                  <w:vAlign w:val="center"/>
                </w:tcPr>
                <w:p w14:paraId="127FFFCE">
                  <w:pPr>
                    <w:spacing w:line="240" w:lineRule="auto"/>
                    <w:ind w:firstLine="0" w:firstLineChars="0"/>
                    <w:jc w:val="center"/>
                    <w:rPr>
                      <w:sz w:val="21"/>
                      <w:szCs w:val="21"/>
                    </w:rPr>
                  </w:pPr>
                </w:p>
              </w:tc>
            </w:tr>
            <w:tr w14:paraId="0FF5530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5" w:hRule="atLeast"/>
                <w:jc w:val="center"/>
              </w:trPr>
              <w:tc>
                <w:tcPr>
                  <w:tcW w:w="2046" w:type="dxa"/>
                  <w:tcBorders>
                    <w:tl2br w:val="nil"/>
                    <w:tr2bl w:val="nil"/>
                  </w:tcBorders>
                  <w:vAlign w:val="center"/>
                </w:tcPr>
                <w:p w14:paraId="3AAB3518">
                  <w:pPr>
                    <w:spacing w:line="240" w:lineRule="auto"/>
                    <w:ind w:firstLine="0" w:firstLineChars="0"/>
                    <w:jc w:val="center"/>
                    <w:rPr>
                      <w:sz w:val="21"/>
                      <w:szCs w:val="21"/>
                    </w:rPr>
                  </w:pPr>
                  <w:r>
                    <w:rPr>
                      <w:rFonts w:hint="eastAsia"/>
                      <w:sz w:val="21"/>
                      <w:szCs w:val="21"/>
                    </w:rPr>
                    <w:t>NOx</w:t>
                  </w:r>
                </w:p>
              </w:tc>
              <w:tc>
                <w:tcPr>
                  <w:tcW w:w="3443" w:type="dxa"/>
                  <w:tcBorders>
                    <w:tl2br w:val="nil"/>
                    <w:tr2bl w:val="nil"/>
                  </w:tcBorders>
                  <w:vAlign w:val="center"/>
                </w:tcPr>
                <w:p w14:paraId="5520AE29">
                  <w:pPr>
                    <w:spacing w:line="240" w:lineRule="auto"/>
                    <w:ind w:firstLine="0" w:firstLineChars="0"/>
                    <w:jc w:val="center"/>
                    <w:rPr>
                      <w:sz w:val="21"/>
                      <w:szCs w:val="21"/>
                    </w:rPr>
                  </w:pPr>
                  <w:r>
                    <w:rPr>
                      <w:rFonts w:hint="eastAsia"/>
                      <w:sz w:val="21"/>
                      <w:szCs w:val="21"/>
                    </w:rPr>
                    <w:t>0.2</w:t>
                  </w:r>
                </w:p>
              </w:tc>
              <w:tc>
                <w:tcPr>
                  <w:tcW w:w="2651" w:type="dxa"/>
                  <w:vMerge w:val="continue"/>
                  <w:tcBorders>
                    <w:tl2br w:val="nil"/>
                    <w:tr2bl w:val="nil"/>
                  </w:tcBorders>
                  <w:vAlign w:val="center"/>
                </w:tcPr>
                <w:p w14:paraId="61C64FEE">
                  <w:pPr>
                    <w:spacing w:line="240" w:lineRule="auto"/>
                    <w:ind w:firstLine="0" w:firstLineChars="0"/>
                    <w:jc w:val="center"/>
                    <w:rPr>
                      <w:sz w:val="21"/>
                      <w:szCs w:val="21"/>
                    </w:rPr>
                  </w:pPr>
                </w:p>
              </w:tc>
            </w:tr>
          </w:tbl>
          <w:p w14:paraId="517EE6CB">
            <w:pPr>
              <w:ind w:firstLine="482"/>
            </w:pPr>
            <w:r>
              <w:rPr>
                <w:rFonts w:hint="eastAsia"/>
                <w:b/>
                <w:bCs/>
              </w:rPr>
              <w:t>2、废水</w:t>
            </w:r>
          </w:p>
          <w:p w14:paraId="0C68DCE1">
            <w:pPr>
              <w:ind w:firstLine="480"/>
            </w:pPr>
            <w:r>
              <w:rPr>
                <w:rFonts w:hint="eastAsia"/>
              </w:rPr>
              <w:t>本项目施工期主要为生活废水、围堰内废水、基坑排水、施工废水以及试压废水。项目租用居民房屋作为生活办公区，生活污水经市政管网收集后进入城市污水处理厂处理。围堰内废水用水泵抽至沉淀池，经沉淀后上清液回用于洒水抑尘、工程养护、车辆冲洗等，多余上清液引至围堰外河道排放；施工废水经隔油沉淀池处理后全部用于车辆冲洗、洒水降尘等，不外排；基坑废水经沉淀处理后全部回用于施工场地洒水降尘和工程回用水，严禁直接排入河道；试压废水经沉淀池处理后全部回用于施工区域洒水降尘回用不外排。</w:t>
            </w:r>
          </w:p>
          <w:p w14:paraId="2DEE6321">
            <w:pPr>
              <w:ind w:firstLine="482"/>
            </w:pPr>
            <w:r>
              <w:rPr>
                <w:rFonts w:hint="eastAsia"/>
                <w:b/>
                <w:bCs/>
              </w:rPr>
              <w:t>3、噪声</w:t>
            </w:r>
          </w:p>
          <w:p w14:paraId="2D5DB617">
            <w:pPr>
              <w:ind w:firstLine="480"/>
            </w:pPr>
            <w:r>
              <w:rPr>
                <w:rFonts w:hint="eastAsia"/>
              </w:rPr>
              <w:t>（1）施工期</w:t>
            </w:r>
          </w:p>
          <w:p w14:paraId="7F1F66AB">
            <w:pPr>
              <w:ind w:firstLine="480"/>
            </w:pPr>
            <w:r>
              <w:rPr>
                <w:rFonts w:hint="eastAsia"/>
              </w:rPr>
              <w:t>施工场地噪声执行《建筑施工噪声排放标准》（GB12523-2025）中限值标准。具体标准值见下表。</w:t>
            </w:r>
          </w:p>
          <w:p w14:paraId="72B2B7E9">
            <w:pPr>
              <w:ind w:firstLine="422"/>
              <w:jc w:val="center"/>
              <w:rPr>
                <w:b/>
                <w:bCs/>
                <w:sz w:val="21"/>
                <w:szCs w:val="21"/>
              </w:rPr>
            </w:pPr>
            <w:r>
              <w:rPr>
                <w:rFonts w:hint="eastAsia"/>
                <w:b/>
                <w:bCs/>
                <w:sz w:val="21"/>
                <w:szCs w:val="21"/>
              </w:rPr>
              <w:t>表3-11  建筑施工噪声排放标准   单位：dB（A）</w:t>
            </w:r>
          </w:p>
          <w:tbl>
            <w:tblPr>
              <w:tblStyle w:val="19"/>
              <w:tblW w:w="4829"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25"/>
              <w:gridCol w:w="2073"/>
              <w:gridCol w:w="2081"/>
            </w:tblGrid>
            <w:tr w14:paraId="52B5DE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2491" w:type="pct"/>
                  <w:vMerge w:val="restart"/>
                  <w:tcBorders>
                    <w:tl2br w:val="nil"/>
                    <w:tr2bl w:val="nil"/>
                  </w:tcBorders>
                  <w:tcMar>
                    <w:left w:w="11" w:type="dxa"/>
                    <w:right w:w="11" w:type="dxa"/>
                  </w:tcMar>
                  <w:vAlign w:val="center"/>
                </w:tcPr>
                <w:p w14:paraId="4D466758">
                  <w:pPr>
                    <w:pStyle w:val="34"/>
                    <w:autoSpaceDE w:val="0"/>
                    <w:autoSpaceDN w:val="0"/>
                    <w:ind w:firstLine="420"/>
                    <w:rPr>
                      <w:b/>
                      <w:color w:val="auto"/>
                    </w:rPr>
                  </w:pPr>
                  <w:r>
                    <w:rPr>
                      <w:color w:val="auto"/>
                    </w:rPr>
                    <w:t>《</w:t>
                  </w:r>
                  <w:r>
                    <w:rPr>
                      <w:rFonts w:hint="eastAsia"/>
                      <w:color w:val="auto"/>
                    </w:rPr>
                    <w:t>建筑施工噪声排放标准</w:t>
                  </w:r>
                  <w:r>
                    <w:rPr>
                      <w:color w:val="auto"/>
                    </w:rPr>
                    <w:t>》（</w:t>
                  </w:r>
                  <w:r>
                    <w:rPr>
                      <w:rFonts w:hint="eastAsia"/>
                      <w:color w:val="auto"/>
                    </w:rPr>
                    <w:t>GB12523-2025</w:t>
                  </w:r>
                  <w:r>
                    <w:rPr>
                      <w:color w:val="auto"/>
                    </w:rPr>
                    <w:t>）</w:t>
                  </w:r>
                </w:p>
              </w:tc>
              <w:tc>
                <w:tcPr>
                  <w:tcW w:w="2508" w:type="pct"/>
                  <w:gridSpan w:val="2"/>
                  <w:tcBorders>
                    <w:tl2br w:val="nil"/>
                    <w:tr2bl w:val="nil"/>
                  </w:tcBorders>
                  <w:tcMar>
                    <w:left w:w="11" w:type="dxa"/>
                    <w:right w:w="11" w:type="dxa"/>
                  </w:tcMar>
                  <w:vAlign w:val="center"/>
                </w:tcPr>
                <w:p w14:paraId="20F784FF">
                  <w:pPr>
                    <w:pStyle w:val="34"/>
                    <w:autoSpaceDE w:val="0"/>
                    <w:autoSpaceDN w:val="0"/>
                    <w:ind w:firstLine="420"/>
                    <w:rPr>
                      <w:b/>
                      <w:color w:val="auto"/>
                    </w:rPr>
                  </w:pPr>
                  <w:r>
                    <w:rPr>
                      <w:color w:val="auto"/>
                    </w:rPr>
                    <w:t>噪声限值</w:t>
                  </w:r>
                </w:p>
              </w:tc>
            </w:tr>
            <w:tr w14:paraId="263590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2491" w:type="pct"/>
                  <w:vMerge w:val="continue"/>
                  <w:tcBorders>
                    <w:tl2br w:val="nil"/>
                    <w:tr2bl w:val="nil"/>
                  </w:tcBorders>
                  <w:tcMar>
                    <w:left w:w="11" w:type="dxa"/>
                    <w:right w:w="11" w:type="dxa"/>
                  </w:tcMar>
                  <w:vAlign w:val="center"/>
                </w:tcPr>
                <w:p w14:paraId="26366EC9">
                  <w:pPr>
                    <w:pStyle w:val="34"/>
                    <w:autoSpaceDE w:val="0"/>
                    <w:autoSpaceDN w:val="0"/>
                    <w:ind w:firstLine="420"/>
                    <w:rPr>
                      <w:color w:val="auto"/>
                    </w:rPr>
                  </w:pPr>
                </w:p>
              </w:tc>
              <w:tc>
                <w:tcPr>
                  <w:tcW w:w="1252" w:type="pct"/>
                  <w:tcBorders>
                    <w:tl2br w:val="nil"/>
                    <w:tr2bl w:val="nil"/>
                  </w:tcBorders>
                  <w:tcMar>
                    <w:left w:w="11" w:type="dxa"/>
                    <w:right w:w="11" w:type="dxa"/>
                  </w:tcMar>
                  <w:vAlign w:val="center"/>
                </w:tcPr>
                <w:p w14:paraId="1144E772">
                  <w:pPr>
                    <w:pStyle w:val="34"/>
                    <w:autoSpaceDE w:val="0"/>
                    <w:autoSpaceDN w:val="0"/>
                    <w:ind w:firstLine="420"/>
                    <w:rPr>
                      <w:b/>
                      <w:color w:val="auto"/>
                    </w:rPr>
                  </w:pPr>
                  <w:r>
                    <w:rPr>
                      <w:color w:val="auto"/>
                    </w:rPr>
                    <w:t>昼间</w:t>
                  </w:r>
                </w:p>
              </w:tc>
              <w:tc>
                <w:tcPr>
                  <w:tcW w:w="1255" w:type="pct"/>
                  <w:tcBorders>
                    <w:tl2br w:val="nil"/>
                    <w:tr2bl w:val="nil"/>
                  </w:tcBorders>
                  <w:tcMar>
                    <w:left w:w="11" w:type="dxa"/>
                    <w:right w:w="11" w:type="dxa"/>
                  </w:tcMar>
                  <w:vAlign w:val="center"/>
                </w:tcPr>
                <w:p w14:paraId="1B6FAC66">
                  <w:pPr>
                    <w:pStyle w:val="34"/>
                    <w:autoSpaceDE w:val="0"/>
                    <w:autoSpaceDN w:val="0"/>
                    <w:ind w:firstLine="420"/>
                    <w:rPr>
                      <w:b/>
                      <w:color w:val="auto"/>
                    </w:rPr>
                  </w:pPr>
                  <w:r>
                    <w:rPr>
                      <w:color w:val="auto"/>
                    </w:rPr>
                    <w:t>夜间</w:t>
                  </w:r>
                </w:p>
              </w:tc>
            </w:tr>
            <w:tr w14:paraId="2CE6CC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491" w:type="pct"/>
                  <w:vMerge w:val="continue"/>
                  <w:tcBorders>
                    <w:tl2br w:val="nil"/>
                    <w:tr2bl w:val="nil"/>
                  </w:tcBorders>
                  <w:tcMar>
                    <w:left w:w="11" w:type="dxa"/>
                    <w:right w:w="11" w:type="dxa"/>
                  </w:tcMar>
                  <w:vAlign w:val="center"/>
                </w:tcPr>
                <w:p w14:paraId="6FF2C1D2">
                  <w:pPr>
                    <w:pStyle w:val="34"/>
                    <w:autoSpaceDE w:val="0"/>
                    <w:autoSpaceDN w:val="0"/>
                    <w:ind w:firstLine="420"/>
                    <w:rPr>
                      <w:color w:val="auto"/>
                    </w:rPr>
                  </w:pPr>
                </w:p>
              </w:tc>
              <w:tc>
                <w:tcPr>
                  <w:tcW w:w="1252" w:type="pct"/>
                  <w:tcBorders>
                    <w:tl2br w:val="nil"/>
                    <w:tr2bl w:val="nil"/>
                  </w:tcBorders>
                  <w:tcMar>
                    <w:left w:w="11" w:type="dxa"/>
                    <w:right w:w="11" w:type="dxa"/>
                  </w:tcMar>
                  <w:vAlign w:val="center"/>
                </w:tcPr>
                <w:p w14:paraId="4F028AC7">
                  <w:pPr>
                    <w:pStyle w:val="34"/>
                    <w:autoSpaceDE w:val="0"/>
                    <w:autoSpaceDN w:val="0"/>
                    <w:ind w:firstLine="420"/>
                    <w:rPr>
                      <w:b/>
                      <w:color w:val="auto"/>
                    </w:rPr>
                  </w:pPr>
                  <w:r>
                    <w:rPr>
                      <w:color w:val="auto"/>
                    </w:rPr>
                    <w:t>70</w:t>
                  </w:r>
                </w:p>
              </w:tc>
              <w:tc>
                <w:tcPr>
                  <w:tcW w:w="1255" w:type="pct"/>
                  <w:tcBorders>
                    <w:tl2br w:val="nil"/>
                    <w:tr2bl w:val="nil"/>
                  </w:tcBorders>
                  <w:tcMar>
                    <w:left w:w="11" w:type="dxa"/>
                    <w:right w:w="11" w:type="dxa"/>
                  </w:tcMar>
                  <w:vAlign w:val="center"/>
                </w:tcPr>
                <w:p w14:paraId="2F92C6F1">
                  <w:pPr>
                    <w:pStyle w:val="34"/>
                    <w:autoSpaceDE w:val="0"/>
                    <w:autoSpaceDN w:val="0"/>
                    <w:ind w:firstLine="420"/>
                    <w:rPr>
                      <w:b/>
                      <w:color w:val="auto"/>
                    </w:rPr>
                  </w:pPr>
                  <w:r>
                    <w:rPr>
                      <w:color w:val="auto"/>
                    </w:rPr>
                    <w:t>55</w:t>
                  </w:r>
                </w:p>
              </w:tc>
            </w:tr>
            <w:tr w14:paraId="367DBE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5000" w:type="pct"/>
                  <w:gridSpan w:val="3"/>
                  <w:tcBorders>
                    <w:tl2br w:val="nil"/>
                    <w:tr2bl w:val="nil"/>
                  </w:tcBorders>
                  <w:tcMar>
                    <w:left w:w="11" w:type="dxa"/>
                    <w:right w:w="11" w:type="dxa"/>
                  </w:tcMar>
                  <w:vAlign w:val="center"/>
                </w:tcPr>
                <w:p w14:paraId="2D3DCA11">
                  <w:pPr>
                    <w:pStyle w:val="34"/>
                    <w:autoSpaceDE w:val="0"/>
                    <w:autoSpaceDN w:val="0"/>
                    <w:ind w:firstLine="420"/>
                    <w:rPr>
                      <w:color w:val="auto"/>
                    </w:rPr>
                  </w:pPr>
                  <w:r>
                    <w:rPr>
                      <w:rFonts w:hint="eastAsia"/>
                      <w:color w:val="auto"/>
                    </w:rPr>
                    <w:t>注：夜间场界噪声最大声级超过表中限值的幅度不得高于15 dB（A）。</w:t>
                  </w:r>
                </w:p>
              </w:tc>
            </w:tr>
          </w:tbl>
          <w:p w14:paraId="110D8309">
            <w:pPr>
              <w:ind w:firstLine="480"/>
            </w:pPr>
            <w:r>
              <w:rPr>
                <w:rFonts w:hint="eastAsia"/>
              </w:rPr>
              <w:t>（2）运营期</w:t>
            </w:r>
          </w:p>
          <w:p w14:paraId="4E68AB76">
            <w:pPr>
              <w:ind w:firstLine="480"/>
            </w:pPr>
            <w:r>
              <w:rPr>
                <w:rFonts w:hint="eastAsia"/>
              </w:rPr>
              <w:t>执行《社会生活环境噪声排放标准》（GB22337-2008）2类标准限值。具体标准限值详见下表。</w:t>
            </w:r>
          </w:p>
          <w:p w14:paraId="2086BABE">
            <w:pPr>
              <w:pStyle w:val="26"/>
              <w:ind w:firstLine="422"/>
            </w:pPr>
            <w:r>
              <w:rPr>
                <w:rFonts w:hint="eastAsia"/>
              </w:rPr>
              <w:t>表1.4-10  社会生活环境噪声排放标准（GB22337-2008）   单位：dB(A)</w:t>
            </w:r>
          </w:p>
          <w:tbl>
            <w:tblPr>
              <w:tblStyle w:val="32"/>
              <w:tblW w:w="8069"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690"/>
              <w:gridCol w:w="2368"/>
              <w:gridCol w:w="2011"/>
            </w:tblGrid>
            <w:tr w14:paraId="27BA7DB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3690" w:type="dxa"/>
                  <w:vMerge w:val="restart"/>
                  <w:tcBorders>
                    <w:tl2br w:val="nil"/>
                    <w:tr2bl w:val="nil"/>
                  </w:tcBorders>
                  <w:vAlign w:val="center"/>
                </w:tcPr>
                <w:p w14:paraId="6BB6BB93">
                  <w:pPr>
                    <w:pStyle w:val="34"/>
                    <w:autoSpaceDE w:val="0"/>
                    <w:autoSpaceDN w:val="0"/>
                    <w:ind w:firstLine="422"/>
                    <w:rPr>
                      <w:b/>
                      <w:bCs/>
                      <w:color w:val="auto"/>
                    </w:rPr>
                  </w:pPr>
                  <w:r>
                    <w:rPr>
                      <w:b/>
                      <w:bCs/>
                      <w:color w:val="auto"/>
                    </w:rPr>
                    <w:t>各</w:t>
                  </w:r>
                  <w:r>
                    <w:rPr>
                      <w:rFonts w:hint="eastAsia"/>
                      <w:b/>
                      <w:bCs/>
                      <w:color w:val="auto"/>
                    </w:rPr>
                    <w:t>边界</w:t>
                  </w:r>
                  <w:r>
                    <w:rPr>
                      <w:b/>
                      <w:bCs/>
                      <w:color w:val="auto"/>
                    </w:rPr>
                    <w:t>噪声标准类别</w:t>
                  </w:r>
                </w:p>
              </w:tc>
              <w:tc>
                <w:tcPr>
                  <w:tcW w:w="4379" w:type="dxa"/>
                  <w:gridSpan w:val="2"/>
                  <w:tcBorders>
                    <w:tl2br w:val="nil"/>
                    <w:tr2bl w:val="nil"/>
                  </w:tcBorders>
                  <w:vAlign w:val="center"/>
                </w:tcPr>
                <w:p w14:paraId="5C46EB37">
                  <w:pPr>
                    <w:pStyle w:val="34"/>
                    <w:autoSpaceDE w:val="0"/>
                    <w:autoSpaceDN w:val="0"/>
                    <w:ind w:firstLine="422"/>
                    <w:rPr>
                      <w:b/>
                      <w:bCs/>
                      <w:color w:val="auto"/>
                    </w:rPr>
                  </w:pPr>
                  <w:r>
                    <w:rPr>
                      <w:b/>
                      <w:bCs/>
                      <w:color w:val="auto"/>
                    </w:rPr>
                    <w:t>标准限值</w:t>
                  </w:r>
                </w:p>
              </w:tc>
            </w:tr>
            <w:tr w14:paraId="6A6B341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3690" w:type="dxa"/>
                  <w:vMerge w:val="continue"/>
                  <w:tcBorders>
                    <w:tl2br w:val="nil"/>
                    <w:tr2bl w:val="nil"/>
                  </w:tcBorders>
                  <w:vAlign w:val="center"/>
                </w:tcPr>
                <w:p w14:paraId="38759C10">
                  <w:pPr>
                    <w:pStyle w:val="34"/>
                    <w:autoSpaceDE w:val="0"/>
                    <w:autoSpaceDN w:val="0"/>
                    <w:ind w:firstLine="422"/>
                    <w:rPr>
                      <w:b/>
                      <w:bCs/>
                      <w:color w:val="auto"/>
                    </w:rPr>
                  </w:pPr>
                </w:p>
              </w:tc>
              <w:tc>
                <w:tcPr>
                  <w:tcW w:w="2368" w:type="dxa"/>
                  <w:tcBorders>
                    <w:tl2br w:val="nil"/>
                    <w:tr2bl w:val="nil"/>
                  </w:tcBorders>
                  <w:vAlign w:val="center"/>
                </w:tcPr>
                <w:p w14:paraId="12F0EFB3">
                  <w:pPr>
                    <w:pStyle w:val="34"/>
                    <w:autoSpaceDE w:val="0"/>
                    <w:autoSpaceDN w:val="0"/>
                    <w:ind w:firstLine="422"/>
                    <w:rPr>
                      <w:b/>
                      <w:bCs/>
                      <w:color w:val="auto"/>
                    </w:rPr>
                  </w:pPr>
                  <w:r>
                    <w:rPr>
                      <w:b/>
                      <w:bCs/>
                      <w:color w:val="auto"/>
                    </w:rPr>
                    <w:t>昼间</w:t>
                  </w:r>
                </w:p>
              </w:tc>
              <w:tc>
                <w:tcPr>
                  <w:tcW w:w="2011" w:type="dxa"/>
                  <w:tcBorders>
                    <w:tl2br w:val="nil"/>
                    <w:tr2bl w:val="nil"/>
                  </w:tcBorders>
                  <w:vAlign w:val="center"/>
                </w:tcPr>
                <w:p w14:paraId="4028705B">
                  <w:pPr>
                    <w:pStyle w:val="34"/>
                    <w:autoSpaceDE w:val="0"/>
                    <w:autoSpaceDN w:val="0"/>
                    <w:ind w:firstLine="422"/>
                    <w:rPr>
                      <w:b/>
                      <w:bCs/>
                      <w:color w:val="auto"/>
                    </w:rPr>
                  </w:pPr>
                  <w:r>
                    <w:rPr>
                      <w:b/>
                      <w:bCs/>
                      <w:color w:val="auto"/>
                    </w:rPr>
                    <w:t>夜间</w:t>
                  </w:r>
                </w:p>
              </w:tc>
            </w:tr>
            <w:tr w14:paraId="3CF543E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3690" w:type="dxa"/>
                  <w:tcBorders>
                    <w:tl2br w:val="nil"/>
                    <w:tr2bl w:val="nil"/>
                  </w:tcBorders>
                  <w:vAlign w:val="center"/>
                </w:tcPr>
                <w:p w14:paraId="2DBA38D0">
                  <w:pPr>
                    <w:pStyle w:val="34"/>
                    <w:autoSpaceDE w:val="0"/>
                    <w:autoSpaceDN w:val="0"/>
                    <w:ind w:firstLine="420"/>
                    <w:rPr>
                      <w:color w:val="auto"/>
                    </w:rPr>
                  </w:pPr>
                  <w:r>
                    <w:rPr>
                      <w:color w:val="auto"/>
                    </w:rPr>
                    <w:t>2类标准限值</w:t>
                  </w:r>
                </w:p>
              </w:tc>
              <w:tc>
                <w:tcPr>
                  <w:tcW w:w="2368" w:type="dxa"/>
                  <w:tcBorders>
                    <w:tl2br w:val="nil"/>
                    <w:tr2bl w:val="nil"/>
                  </w:tcBorders>
                  <w:vAlign w:val="center"/>
                </w:tcPr>
                <w:p w14:paraId="5C2250F6">
                  <w:pPr>
                    <w:pStyle w:val="34"/>
                    <w:autoSpaceDE w:val="0"/>
                    <w:autoSpaceDN w:val="0"/>
                    <w:ind w:firstLine="420"/>
                    <w:rPr>
                      <w:color w:val="auto"/>
                    </w:rPr>
                  </w:pPr>
                  <w:r>
                    <w:rPr>
                      <w:color w:val="auto"/>
                    </w:rPr>
                    <w:t>60</w:t>
                  </w:r>
                </w:p>
              </w:tc>
              <w:tc>
                <w:tcPr>
                  <w:tcW w:w="2011" w:type="dxa"/>
                  <w:tcBorders>
                    <w:tl2br w:val="nil"/>
                    <w:tr2bl w:val="nil"/>
                  </w:tcBorders>
                  <w:vAlign w:val="center"/>
                </w:tcPr>
                <w:p w14:paraId="2B88DF8F">
                  <w:pPr>
                    <w:pStyle w:val="34"/>
                    <w:autoSpaceDE w:val="0"/>
                    <w:autoSpaceDN w:val="0"/>
                    <w:ind w:firstLine="420"/>
                    <w:rPr>
                      <w:color w:val="auto"/>
                    </w:rPr>
                  </w:pPr>
                  <w:r>
                    <w:rPr>
                      <w:color w:val="auto"/>
                    </w:rPr>
                    <w:t>50</w:t>
                  </w:r>
                </w:p>
              </w:tc>
            </w:tr>
          </w:tbl>
          <w:p w14:paraId="283A84F4">
            <w:pPr>
              <w:ind w:firstLine="482"/>
            </w:pPr>
            <w:r>
              <w:rPr>
                <w:rFonts w:hint="eastAsia"/>
                <w:b/>
                <w:bCs/>
              </w:rPr>
              <w:t>4、固体废物</w:t>
            </w:r>
          </w:p>
          <w:p w14:paraId="680B5988">
            <w:pPr>
              <w:ind w:firstLine="480"/>
              <w:rPr>
                <w:b/>
                <w:bCs/>
              </w:rPr>
            </w:pPr>
            <w:r>
              <w:rPr>
                <w:rFonts w:hint="eastAsia"/>
              </w:rPr>
              <w:t>一般固体废弃物贮存、处置执行《一般工业固体废物贮存和填埋污染控制标准》（GB 18599-2020）；对于危险废物执行《危险废物贮存污染控制标准》（GB 18597—2023）标准要求。</w:t>
            </w:r>
          </w:p>
        </w:tc>
      </w:tr>
      <w:tr w14:paraId="4BA88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dxa"/>
            <w:vAlign w:val="center"/>
          </w:tcPr>
          <w:p w14:paraId="62203DAA">
            <w:pPr>
              <w:spacing w:line="240" w:lineRule="auto"/>
              <w:ind w:firstLine="0" w:firstLineChars="0"/>
              <w:jc w:val="center"/>
            </w:pPr>
            <w:r>
              <w:rPr>
                <w:rFonts w:hint="eastAsia"/>
              </w:rPr>
              <w:t>其他</w:t>
            </w:r>
          </w:p>
        </w:tc>
        <w:tc>
          <w:tcPr>
            <w:tcW w:w="8788" w:type="dxa"/>
          </w:tcPr>
          <w:p w14:paraId="09EA7EA0">
            <w:pPr>
              <w:ind w:firstLine="480"/>
            </w:pPr>
            <w:r>
              <w:t>本工程属于生态影响型项目，营运期基本无污染影响。因此，本项目不设置总量控制指标。</w:t>
            </w:r>
          </w:p>
          <w:p w14:paraId="040867C4">
            <w:pPr>
              <w:ind w:firstLine="480"/>
            </w:pPr>
          </w:p>
          <w:p w14:paraId="5181810D">
            <w:pPr>
              <w:ind w:firstLine="480"/>
            </w:pPr>
          </w:p>
          <w:p w14:paraId="7040A80F">
            <w:pPr>
              <w:ind w:firstLine="480"/>
            </w:pPr>
          </w:p>
          <w:p w14:paraId="7B7C4D91">
            <w:pPr>
              <w:ind w:firstLine="480"/>
            </w:pPr>
          </w:p>
          <w:p w14:paraId="320B877F">
            <w:pPr>
              <w:ind w:firstLine="480"/>
            </w:pPr>
          </w:p>
          <w:p w14:paraId="312EACD6">
            <w:pPr>
              <w:ind w:firstLine="480"/>
            </w:pPr>
          </w:p>
          <w:p w14:paraId="31B0553B">
            <w:pPr>
              <w:ind w:firstLine="480"/>
            </w:pPr>
          </w:p>
          <w:p w14:paraId="12E0A4F5">
            <w:pPr>
              <w:ind w:firstLine="480"/>
            </w:pPr>
          </w:p>
          <w:p w14:paraId="2B6379E5">
            <w:pPr>
              <w:ind w:firstLine="480"/>
            </w:pPr>
          </w:p>
          <w:p w14:paraId="14533562">
            <w:pPr>
              <w:ind w:firstLine="480"/>
            </w:pPr>
          </w:p>
          <w:p w14:paraId="70C3FEA6">
            <w:pPr>
              <w:ind w:firstLine="480"/>
            </w:pPr>
          </w:p>
          <w:p w14:paraId="06FF8585">
            <w:pPr>
              <w:ind w:firstLine="480"/>
            </w:pPr>
          </w:p>
          <w:p w14:paraId="74E09E32">
            <w:pPr>
              <w:ind w:left="0" w:leftChars="0" w:firstLine="0" w:firstLineChars="0"/>
            </w:pPr>
          </w:p>
          <w:p w14:paraId="0CFC1433">
            <w:pPr>
              <w:ind w:firstLine="480"/>
            </w:pPr>
          </w:p>
          <w:p w14:paraId="7D59F7CC">
            <w:pPr>
              <w:ind w:left="0" w:leftChars="0" w:firstLine="0" w:firstLineChars="0"/>
            </w:pPr>
          </w:p>
          <w:p w14:paraId="6AB8B945">
            <w:pPr>
              <w:ind w:firstLine="0" w:firstLineChars="0"/>
            </w:pPr>
          </w:p>
        </w:tc>
      </w:tr>
    </w:tbl>
    <w:p w14:paraId="1B568D89">
      <w:pPr>
        <w:ind w:firstLine="480"/>
        <w:sectPr>
          <w:pgSz w:w="11906" w:h="16838"/>
          <w:pgMar w:top="1800" w:right="1440" w:bottom="1800" w:left="1440" w:header="851" w:footer="992" w:gutter="0"/>
          <w:cols w:space="0" w:num="1"/>
          <w:docGrid w:type="lines" w:linePitch="312" w:charSpace="0"/>
        </w:sectPr>
      </w:pPr>
    </w:p>
    <w:p w14:paraId="62807F7C">
      <w:pPr>
        <w:pStyle w:val="16"/>
        <w:spacing w:before="0" w:beforeAutospacing="0" w:after="0" w:afterAutospacing="0"/>
        <w:ind w:firstLine="600"/>
        <w:jc w:val="center"/>
        <w:outlineLvl w:val="0"/>
        <w:rPr>
          <w:rFonts w:ascii="黑体" w:hAnsi="黑体" w:eastAsia="黑体"/>
          <w:snapToGrid w:val="0"/>
          <w:sz w:val="30"/>
          <w:szCs w:val="30"/>
        </w:rPr>
      </w:pPr>
      <w:bookmarkStart w:id="6" w:name="_Toc7640"/>
      <w:r>
        <w:rPr>
          <w:rFonts w:hint="eastAsia" w:ascii="黑体" w:hAnsi="黑体" w:eastAsia="黑体"/>
          <w:snapToGrid w:val="0"/>
          <w:sz w:val="30"/>
          <w:szCs w:val="30"/>
        </w:rPr>
        <w:t>四、生态环境影响分析</w:t>
      </w:r>
      <w:bookmarkEnd w:id="6"/>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
        <w:gridCol w:w="8771"/>
      </w:tblGrid>
      <w:tr w14:paraId="78C7D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 w:type="dxa"/>
            <w:vAlign w:val="center"/>
          </w:tcPr>
          <w:p w14:paraId="76A79328">
            <w:pPr>
              <w:spacing w:line="240" w:lineRule="auto"/>
              <w:ind w:firstLine="0" w:firstLineChars="0"/>
              <w:jc w:val="center"/>
            </w:pPr>
            <w:r>
              <w:rPr>
                <w:rFonts w:hint="eastAsia"/>
              </w:rPr>
              <w:t>施工期环境影响分析</w:t>
            </w:r>
          </w:p>
        </w:tc>
        <w:tc>
          <w:tcPr>
            <w:tcW w:w="8771" w:type="dxa"/>
          </w:tcPr>
          <w:p w14:paraId="15C560F1">
            <w:pPr>
              <w:ind w:firstLine="480"/>
            </w:pPr>
            <w:r>
              <w:rPr>
                <w:rFonts w:hint="eastAsia"/>
              </w:rPr>
              <w:t>本项目施工期环境影响主要来自于施工扬尘、施工噪声、施工人员生活污水、生活垃圾等造成的环境影响。同时，施工期还存在一定的社会环境影响。施工结束后这些影响将会随之消失。</w:t>
            </w:r>
          </w:p>
          <w:p w14:paraId="5024B752">
            <w:pPr>
              <w:ind w:firstLine="0" w:firstLineChars="0"/>
              <w:jc w:val="center"/>
              <w:rPr>
                <w:b/>
                <w:bCs/>
                <w:sz w:val="21"/>
                <w:szCs w:val="21"/>
              </w:rPr>
            </w:pPr>
            <w:r>
              <w:rPr>
                <w:rFonts w:hint="eastAsia"/>
                <w:b/>
                <w:bCs/>
                <w:sz w:val="21"/>
                <w:szCs w:val="21"/>
              </w:rPr>
              <w:t>表4-1  工程环境影响特性表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141"/>
              <w:gridCol w:w="1700"/>
              <w:gridCol w:w="2767"/>
              <w:gridCol w:w="1083"/>
              <w:gridCol w:w="1117"/>
            </w:tblGrid>
            <w:tr w14:paraId="0338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Align w:val="center"/>
                </w:tcPr>
                <w:p w14:paraId="2B99A05A">
                  <w:pPr>
                    <w:pStyle w:val="34"/>
                    <w:autoSpaceDE w:val="0"/>
                    <w:autoSpaceDN w:val="0"/>
                    <w:ind w:firstLineChars="0"/>
                    <w:rPr>
                      <w:b/>
                      <w:bCs/>
                      <w:color w:val="auto"/>
                    </w:rPr>
                  </w:pPr>
                  <w:r>
                    <w:rPr>
                      <w:rFonts w:hint="eastAsia"/>
                      <w:b/>
                      <w:bCs/>
                      <w:color w:val="auto"/>
                    </w:rPr>
                    <w:t>时期</w:t>
                  </w:r>
                </w:p>
              </w:tc>
              <w:tc>
                <w:tcPr>
                  <w:tcW w:w="1141" w:type="dxa"/>
                  <w:vAlign w:val="center"/>
                </w:tcPr>
                <w:p w14:paraId="3FA97530">
                  <w:pPr>
                    <w:pStyle w:val="34"/>
                    <w:autoSpaceDE w:val="0"/>
                    <w:autoSpaceDN w:val="0"/>
                    <w:ind w:firstLineChars="0"/>
                    <w:rPr>
                      <w:b/>
                      <w:bCs/>
                      <w:color w:val="auto"/>
                    </w:rPr>
                  </w:pPr>
                  <w:r>
                    <w:rPr>
                      <w:rFonts w:hint="eastAsia"/>
                      <w:b/>
                      <w:bCs/>
                      <w:color w:val="auto"/>
                    </w:rPr>
                    <w:t>环境要素</w:t>
                  </w:r>
                </w:p>
              </w:tc>
              <w:tc>
                <w:tcPr>
                  <w:tcW w:w="1700" w:type="dxa"/>
                  <w:vAlign w:val="center"/>
                </w:tcPr>
                <w:p w14:paraId="630179C4">
                  <w:pPr>
                    <w:pStyle w:val="34"/>
                    <w:autoSpaceDE w:val="0"/>
                    <w:autoSpaceDN w:val="0"/>
                    <w:ind w:firstLineChars="0"/>
                    <w:rPr>
                      <w:b/>
                      <w:bCs/>
                      <w:color w:val="auto"/>
                    </w:rPr>
                  </w:pPr>
                  <w:r>
                    <w:rPr>
                      <w:rFonts w:hint="eastAsia"/>
                      <w:b/>
                      <w:bCs/>
                      <w:color w:val="auto"/>
                    </w:rPr>
                    <w:t>影响因素及环节</w:t>
                  </w:r>
                </w:p>
              </w:tc>
              <w:tc>
                <w:tcPr>
                  <w:tcW w:w="2767" w:type="dxa"/>
                  <w:vAlign w:val="center"/>
                </w:tcPr>
                <w:p w14:paraId="4AA95168">
                  <w:pPr>
                    <w:pStyle w:val="34"/>
                    <w:autoSpaceDE w:val="0"/>
                    <w:autoSpaceDN w:val="0"/>
                    <w:ind w:firstLineChars="0"/>
                    <w:rPr>
                      <w:b/>
                      <w:bCs/>
                      <w:color w:val="auto"/>
                    </w:rPr>
                  </w:pPr>
                  <w:r>
                    <w:rPr>
                      <w:rFonts w:hint="eastAsia"/>
                      <w:b/>
                      <w:bCs/>
                      <w:color w:val="auto"/>
                    </w:rPr>
                    <w:t>主要污染物及影响因子</w:t>
                  </w:r>
                </w:p>
              </w:tc>
              <w:tc>
                <w:tcPr>
                  <w:tcW w:w="1083" w:type="dxa"/>
                  <w:vAlign w:val="center"/>
                </w:tcPr>
                <w:p w14:paraId="5CA4F0A0">
                  <w:pPr>
                    <w:pStyle w:val="34"/>
                    <w:autoSpaceDE w:val="0"/>
                    <w:autoSpaceDN w:val="0"/>
                    <w:ind w:firstLineChars="0"/>
                    <w:rPr>
                      <w:b/>
                      <w:bCs/>
                      <w:color w:val="auto"/>
                    </w:rPr>
                  </w:pPr>
                  <w:r>
                    <w:rPr>
                      <w:rFonts w:hint="eastAsia"/>
                      <w:b/>
                      <w:bCs/>
                      <w:color w:val="auto"/>
                    </w:rPr>
                    <w:t>影响位置</w:t>
                  </w:r>
                </w:p>
              </w:tc>
              <w:tc>
                <w:tcPr>
                  <w:tcW w:w="1117" w:type="dxa"/>
                  <w:vAlign w:val="center"/>
                </w:tcPr>
                <w:p w14:paraId="3EB00EE7">
                  <w:pPr>
                    <w:pStyle w:val="34"/>
                    <w:autoSpaceDE w:val="0"/>
                    <w:autoSpaceDN w:val="0"/>
                    <w:ind w:firstLineChars="0"/>
                    <w:rPr>
                      <w:b/>
                      <w:bCs/>
                      <w:color w:val="auto"/>
                    </w:rPr>
                  </w:pPr>
                  <w:r>
                    <w:rPr>
                      <w:rFonts w:hint="eastAsia"/>
                      <w:b/>
                      <w:bCs/>
                      <w:color w:val="auto"/>
                    </w:rPr>
                    <w:t>影响性质</w:t>
                  </w:r>
                </w:p>
              </w:tc>
            </w:tr>
            <w:tr w14:paraId="7FD1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restart"/>
                  <w:vAlign w:val="center"/>
                </w:tcPr>
                <w:p w14:paraId="2D6668D8">
                  <w:pPr>
                    <w:pStyle w:val="34"/>
                    <w:autoSpaceDE w:val="0"/>
                    <w:autoSpaceDN w:val="0"/>
                    <w:ind w:firstLineChars="0"/>
                    <w:rPr>
                      <w:color w:val="auto"/>
                    </w:rPr>
                  </w:pPr>
                  <w:r>
                    <w:rPr>
                      <w:rFonts w:hint="eastAsia"/>
                      <w:color w:val="auto"/>
                    </w:rPr>
                    <w:t>施工期</w:t>
                  </w:r>
                </w:p>
              </w:tc>
              <w:tc>
                <w:tcPr>
                  <w:tcW w:w="1141" w:type="dxa"/>
                  <w:vAlign w:val="center"/>
                </w:tcPr>
                <w:p w14:paraId="4CD10508">
                  <w:pPr>
                    <w:pStyle w:val="34"/>
                    <w:autoSpaceDE w:val="0"/>
                    <w:autoSpaceDN w:val="0"/>
                    <w:ind w:firstLineChars="0"/>
                    <w:rPr>
                      <w:color w:val="auto"/>
                    </w:rPr>
                  </w:pPr>
                  <w:r>
                    <w:rPr>
                      <w:rFonts w:hint="eastAsia"/>
                      <w:color w:val="auto"/>
                    </w:rPr>
                    <w:t>生态环境</w:t>
                  </w:r>
                </w:p>
              </w:tc>
              <w:tc>
                <w:tcPr>
                  <w:tcW w:w="1700" w:type="dxa"/>
                  <w:vAlign w:val="center"/>
                </w:tcPr>
                <w:p w14:paraId="09BAD73B">
                  <w:pPr>
                    <w:pStyle w:val="34"/>
                    <w:autoSpaceDE w:val="0"/>
                    <w:autoSpaceDN w:val="0"/>
                    <w:ind w:firstLineChars="0"/>
                    <w:rPr>
                      <w:color w:val="auto"/>
                    </w:rPr>
                  </w:pPr>
                  <w:r>
                    <w:rPr>
                      <w:rFonts w:hint="eastAsia"/>
                      <w:color w:val="auto"/>
                    </w:rPr>
                    <w:t>施工、占地（永久和临时）</w:t>
                  </w:r>
                </w:p>
              </w:tc>
              <w:tc>
                <w:tcPr>
                  <w:tcW w:w="2767" w:type="dxa"/>
                  <w:vAlign w:val="center"/>
                </w:tcPr>
                <w:p w14:paraId="5FDFA54F">
                  <w:pPr>
                    <w:pStyle w:val="34"/>
                    <w:autoSpaceDE w:val="0"/>
                    <w:autoSpaceDN w:val="0"/>
                    <w:ind w:firstLineChars="0"/>
                    <w:rPr>
                      <w:color w:val="auto"/>
                    </w:rPr>
                  </w:pPr>
                  <w:r>
                    <w:rPr>
                      <w:rFonts w:hint="eastAsia"/>
                      <w:color w:val="auto"/>
                    </w:rPr>
                    <w:t>土石方工程等引起植被破坏、土地占用、土壤侵蚀、水土流失</w:t>
                  </w:r>
                </w:p>
              </w:tc>
              <w:tc>
                <w:tcPr>
                  <w:tcW w:w="1083" w:type="dxa"/>
                  <w:vAlign w:val="center"/>
                </w:tcPr>
                <w:p w14:paraId="21D5AE5A">
                  <w:pPr>
                    <w:pStyle w:val="34"/>
                    <w:autoSpaceDE w:val="0"/>
                    <w:autoSpaceDN w:val="0"/>
                    <w:ind w:firstLineChars="0"/>
                    <w:rPr>
                      <w:color w:val="auto"/>
                    </w:rPr>
                  </w:pPr>
                  <w:r>
                    <w:rPr>
                      <w:rFonts w:hint="eastAsia"/>
                      <w:color w:val="auto"/>
                    </w:rPr>
                    <w:t>施工范围</w:t>
                  </w:r>
                </w:p>
              </w:tc>
              <w:tc>
                <w:tcPr>
                  <w:tcW w:w="1117" w:type="dxa"/>
                  <w:vAlign w:val="center"/>
                </w:tcPr>
                <w:p w14:paraId="1D8E86B1">
                  <w:pPr>
                    <w:pStyle w:val="34"/>
                    <w:autoSpaceDE w:val="0"/>
                    <w:autoSpaceDN w:val="0"/>
                    <w:ind w:firstLineChars="0"/>
                    <w:rPr>
                      <w:color w:val="auto"/>
                    </w:rPr>
                  </w:pPr>
                  <w:r>
                    <w:rPr>
                      <w:rFonts w:hint="eastAsia"/>
                      <w:color w:val="auto"/>
                    </w:rPr>
                    <w:t>短期影响</w:t>
                  </w:r>
                </w:p>
              </w:tc>
            </w:tr>
            <w:tr w14:paraId="19FD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vAlign w:val="center"/>
                </w:tcPr>
                <w:p w14:paraId="3644C5F8">
                  <w:pPr>
                    <w:pStyle w:val="34"/>
                    <w:autoSpaceDE w:val="0"/>
                    <w:autoSpaceDN w:val="0"/>
                    <w:ind w:firstLineChars="0"/>
                    <w:rPr>
                      <w:color w:val="auto"/>
                    </w:rPr>
                  </w:pPr>
                </w:p>
              </w:tc>
              <w:tc>
                <w:tcPr>
                  <w:tcW w:w="1141" w:type="dxa"/>
                  <w:vAlign w:val="center"/>
                </w:tcPr>
                <w:p w14:paraId="076B928A">
                  <w:pPr>
                    <w:pStyle w:val="34"/>
                    <w:autoSpaceDE w:val="0"/>
                    <w:autoSpaceDN w:val="0"/>
                    <w:ind w:firstLineChars="0"/>
                    <w:rPr>
                      <w:color w:val="auto"/>
                    </w:rPr>
                  </w:pPr>
                  <w:r>
                    <w:rPr>
                      <w:rFonts w:hint="eastAsia"/>
                      <w:color w:val="auto"/>
                    </w:rPr>
                    <w:t>固体废弃物</w:t>
                  </w:r>
                </w:p>
              </w:tc>
              <w:tc>
                <w:tcPr>
                  <w:tcW w:w="1700" w:type="dxa"/>
                  <w:vAlign w:val="center"/>
                </w:tcPr>
                <w:p w14:paraId="44E16AA2">
                  <w:pPr>
                    <w:pStyle w:val="34"/>
                    <w:autoSpaceDE w:val="0"/>
                    <w:autoSpaceDN w:val="0"/>
                    <w:ind w:firstLineChars="0"/>
                    <w:rPr>
                      <w:color w:val="auto"/>
                    </w:rPr>
                  </w:pPr>
                  <w:r>
                    <w:rPr>
                      <w:rFonts w:hint="eastAsia"/>
                      <w:color w:val="auto"/>
                    </w:rPr>
                    <w:t>施工废弃物</w:t>
                  </w:r>
                </w:p>
              </w:tc>
              <w:tc>
                <w:tcPr>
                  <w:tcW w:w="2767" w:type="dxa"/>
                  <w:vAlign w:val="center"/>
                </w:tcPr>
                <w:p w14:paraId="16C4B307">
                  <w:pPr>
                    <w:pStyle w:val="34"/>
                    <w:autoSpaceDE w:val="0"/>
                    <w:autoSpaceDN w:val="0"/>
                    <w:ind w:firstLineChars="0"/>
                    <w:rPr>
                      <w:color w:val="auto"/>
                    </w:rPr>
                  </w:pPr>
                  <w:r>
                    <w:rPr>
                      <w:rFonts w:hint="eastAsia"/>
                      <w:color w:val="auto"/>
                    </w:rPr>
                    <w:t>施工人员生活垃圾、建筑垃圾、隔油沉砂池浮油、弃土、沉淀池沉渣</w:t>
                  </w:r>
                </w:p>
              </w:tc>
              <w:tc>
                <w:tcPr>
                  <w:tcW w:w="1083" w:type="dxa"/>
                  <w:vAlign w:val="center"/>
                </w:tcPr>
                <w:p w14:paraId="1314D5C8">
                  <w:pPr>
                    <w:pStyle w:val="34"/>
                    <w:autoSpaceDE w:val="0"/>
                    <w:autoSpaceDN w:val="0"/>
                    <w:ind w:firstLineChars="0"/>
                    <w:rPr>
                      <w:color w:val="auto"/>
                    </w:rPr>
                  </w:pPr>
                  <w:r>
                    <w:rPr>
                      <w:rFonts w:hint="eastAsia"/>
                      <w:color w:val="auto"/>
                    </w:rPr>
                    <w:t>施工范围</w:t>
                  </w:r>
                </w:p>
              </w:tc>
              <w:tc>
                <w:tcPr>
                  <w:tcW w:w="1117" w:type="dxa"/>
                  <w:vMerge w:val="restart"/>
                  <w:vAlign w:val="center"/>
                </w:tcPr>
                <w:p w14:paraId="215A2303">
                  <w:pPr>
                    <w:pStyle w:val="34"/>
                    <w:autoSpaceDE w:val="0"/>
                    <w:autoSpaceDN w:val="0"/>
                    <w:ind w:firstLineChars="0"/>
                    <w:rPr>
                      <w:color w:val="auto"/>
                    </w:rPr>
                  </w:pPr>
                  <w:r>
                    <w:rPr>
                      <w:rFonts w:hint="eastAsia"/>
                      <w:color w:val="auto"/>
                    </w:rPr>
                    <w:t>暂时性的，与施工同步</w:t>
                  </w:r>
                </w:p>
              </w:tc>
            </w:tr>
            <w:tr w14:paraId="5B89E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vAlign w:val="center"/>
                </w:tcPr>
                <w:p w14:paraId="3FE9BEA5">
                  <w:pPr>
                    <w:pStyle w:val="34"/>
                    <w:autoSpaceDE w:val="0"/>
                    <w:autoSpaceDN w:val="0"/>
                    <w:ind w:firstLineChars="0"/>
                    <w:rPr>
                      <w:color w:val="auto"/>
                    </w:rPr>
                  </w:pPr>
                </w:p>
              </w:tc>
              <w:tc>
                <w:tcPr>
                  <w:tcW w:w="1141" w:type="dxa"/>
                  <w:vAlign w:val="center"/>
                </w:tcPr>
                <w:p w14:paraId="0543887A">
                  <w:pPr>
                    <w:pStyle w:val="34"/>
                    <w:autoSpaceDE w:val="0"/>
                    <w:autoSpaceDN w:val="0"/>
                    <w:ind w:firstLineChars="0"/>
                    <w:rPr>
                      <w:color w:val="auto"/>
                    </w:rPr>
                  </w:pPr>
                  <w:r>
                    <w:rPr>
                      <w:rFonts w:hint="eastAsia"/>
                      <w:color w:val="auto"/>
                    </w:rPr>
                    <w:t>声环境</w:t>
                  </w:r>
                </w:p>
              </w:tc>
              <w:tc>
                <w:tcPr>
                  <w:tcW w:w="1700" w:type="dxa"/>
                  <w:vAlign w:val="center"/>
                </w:tcPr>
                <w:p w14:paraId="0AD75D35">
                  <w:pPr>
                    <w:pStyle w:val="34"/>
                    <w:autoSpaceDE w:val="0"/>
                    <w:autoSpaceDN w:val="0"/>
                    <w:ind w:firstLineChars="0"/>
                    <w:rPr>
                      <w:color w:val="auto"/>
                    </w:rPr>
                  </w:pPr>
                  <w:r>
                    <w:rPr>
                      <w:rFonts w:hint="eastAsia"/>
                      <w:color w:val="auto"/>
                    </w:rPr>
                    <w:t>运输、施工机械</w:t>
                  </w:r>
                </w:p>
              </w:tc>
              <w:tc>
                <w:tcPr>
                  <w:tcW w:w="2767" w:type="dxa"/>
                  <w:vAlign w:val="center"/>
                </w:tcPr>
                <w:p w14:paraId="031F662A">
                  <w:pPr>
                    <w:pStyle w:val="34"/>
                    <w:autoSpaceDE w:val="0"/>
                    <w:autoSpaceDN w:val="0"/>
                    <w:ind w:firstLineChars="0"/>
                    <w:rPr>
                      <w:color w:val="auto"/>
                    </w:rPr>
                  </w:pPr>
                  <w:r>
                    <w:rPr>
                      <w:rFonts w:hint="eastAsia"/>
                      <w:color w:val="auto"/>
                    </w:rPr>
                    <w:t>施工噪声</w:t>
                  </w:r>
                </w:p>
              </w:tc>
              <w:tc>
                <w:tcPr>
                  <w:tcW w:w="1083" w:type="dxa"/>
                  <w:vAlign w:val="center"/>
                </w:tcPr>
                <w:p w14:paraId="669F1DAA">
                  <w:pPr>
                    <w:pStyle w:val="34"/>
                    <w:autoSpaceDE w:val="0"/>
                    <w:autoSpaceDN w:val="0"/>
                    <w:ind w:firstLineChars="0"/>
                    <w:rPr>
                      <w:color w:val="auto"/>
                    </w:rPr>
                  </w:pPr>
                  <w:r>
                    <w:rPr>
                      <w:rFonts w:hint="eastAsia"/>
                      <w:color w:val="auto"/>
                    </w:rPr>
                    <w:t>施工范围</w:t>
                  </w:r>
                </w:p>
              </w:tc>
              <w:tc>
                <w:tcPr>
                  <w:tcW w:w="1117" w:type="dxa"/>
                  <w:vMerge w:val="continue"/>
                  <w:vAlign w:val="center"/>
                </w:tcPr>
                <w:p w14:paraId="0141FCBF">
                  <w:pPr>
                    <w:pStyle w:val="34"/>
                    <w:autoSpaceDE w:val="0"/>
                    <w:autoSpaceDN w:val="0"/>
                    <w:ind w:firstLineChars="0"/>
                    <w:rPr>
                      <w:color w:val="auto"/>
                    </w:rPr>
                  </w:pPr>
                </w:p>
              </w:tc>
            </w:tr>
            <w:tr w14:paraId="0DA6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vAlign w:val="center"/>
                </w:tcPr>
                <w:p w14:paraId="5500A165">
                  <w:pPr>
                    <w:pStyle w:val="34"/>
                    <w:autoSpaceDE w:val="0"/>
                    <w:autoSpaceDN w:val="0"/>
                    <w:ind w:firstLineChars="0"/>
                    <w:rPr>
                      <w:color w:val="auto"/>
                    </w:rPr>
                  </w:pPr>
                </w:p>
              </w:tc>
              <w:tc>
                <w:tcPr>
                  <w:tcW w:w="1141" w:type="dxa"/>
                  <w:vAlign w:val="center"/>
                </w:tcPr>
                <w:p w14:paraId="143C817A">
                  <w:pPr>
                    <w:pStyle w:val="34"/>
                    <w:autoSpaceDE w:val="0"/>
                    <w:autoSpaceDN w:val="0"/>
                    <w:ind w:firstLineChars="0"/>
                    <w:rPr>
                      <w:color w:val="auto"/>
                    </w:rPr>
                  </w:pPr>
                  <w:r>
                    <w:rPr>
                      <w:rFonts w:hint="eastAsia"/>
                      <w:color w:val="auto"/>
                    </w:rPr>
                    <w:t>空气环境</w:t>
                  </w:r>
                </w:p>
              </w:tc>
              <w:tc>
                <w:tcPr>
                  <w:tcW w:w="1700" w:type="dxa"/>
                  <w:vAlign w:val="center"/>
                </w:tcPr>
                <w:p w14:paraId="703FDA5E">
                  <w:pPr>
                    <w:pStyle w:val="34"/>
                    <w:autoSpaceDE w:val="0"/>
                    <w:autoSpaceDN w:val="0"/>
                    <w:ind w:firstLineChars="0"/>
                    <w:rPr>
                      <w:color w:val="auto"/>
                    </w:rPr>
                  </w:pPr>
                  <w:r>
                    <w:rPr>
                      <w:rFonts w:hint="eastAsia"/>
                      <w:color w:val="auto"/>
                    </w:rPr>
                    <w:t>施工扬尘、施工机械燃油废气</w:t>
                  </w:r>
                </w:p>
              </w:tc>
              <w:tc>
                <w:tcPr>
                  <w:tcW w:w="2767" w:type="dxa"/>
                  <w:vAlign w:val="center"/>
                </w:tcPr>
                <w:p w14:paraId="5CA93910">
                  <w:pPr>
                    <w:pStyle w:val="34"/>
                    <w:autoSpaceDE w:val="0"/>
                    <w:autoSpaceDN w:val="0"/>
                    <w:ind w:firstLineChars="0"/>
                    <w:rPr>
                      <w:color w:val="auto"/>
                    </w:rPr>
                  </w:pPr>
                  <w:r>
                    <w:rPr>
                      <w:rFonts w:hint="eastAsia"/>
                      <w:color w:val="auto"/>
                    </w:rPr>
                    <w:t>TSP、NOx、CO和烃类</w:t>
                  </w:r>
                </w:p>
              </w:tc>
              <w:tc>
                <w:tcPr>
                  <w:tcW w:w="1083" w:type="dxa"/>
                  <w:vAlign w:val="center"/>
                </w:tcPr>
                <w:p w14:paraId="62FF10D3">
                  <w:pPr>
                    <w:pStyle w:val="34"/>
                    <w:autoSpaceDE w:val="0"/>
                    <w:autoSpaceDN w:val="0"/>
                    <w:ind w:firstLineChars="0"/>
                    <w:rPr>
                      <w:color w:val="auto"/>
                    </w:rPr>
                  </w:pPr>
                  <w:r>
                    <w:rPr>
                      <w:rFonts w:hint="eastAsia"/>
                      <w:color w:val="auto"/>
                    </w:rPr>
                    <w:t>施工范围</w:t>
                  </w:r>
                </w:p>
              </w:tc>
              <w:tc>
                <w:tcPr>
                  <w:tcW w:w="1117" w:type="dxa"/>
                  <w:vMerge w:val="continue"/>
                  <w:vAlign w:val="center"/>
                </w:tcPr>
                <w:p w14:paraId="6E354BB6">
                  <w:pPr>
                    <w:pStyle w:val="34"/>
                    <w:autoSpaceDE w:val="0"/>
                    <w:autoSpaceDN w:val="0"/>
                    <w:ind w:firstLineChars="0"/>
                    <w:rPr>
                      <w:color w:val="auto"/>
                    </w:rPr>
                  </w:pPr>
                </w:p>
              </w:tc>
            </w:tr>
            <w:tr w14:paraId="3B37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vAlign w:val="center"/>
                </w:tcPr>
                <w:p w14:paraId="4605472D">
                  <w:pPr>
                    <w:pStyle w:val="34"/>
                    <w:autoSpaceDE w:val="0"/>
                    <w:autoSpaceDN w:val="0"/>
                    <w:ind w:firstLineChars="0"/>
                    <w:rPr>
                      <w:color w:val="auto"/>
                    </w:rPr>
                  </w:pPr>
                </w:p>
              </w:tc>
              <w:tc>
                <w:tcPr>
                  <w:tcW w:w="1141" w:type="dxa"/>
                  <w:vAlign w:val="center"/>
                </w:tcPr>
                <w:p w14:paraId="53886EA6">
                  <w:pPr>
                    <w:pStyle w:val="34"/>
                    <w:autoSpaceDE w:val="0"/>
                    <w:autoSpaceDN w:val="0"/>
                    <w:ind w:firstLineChars="0"/>
                    <w:rPr>
                      <w:color w:val="auto"/>
                    </w:rPr>
                  </w:pPr>
                  <w:r>
                    <w:rPr>
                      <w:rFonts w:hint="eastAsia"/>
                      <w:color w:val="auto"/>
                    </w:rPr>
                    <w:t>水环境</w:t>
                  </w:r>
                </w:p>
              </w:tc>
              <w:tc>
                <w:tcPr>
                  <w:tcW w:w="1700" w:type="dxa"/>
                  <w:vAlign w:val="center"/>
                </w:tcPr>
                <w:p w14:paraId="3409C653">
                  <w:pPr>
                    <w:pStyle w:val="34"/>
                    <w:autoSpaceDE w:val="0"/>
                    <w:autoSpaceDN w:val="0"/>
                    <w:ind w:firstLineChars="0"/>
                    <w:rPr>
                      <w:color w:val="auto"/>
                    </w:rPr>
                  </w:pPr>
                  <w:r>
                    <w:rPr>
                      <w:rFonts w:hint="eastAsia"/>
                      <w:color w:val="auto"/>
                    </w:rPr>
                    <w:t>施工废水、生活污水</w:t>
                  </w:r>
                </w:p>
              </w:tc>
              <w:tc>
                <w:tcPr>
                  <w:tcW w:w="2767" w:type="dxa"/>
                  <w:vAlign w:val="center"/>
                </w:tcPr>
                <w:p w14:paraId="760A26D4">
                  <w:pPr>
                    <w:pStyle w:val="34"/>
                    <w:autoSpaceDE w:val="0"/>
                    <w:autoSpaceDN w:val="0"/>
                    <w:ind w:firstLineChars="0"/>
                    <w:rPr>
                      <w:color w:val="auto"/>
                    </w:rPr>
                  </w:pPr>
                  <w:r>
                    <w:rPr>
                      <w:rFonts w:hint="eastAsia"/>
                      <w:color w:val="auto"/>
                    </w:rPr>
                    <w:t>SS、CODCr、NH</w:t>
                  </w:r>
                  <w:r>
                    <w:rPr>
                      <w:rFonts w:hint="eastAsia"/>
                      <w:color w:val="auto"/>
                      <w:vertAlign w:val="subscript"/>
                    </w:rPr>
                    <w:t>3</w:t>
                  </w:r>
                  <w:r>
                    <w:rPr>
                      <w:rFonts w:hint="eastAsia"/>
                      <w:color w:val="auto"/>
                    </w:rPr>
                    <w:t>-N、石油类</w:t>
                  </w:r>
                </w:p>
              </w:tc>
              <w:tc>
                <w:tcPr>
                  <w:tcW w:w="1083" w:type="dxa"/>
                  <w:vAlign w:val="center"/>
                </w:tcPr>
                <w:p w14:paraId="7E809A8F">
                  <w:pPr>
                    <w:pStyle w:val="34"/>
                    <w:autoSpaceDE w:val="0"/>
                    <w:autoSpaceDN w:val="0"/>
                    <w:ind w:firstLineChars="0"/>
                    <w:rPr>
                      <w:color w:val="auto"/>
                    </w:rPr>
                  </w:pPr>
                  <w:r>
                    <w:rPr>
                      <w:rFonts w:hint="eastAsia"/>
                      <w:color w:val="auto"/>
                    </w:rPr>
                    <w:t>檬子河</w:t>
                  </w:r>
                </w:p>
              </w:tc>
              <w:tc>
                <w:tcPr>
                  <w:tcW w:w="1117" w:type="dxa"/>
                  <w:vMerge w:val="continue"/>
                  <w:vAlign w:val="center"/>
                </w:tcPr>
                <w:p w14:paraId="26B6506B">
                  <w:pPr>
                    <w:pStyle w:val="34"/>
                    <w:autoSpaceDE w:val="0"/>
                    <w:autoSpaceDN w:val="0"/>
                    <w:ind w:firstLineChars="0"/>
                    <w:rPr>
                      <w:color w:val="auto"/>
                    </w:rPr>
                  </w:pPr>
                </w:p>
              </w:tc>
            </w:tr>
          </w:tbl>
          <w:p w14:paraId="6A5BD953">
            <w:pPr>
              <w:ind w:firstLine="0" w:firstLineChars="0"/>
              <w:rPr>
                <w:b/>
                <w:bCs/>
              </w:rPr>
            </w:pPr>
            <w:r>
              <w:rPr>
                <w:rFonts w:hint="eastAsia"/>
                <w:b/>
                <w:bCs/>
              </w:rPr>
              <w:t>一、生态环境影响分析</w:t>
            </w:r>
          </w:p>
          <w:p w14:paraId="60AD33AB">
            <w:pPr>
              <w:ind w:firstLine="480"/>
            </w:pPr>
            <w:r>
              <w:rPr>
                <w:rFonts w:hint="eastAsia"/>
              </w:rPr>
              <w:t>本项目主要建设内容包括控流导流工程、生态护岸工程、生态隔离带、生态步道及护栏等配套设施。施工期对生态的影响主要是主体工程占用和临时土地，改变土地利用性质，使沿线植被覆盖率降低：工程开挖、弃土破坏地形地貌植被，破坏土壤结构和肥力；工程活动扰动了自然的生态平衡，对沿线生物的生存将产生一定的不利影响。本工程施工简述对区域生态环境造成的不利影响主要是以下几个方面。</w:t>
            </w:r>
          </w:p>
          <w:p w14:paraId="6FA42440">
            <w:pPr>
              <w:ind w:firstLine="482"/>
            </w:pPr>
            <w:r>
              <w:rPr>
                <w:rFonts w:hint="eastAsia"/>
                <w:b/>
                <w:bCs/>
              </w:rPr>
              <w:t>1、工程占地影响分析</w:t>
            </w:r>
          </w:p>
          <w:p w14:paraId="070F9221">
            <w:pPr>
              <w:ind w:firstLine="480"/>
            </w:pPr>
            <w:r>
              <w:rPr>
                <w:rFonts w:hint="eastAsia"/>
              </w:rPr>
              <w:t>根据《巴中市檬子河流域水环境综合治理项目（一期）水土保持报告书》及批复，项目总用地</w:t>
            </w:r>
            <w:r>
              <w:rPr>
                <w:rFonts w:hint="eastAsia"/>
                <w:lang w:val="en-US" w:eastAsia="zh-CN"/>
              </w:rPr>
              <w:t>20.94</w:t>
            </w:r>
            <w:r>
              <w:rPr>
                <w:rFonts w:hint="eastAsia"/>
              </w:rPr>
              <w:t>hm²，其中，水域面积8.756hm²（临时占地），陆地面积</w:t>
            </w:r>
            <w:r>
              <w:rPr>
                <w:rFonts w:hint="eastAsia"/>
                <w:lang w:val="en-US" w:eastAsia="zh-CN"/>
              </w:rPr>
              <w:t>12.184</w:t>
            </w:r>
            <w:r>
              <w:rPr>
                <w:rFonts w:hint="eastAsia"/>
              </w:rPr>
              <w:t>hm</w:t>
            </w:r>
            <w:r>
              <w:rPr>
                <w:rFonts w:hint="eastAsia"/>
                <w:vertAlign w:val="superscript"/>
              </w:rPr>
              <w:t>2</w:t>
            </w:r>
            <w:r>
              <w:rPr>
                <w:rFonts w:hint="eastAsia"/>
              </w:rPr>
              <w:t>（永久占地）。其中河道整治工程占地13.31hm²、景观绿化工程占地0.65hm²、附属工程占地2.23hm²，保留区面积4.90hm²，占地类型为耕地、建设用地、其他用地、水域及水利设施用地。</w:t>
            </w:r>
          </w:p>
          <w:p w14:paraId="7B65BE99">
            <w:pPr>
              <w:ind w:firstLine="480"/>
            </w:pPr>
            <w:r>
              <w:rPr>
                <w:rFonts w:hint="eastAsia"/>
              </w:rPr>
              <w:t>项目占地影响主要体现在临时占地，临时占地为临时施工场地、临时施工道路、等。临时占地影响：施工临时占用地毁坏地表植被，地表裸露，裸露的地面被雨水冲刷后将造成水土流失，进而降低土壤的肥力，影响局部生态系统的稳定性在施工机械作业中，机械设备的碾压，施工人员的践踏使土壤紧实度增高，影响地表水的入渗，土体过于紧实不利于作物的生长。</w:t>
            </w:r>
          </w:p>
          <w:p w14:paraId="094DDFC8">
            <w:pPr>
              <w:ind w:firstLine="482"/>
            </w:pPr>
            <w:r>
              <w:rPr>
                <w:rFonts w:hint="eastAsia"/>
                <w:b/>
                <w:bCs/>
              </w:rPr>
              <w:t>2、项目对陆生生态的影响分析</w:t>
            </w:r>
          </w:p>
          <w:p w14:paraId="0B8EBA3A">
            <w:pPr>
              <w:ind w:firstLine="482"/>
            </w:pPr>
            <w:r>
              <w:rPr>
                <w:rFonts w:hint="eastAsia"/>
                <w:b/>
                <w:bCs/>
              </w:rPr>
              <w:t>（1）工程占地对植物的影响分析</w:t>
            </w:r>
          </w:p>
          <w:p w14:paraId="7D8AE9E1">
            <w:pPr>
              <w:ind w:firstLine="480"/>
            </w:pPr>
            <w:r>
              <w:rPr>
                <w:rFonts w:hint="eastAsia"/>
              </w:rPr>
              <w:t>项目工程施工过程中，由于河道两侧一定范围内的施工作业带的植被将被</w:t>
            </w:r>
            <w:r>
              <w:rPr>
                <w:rFonts w:hint="eastAsia"/>
                <w:lang w:val="en-US" w:eastAsia="zh-CN"/>
              </w:rPr>
              <w:t>铲</w:t>
            </w:r>
            <w:r>
              <w:rPr>
                <w:rFonts w:hint="eastAsia"/>
              </w:rPr>
              <w:t>除，主要为河道两岸的杂草，施工作业带其他部位的植被，由于挖掘出的土石方的堆放、人员的践踏和机具的碾压，会造成地</w:t>
            </w:r>
            <w:r>
              <w:rPr>
                <w:rFonts w:hint="eastAsia"/>
                <w:lang w:val="en-US" w:eastAsia="zh-CN"/>
              </w:rPr>
              <w:t>面</w:t>
            </w:r>
            <w:r>
              <w:rPr>
                <w:rFonts w:hint="eastAsia"/>
              </w:rPr>
              <w:t>破坏，甚至被去除，但根系仍保留。本项目施工占地分为永久占地和临时占地，其中永久占地对植被的破坏是不可逆的，但项目工程设计在其施工结束后通过在河道两侧实施绿化，都可在一定程度上补偿因施工破坏的原有植被，也具有景观改造、优化环境质量的作用。另外，本项目景观建设都涉及树木植被的栽种，也可在一定程度上缓解植被破坏。因此，本项目主要重点关注临时工程占地对植物的影响。</w:t>
            </w:r>
          </w:p>
          <w:p w14:paraId="553B6063">
            <w:pPr>
              <w:ind w:firstLine="482"/>
            </w:pPr>
            <w:r>
              <w:rPr>
                <w:rFonts w:hint="eastAsia"/>
                <w:b/>
                <w:bCs/>
              </w:rPr>
              <w:t>（2）工程占地对动物的影响分析</w:t>
            </w:r>
          </w:p>
          <w:p w14:paraId="61ED9559">
            <w:pPr>
              <w:ind w:firstLine="480"/>
            </w:pPr>
            <w:r>
              <w:rPr>
                <w:rFonts w:hint="eastAsia"/>
              </w:rPr>
              <w:t>本项目建设区域为人类频繁活动区，经调查访问和沿途观察，评价区域现受人为活动影响深远，主要动物为常见物种，包括田鼠、麻雀、蛇等。其影响方式主要为：施工期间，人为活动的增加以及土方的开挖、施工振动，施工机械噪音、灯光等均会惊吓、干扰区域内野生动物。在低海拔分布的蛇类等爬行动物，由于原分布区被部分破坏，会导致这些动物高海拔地带迁移；鸟类能凭借自身的飞翔能力离开施工影响区域，寻找适宜的栖息地。</w:t>
            </w:r>
          </w:p>
          <w:p w14:paraId="728759EF">
            <w:pPr>
              <w:ind w:left="480" w:leftChars="200" w:firstLine="0" w:firstLineChars="0"/>
            </w:pPr>
            <w:r>
              <w:rPr>
                <w:rFonts w:hint="eastAsia"/>
                <w:b/>
                <w:bCs/>
              </w:rPr>
              <w:t>3、项目对水生生态的影响分析</w:t>
            </w:r>
          </w:p>
          <w:p w14:paraId="4D922786">
            <w:pPr>
              <w:ind w:firstLine="480"/>
            </w:pPr>
            <w:r>
              <w:rPr>
                <w:rFonts w:hint="eastAsia"/>
              </w:rPr>
              <w:t>檬子河水体中的水生生物主要是浮游植物和以浮游植物为食的水生生物，如鱼、虾、水蛇等常见水生动物，项目不涉及受国家保护的珍稀濒危水生生物。项目治理河段不涉及重要水生生物。</w:t>
            </w:r>
          </w:p>
          <w:p w14:paraId="7B0329B3">
            <w:pPr>
              <w:ind w:firstLine="480"/>
            </w:pPr>
            <w:r>
              <w:rPr>
                <w:rFonts w:hint="eastAsia"/>
              </w:rPr>
              <w:t>围堰施工时，河道砂砾被挖走后，由自然演替而来的河床环境将会改变，直接影响到水生生物的生存、行为、繁殖和分布，造成一部分水生生物死亡，生物量和净生产量下降，生物多样性减少，好氧浮游生物、鱼类、底栖动物会因环境的恶化而死亡。这些影响基本都是不利的，但同时也是可逆的，而且影响时间较短，在施工完成一段时间后，因施工造成的水生生态系统的破坏将会得到恢复。</w:t>
            </w:r>
          </w:p>
          <w:p w14:paraId="4363B90E">
            <w:pPr>
              <w:ind w:firstLine="480"/>
            </w:pPr>
            <w:r>
              <w:rPr>
                <w:rFonts w:hint="eastAsia"/>
              </w:rPr>
              <w:t>底栖动物：多数底栖动物长期生活在底泥中，具有区域性强，迁移能力弱等特点，其对环境突然改变，通常没有或者很少有回避能力，而底泥的挖除，会使各类底栖生物的生境受到严重影响，大部分将死亡。然而根据类似工程实施后底栖动物调查数据分析，河道底栖动物能得到一定程度的恢复，只是恢复进程缓慢。</w:t>
            </w:r>
          </w:p>
          <w:p w14:paraId="63BF1FD5">
            <w:pPr>
              <w:ind w:firstLine="480"/>
            </w:pPr>
            <w:r>
              <w:rPr>
                <w:rFonts w:hint="eastAsia"/>
              </w:rPr>
              <w:t>鱼类：河床性质的改变也会造成鱼类产卵条件的变化，不利于鱼类繁殖，对河道鱼类产生一定影响。由于鱼类具有较强的迁移能力，可在周边河道寻觅到合适的生境，且工程所影响的鱼类均为当地常见鱼类，不涉及重要水生生物。因此，工程施工对鱼类的不利影响较小，且是暂时的。</w:t>
            </w:r>
          </w:p>
          <w:p w14:paraId="36350EBD">
            <w:pPr>
              <w:ind w:firstLine="480"/>
            </w:pPr>
            <w:r>
              <w:rPr>
                <w:rFonts w:hint="eastAsia"/>
              </w:rPr>
              <w:t>水生植物：本项目围堰施工工程将改变河道底质环境，工程施工期间，水生植物将被破坏。根据类似工程调查情况，施工结束后挺水植物及浮水植物能在较短的时间内恢复，而沉水植物的恢复时间较长。另外本项目选择在枯水期进行施工，对河流的扰动相对较小，施工期间采取一定的措施：施工废水循环使用，不外排，生活污水依托周边已建污水处理设施收集处理，严禁沿河堆放土石方，生活垃圾严禁入河。</w:t>
            </w:r>
          </w:p>
          <w:p w14:paraId="2C8332C4">
            <w:pPr>
              <w:ind w:firstLine="480"/>
            </w:pPr>
            <w:r>
              <w:rPr>
                <w:rFonts w:hint="eastAsia"/>
              </w:rPr>
              <w:t>总体而言，施工期结束后，其影响将消失，因此，本项目建设对水生植物及其生态环境影响较小。</w:t>
            </w:r>
          </w:p>
          <w:p w14:paraId="403F5555">
            <w:pPr>
              <w:ind w:firstLine="482"/>
              <w:rPr>
                <w:b/>
                <w:bCs/>
              </w:rPr>
            </w:pPr>
            <w:r>
              <w:rPr>
                <w:rFonts w:hint="eastAsia"/>
                <w:b/>
                <w:bCs/>
              </w:rPr>
              <w:t>4、项目对水土流失的影响分析</w:t>
            </w:r>
          </w:p>
          <w:p w14:paraId="58B96655">
            <w:pPr>
              <w:ind w:firstLine="480"/>
            </w:pPr>
            <w:r>
              <w:rPr>
                <w:rFonts w:hint="eastAsia"/>
              </w:rPr>
              <w:t>本工程水土流失期主要发生在施工期。在工程的建设过程中，土方开挖使裸露面表层结构疏松，植被覆盖度降低，区域内土壤抗侵蚀能力降低，水土流失加剧。临时施工区材料的堆放，毁坏地表植被，使原土壤抗冲性、抗蚀性迅速降低，形成加速侵蚀，进一步加剧了区域水土流失。施工期尽可能的减少对区域植被的破坏，不得乱砍伐周边树木；禁止随意倾倒废渣、垃圾及其他废弃物；开挖裸露面采用防雨布临时遮盖，防止雨水冲刷产生水土流失。</w:t>
            </w:r>
          </w:p>
          <w:p w14:paraId="5B97BD85">
            <w:pPr>
              <w:ind w:firstLine="480"/>
            </w:pPr>
            <w:r>
              <w:rPr>
                <w:rFonts w:hint="eastAsia"/>
              </w:rPr>
              <w:t>施工单位还应采取以下措施防止水土流失：</w:t>
            </w:r>
          </w:p>
          <w:p w14:paraId="674E6DB5">
            <w:pPr>
              <w:ind w:firstLine="480"/>
            </w:pPr>
            <w:r>
              <w:rPr>
                <w:rFonts w:hint="eastAsia"/>
              </w:rPr>
              <w:t>①施工期尽量避免在雨天进行开挖运输作业。</w:t>
            </w:r>
          </w:p>
          <w:p w14:paraId="1AB0B554">
            <w:pPr>
              <w:ind w:firstLine="480"/>
              <w:rPr>
                <w:rFonts w:hint="eastAsia"/>
              </w:rPr>
            </w:pPr>
            <w:r>
              <w:rPr>
                <w:rFonts w:hint="eastAsia"/>
              </w:rPr>
              <w:t>②临时堆土区晾晒区在下雨天应采取防雨薄膜遮盖，避免雨水冲刷，造成水土流失。</w:t>
            </w:r>
          </w:p>
          <w:p w14:paraId="46D3A327">
            <w:pPr>
              <w:ind w:firstLine="480"/>
              <w:rPr>
                <w:rFonts w:hint="eastAsia"/>
                <w:b/>
                <w:bCs/>
              </w:rPr>
            </w:pPr>
            <w:r>
              <w:rPr>
                <w:rFonts w:hint="eastAsia"/>
                <w:b/>
                <w:bCs/>
              </w:rPr>
              <w:t>二、施工期污染物的环境影响</w:t>
            </w:r>
          </w:p>
          <w:p w14:paraId="4026E64F">
            <w:pPr>
              <w:ind w:firstLine="482"/>
            </w:pPr>
            <w:r>
              <w:rPr>
                <w:rFonts w:hint="eastAsia"/>
                <w:b/>
                <w:bCs/>
              </w:rPr>
              <w:t>1、大气环境影响分析</w:t>
            </w:r>
          </w:p>
          <w:p w14:paraId="2F5E480E">
            <w:pPr>
              <w:ind w:firstLine="480"/>
            </w:pPr>
            <w:r>
              <w:rPr>
                <w:rFonts w:hint="eastAsia"/>
              </w:rPr>
              <w:t>项目施工期产生的大气污染物主要是施工扬尘、施工车辆、施工机械排放的尾气，主要为无组织排放，其中以施工扬尘对空气环境质量影响最大。</w:t>
            </w:r>
          </w:p>
          <w:p w14:paraId="4EFF1561">
            <w:pPr>
              <w:ind w:firstLine="480"/>
            </w:pPr>
            <w:r>
              <w:rPr>
                <w:rFonts w:hint="eastAsia"/>
              </w:rPr>
              <w:t>（1）施工扬尘</w:t>
            </w:r>
          </w:p>
          <w:p w14:paraId="2AE41157">
            <w:pPr>
              <w:ind w:firstLine="480"/>
            </w:pPr>
            <w:r>
              <w:rPr>
                <w:rFonts w:hint="eastAsia"/>
              </w:rPr>
              <w:t>据有关调查显示，施工工地的扬尘主要是由运输车辆的行驶产生，约占扬尘总量的60%，并与道路路面车辆行驶速度有关，一般情况下，施工场地、施工道路在自然风作用下产生的扬尘所影响的范围在100m以内。如果在施工期间对车辆行驶的路面实施洒水抑尘，每天洒水4~5次，可使扬尘减少70%左右，下表为施工场地洒水抑尘的试验结果，由表可知，在实施每天洒水4~5次进行抑尘，可有效地控制施工扬尘，可将TSP污染距离缩小到20~50m范围内。</w:t>
            </w:r>
          </w:p>
          <w:p w14:paraId="0A7A0E0D">
            <w:pPr>
              <w:ind w:firstLine="0" w:firstLineChars="0"/>
              <w:jc w:val="center"/>
              <w:rPr>
                <w:b/>
                <w:bCs/>
                <w:sz w:val="21"/>
                <w:szCs w:val="21"/>
              </w:rPr>
            </w:pPr>
            <w:r>
              <w:rPr>
                <w:rFonts w:hint="eastAsia"/>
                <w:b/>
                <w:bCs/>
                <w:sz w:val="21"/>
                <w:szCs w:val="21"/>
              </w:rPr>
              <w:t>表4-2  施工场地洒水抑尘试验结果</w:t>
            </w:r>
          </w:p>
          <w:tbl>
            <w:tblPr>
              <w:tblStyle w:val="19"/>
              <w:tblW w:w="0" w:type="auto"/>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12"/>
              <w:gridCol w:w="1033"/>
              <w:gridCol w:w="1225"/>
              <w:gridCol w:w="1225"/>
              <w:gridCol w:w="1225"/>
              <w:gridCol w:w="1225"/>
            </w:tblGrid>
            <w:tr w14:paraId="5FBD3E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3645" w:type="dxa"/>
                  <w:gridSpan w:val="2"/>
                  <w:tcBorders>
                    <w:tl2br w:val="nil"/>
                    <w:tr2bl w:val="nil"/>
                  </w:tcBorders>
                  <w:vAlign w:val="center"/>
                </w:tcPr>
                <w:p w14:paraId="0779BB3A">
                  <w:pPr>
                    <w:pStyle w:val="34"/>
                    <w:autoSpaceDE w:val="0"/>
                    <w:autoSpaceDN w:val="0"/>
                    <w:ind w:firstLineChars="0"/>
                    <w:rPr>
                      <w:b/>
                      <w:bCs/>
                      <w:color w:val="auto"/>
                    </w:rPr>
                  </w:pPr>
                  <w:r>
                    <w:rPr>
                      <w:rFonts w:hint="eastAsia"/>
                      <w:b/>
                      <w:bCs/>
                      <w:color w:val="auto"/>
                    </w:rPr>
                    <w:t>距离（m）</w:t>
                  </w:r>
                </w:p>
              </w:tc>
              <w:tc>
                <w:tcPr>
                  <w:tcW w:w="1225" w:type="dxa"/>
                  <w:tcBorders>
                    <w:tl2br w:val="nil"/>
                    <w:tr2bl w:val="nil"/>
                  </w:tcBorders>
                  <w:vAlign w:val="center"/>
                </w:tcPr>
                <w:p w14:paraId="641063E1">
                  <w:pPr>
                    <w:pStyle w:val="34"/>
                    <w:autoSpaceDE w:val="0"/>
                    <w:autoSpaceDN w:val="0"/>
                    <w:ind w:firstLineChars="0"/>
                    <w:rPr>
                      <w:b/>
                      <w:bCs/>
                      <w:color w:val="auto"/>
                    </w:rPr>
                  </w:pPr>
                  <w:r>
                    <w:rPr>
                      <w:rFonts w:hint="eastAsia"/>
                      <w:b/>
                      <w:bCs/>
                      <w:color w:val="auto"/>
                    </w:rPr>
                    <w:t>5</w:t>
                  </w:r>
                </w:p>
              </w:tc>
              <w:tc>
                <w:tcPr>
                  <w:tcW w:w="1225" w:type="dxa"/>
                  <w:tcBorders>
                    <w:tl2br w:val="nil"/>
                    <w:tr2bl w:val="nil"/>
                  </w:tcBorders>
                  <w:vAlign w:val="center"/>
                </w:tcPr>
                <w:p w14:paraId="63D49756">
                  <w:pPr>
                    <w:pStyle w:val="34"/>
                    <w:autoSpaceDE w:val="0"/>
                    <w:autoSpaceDN w:val="0"/>
                    <w:ind w:firstLineChars="0"/>
                    <w:rPr>
                      <w:b/>
                      <w:bCs/>
                      <w:color w:val="auto"/>
                    </w:rPr>
                  </w:pPr>
                  <w:r>
                    <w:rPr>
                      <w:rFonts w:hint="eastAsia"/>
                      <w:b/>
                      <w:bCs/>
                      <w:color w:val="auto"/>
                    </w:rPr>
                    <w:t>20</w:t>
                  </w:r>
                </w:p>
              </w:tc>
              <w:tc>
                <w:tcPr>
                  <w:tcW w:w="1225" w:type="dxa"/>
                  <w:tcBorders>
                    <w:tl2br w:val="nil"/>
                    <w:tr2bl w:val="nil"/>
                  </w:tcBorders>
                  <w:vAlign w:val="center"/>
                </w:tcPr>
                <w:p w14:paraId="6DBEADF5">
                  <w:pPr>
                    <w:pStyle w:val="34"/>
                    <w:autoSpaceDE w:val="0"/>
                    <w:autoSpaceDN w:val="0"/>
                    <w:ind w:firstLineChars="0"/>
                    <w:rPr>
                      <w:b/>
                      <w:bCs/>
                      <w:color w:val="auto"/>
                    </w:rPr>
                  </w:pPr>
                  <w:r>
                    <w:rPr>
                      <w:rFonts w:hint="eastAsia"/>
                      <w:b/>
                      <w:bCs/>
                      <w:color w:val="auto"/>
                    </w:rPr>
                    <w:t>50</w:t>
                  </w:r>
                </w:p>
              </w:tc>
              <w:tc>
                <w:tcPr>
                  <w:tcW w:w="1225" w:type="dxa"/>
                  <w:tcBorders>
                    <w:tl2br w:val="nil"/>
                    <w:tr2bl w:val="nil"/>
                  </w:tcBorders>
                  <w:vAlign w:val="center"/>
                </w:tcPr>
                <w:p w14:paraId="4724898A">
                  <w:pPr>
                    <w:pStyle w:val="34"/>
                    <w:autoSpaceDE w:val="0"/>
                    <w:autoSpaceDN w:val="0"/>
                    <w:ind w:firstLineChars="0"/>
                    <w:rPr>
                      <w:b/>
                      <w:bCs/>
                      <w:color w:val="auto"/>
                    </w:rPr>
                  </w:pPr>
                  <w:r>
                    <w:rPr>
                      <w:rFonts w:hint="eastAsia"/>
                      <w:b/>
                      <w:bCs/>
                      <w:color w:val="auto"/>
                    </w:rPr>
                    <w:t>100</w:t>
                  </w:r>
                </w:p>
              </w:tc>
            </w:tr>
            <w:tr w14:paraId="379A5A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12" w:type="dxa"/>
                  <w:vMerge w:val="restart"/>
                  <w:tcBorders>
                    <w:tl2br w:val="nil"/>
                    <w:tr2bl w:val="nil"/>
                  </w:tcBorders>
                  <w:vAlign w:val="center"/>
                </w:tcPr>
                <w:p w14:paraId="7A16D6F5">
                  <w:pPr>
                    <w:pStyle w:val="34"/>
                    <w:autoSpaceDE w:val="0"/>
                    <w:autoSpaceDN w:val="0"/>
                    <w:ind w:firstLineChars="0"/>
                    <w:rPr>
                      <w:color w:val="auto"/>
                    </w:rPr>
                  </w:pPr>
                  <w:r>
                    <w:rPr>
                      <w:rFonts w:hint="eastAsia"/>
                      <w:color w:val="auto"/>
                    </w:rPr>
                    <w:t>TSP小时平均浓度（mg/m</w:t>
                  </w:r>
                  <w:r>
                    <w:rPr>
                      <w:rFonts w:hint="eastAsia"/>
                      <w:color w:val="auto"/>
                      <w:vertAlign w:val="superscript"/>
                    </w:rPr>
                    <w:t>3</w:t>
                  </w:r>
                  <w:r>
                    <w:rPr>
                      <w:rFonts w:hint="eastAsia"/>
                      <w:color w:val="auto"/>
                    </w:rPr>
                    <w:t>）</w:t>
                  </w:r>
                </w:p>
              </w:tc>
              <w:tc>
                <w:tcPr>
                  <w:tcW w:w="1033" w:type="dxa"/>
                  <w:tcBorders>
                    <w:tl2br w:val="nil"/>
                    <w:tr2bl w:val="nil"/>
                  </w:tcBorders>
                  <w:vAlign w:val="center"/>
                </w:tcPr>
                <w:p w14:paraId="5941665F">
                  <w:pPr>
                    <w:pStyle w:val="34"/>
                    <w:autoSpaceDE w:val="0"/>
                    <w:autoSpaceDN w:val="0"/>
                    <w:ind w:firstLineChars="0"/>
                    <w:rPr>
                      <w:color w:val="auto"/>
                    </w:rPr>
                  </w:pPr>
                  <w:r>
                    <w:rPr>
                      <w:rFonts w:hint="eastAsia"/>
                      <w:color w:val="auto"/>
                    </w:rPr>
                    <w:t>不洒水</w:t>
                  </w:r>
                </w:p>
              </w:tc>
              <w:tc>
                <w:tcPr>
                  <w:tcW w:w="1225" w:type="dxa"/>
                  <w:tcBorders>
                    <w:tl2br w:val="nil"/>
                    <w:tr2bl w:val="nil"/>
                  </w:tcBorders>
                  <w:vAlign w:val="center"/>
                </w:tcPr>
                <w:p w14:paraId="3D011D9C">
                  <w:pPr>
                    <w:pStyle w:val="34"/>
                    <w:autoSpaceDE w:val="0"/>
                    <w:autoSpaceDN w:val="0"/>
                    <w:ind w:firstLineChars="0"/>
                    <w:rPr>
                      <w:color w:val="auto"/>
                    </w:rPr>
                  </w:pPr>
                  <w:r>
                    <w:rPr>
                      <w:rFonts w:hint="eastAsia"/>
                      <w:color w:val="auto"/>
                    </w:rPr>
                    <w:t>10.14</w:t>
                  </w:r>
                </w:p>
              </w:tc>
              <w:tc>
                <w:tcPr>
                  <w:tcW w:w="1225" w:type="dxa"/>
                  <w:tcBorders>
                    <w:tl2br w:val="nil"/>
                    <w:tr2bl w:val="nil"/>
                  </w:tcBorders>
                  <w:vAlign w:val="center"/>
                </w:tcPr>
                <w:p w14:paraId="6ED9AE01">
                  <w:pPr>
                    <w:pStyle w:val="34"/>
                    <w:autoSpaceDE w:val="0"/>
                    <w:autoSpaceDN w:val="0"/>
                    <w:ind w:firstLineChars="0"/>
                    <w:rPr>
                      <w:color w:val="auto"/>
                    </w:rPr>
                  </w:pPr>
                  <w:r>
                    <w:rPr>
                      <w:rFonts w:hint="eastAsia"/>
                      <w:color w:val="auto"/>
                    </w:rPr>
                    <w:t>2.89</w:t>
                  </w:r>
                </w:p>
              </w:tc>
              <w:tc>
                <w:tcPr>
                  <w:tcW w:w="1225" w:type="dxa"/>
                  <w:tcBorders>
                    <w:tl2br w:val="nil"/>
                    <w:tr2bl w:val="nil"/>
                  </w:tcBorders>
                  <w:vAlign w:val="center"/>
                </w:tcPr>
                <w:p w14:paraId="2FF54F61">
                  <w:pPr>
                    <w:pStyle w:val="34"/>
                    <w:autoSpaceDE w:val="0"/>
                    <w:autoSpaceDN w:val="0"/>
                    <w:ind w:firstLineChars="0"/>
                    <w:rPr>
                      <w:color w:val="auto"/>
                    </w:rPr>
                  </w:pPr>
                  <w:r>
                    <w:rPr>
                      <w:rFonts w:hint="eastAsia"/>
                      <w:color w:val="auto"/>
                    </w:rPr>
                    <w:t>1.15</w:t>
                  </w:r>
                </w:p>
              </w:tc>
              <w:tc>
                <w:tcPr>
                  <w:tcW w:w="1225" w:type="dxa"/>
                  <w:tcBorders>
                    <w:tl2br w:val="nil"/>
                    <w:tr2bl w:val="nil"/>
                  </w:tcBorders>
                  <w:vAlign w:val="center"/>
                </w:tcPr>
                <w:p w14:paraId="70F30F2E">
                  <w:pPr>
                    <w:pStyle w:val="34"/>
                    <w:autoSpaceDE w:val="0"/>
                    <w:autoSpaceDN w:val="0"/>
                    <w:ind w:firstLineChars="0"/>
                    <w:rPr>
                      <w:color w:val="auto"/>
                    </w:rPr>
                  </w:pPr>
                  <w:r>
                    <w:rPr>
                      <w:rFonts w:hint="eastAsia"/>
                      <w:color w:val="auto"/>
                    </w:rPr>
                    <w:t>0.86</w:t>
                  </w:r>
                </w:p>
              </w:tc>
            </w:tr>
            <w:tr w14:paraId="5F4772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12" w:type="dxa"/>
                  <w:vMerge w:val="continue"/>
                  <w:tcBorders>
                    <w:tl2br w:val="nil"/>
                    <w:tr2bl w:val="nil"/>
                  </w:tcBorders>
                  <w:vAlign w:val="center"/>
                </w:tcPr>
                <w:p w14:paraId="379B98C9">
                  <w:pPr>
                    <w:pStyle w:val="34"/>
                    <w:autoSpaceDE w:val="0"/>
                    <w:autoSpaceDN w:val="0"/>
                    <w:ind w:firstLineChars="0"/>
                    <w:rPr>
                      <w:color w:val="auto"/>
                    </w:rPr>
                  </w:pPr>
                </w:p>
              </w:tc>
              <w:tc>
                <w:tcPr>
                  <w:tcW w:w="1033" w:type="dxa"/>
                  <w:tcBorders>
                    <w:tl2br w:val="nil"/>
                    <w:tr2bl w:val="nil"/>
                  </w:tcBorders>
                  <w:vAlign w:val="center"/>
                </w:tcPr>
                <w:p w14:paraId="67413713">
                  <w:pPr>
                    <w:pStyle w:val="34"/>
                    <w:autoSpaceDE w:val="0"/>
                    <w:autoSpaceDN w:val="0"/>
                    <w:ind w:firstLineChars="0"/>
                    <w:rPr>
                      <w:color w:val="auto"/>
                    </w:rPr>
                  </w:pPr>
                  <w:r>
                    <w:rPr>
                      <w:rFonts w:hint="eastAsia"/>
                      <w:color w:val="auto"/>
                    </w:rPr>
                    <w:t>洒水</w:t>
                  </w:r>
                </w:p>
              </w:tc>
              <w:tc>
                <w:tcPr>
                  <w:tcW w:w="1225" w:type="dxa"/>
                  <w:tcBorders>
                    <w:tl2br w:val="nil"/>
                    <w:tr2bl w:val="nil"/>
                  </w:tcBorders>
                  <w:vAlign w:val="center"/>
                </w:tcPr>
                <w:p w14:paraId="4BEACEDC">
                  <w:pPr>
                    <w:pStyle w:val="34"/>
                    <w:autoSpaceDE w:val="0"/>
                    <w:autoSpaceDN w:val="0"/>
                    <w:ind w:firstLineChars="0"/>
                    <w:rPr>
                      <w:color w:val="auto"/>
                    </w:rPr>
                  </w:pPr>
                  <w:r>
                    <w:rPr>
                      <w:rFonts w:hint="eastAsia"/>
                      <w:color w:val="auto"/>
                    </w:rPr>
                    <w:t>2.01</w:t>
                  </w:r>
                </w:p>
              </w:tc>
              <w:tc>
                <w:tcPr>
                  <w:tcW w:w="1225" w:type="dxa"/>
                  <w:tcBorders>
                    <w:tl2br w:val="nil"/>
                    <w:tr2bl w:val="nil"/>
                  </w:tcBorders>
                  <w:vAlign w:val="center"/>
                </w:tcPr>
                <w:p w14:paraId="0A0EAA89">
                  <w:pPr>
                    <w:pStyle w:val="34"/>
                    <w:autoSpaceDE w:val="0"/>
                    <w:autoSpaceDN w:val="0"/>
                    <w:ind w:firstLineChars="0"/>
                    <w:rPr>
                      <w:color w:val="auto"/>
                    </w:rPr>
                  </w:pPr>
                  <w:r>
                    <w:rPr>
                      <w:rFonts w:hint="eastAsia"/>
                      <w:color w:val="auto"/>
                    </w:rPr>
                    <w:t>1.40</w:t>
                  </w:r>
                </w:p>
              </w:tc>
              <w:tc>
                <w:tcPr>
                  <w:tcW w:w="1225" w:type="dxa"/>
                  <w:tcBorders>
                    <w:tl2br w:val="nil"/>
                    <w:tr2bl w:val="nil"/>
                  </w:tcBorders>
                  <w:vAlign w:val="center"/>
                </w:tcPr>
                <w:p w14:paraId="6FB110B9">
                  <w:pPr>
                    <w:pStyle w:val="34"/>
                    <w:autoSpaceDE w:val="0"/>
                    <w:autoSpaceDN w:val="0"/>
                    <w:ind w:firstLineChars="0"/>
                    <w:rPr>
                      <w:color w:val="auto"/>
                    </w:rPr>
                  </w:pPr>
                  <w:r>
                    <w:rPr>
                      <w:rFonts w:hint="eastAsia"/>
                      <w:color w:val="auto"/>
                    </w:rPr>
                    <w:t>0.67</w:t>
                  </w:r>
                </w:p>
              </w:tc>
              <w:tc>
                <w:tcPr>
                  <w:tcW w:w="1225" w:type="dxa"/>
                  <w:tcBorders>
                    <w:tl2br w:val="nil"/>
                    <w:tr2bl w:val="nil"/>
                  </w:tcBorders>
                  <w:vAlign w:val="center"/>
                </w:tcPr>
                <w:p w14:paraId="76DB89EE">
                  <w:pPr>
                    <w:pStyle w:val="34"/>
                    <w:autoSpaceDE w:val="0"/>
                    <w:autoSpaceDN w:val="0"/>
                    <w:ind w:firstLineChars="0"/>
                    <w:rPr>
                      <w:color w:val="auto"/>
                    </w:rPr>
                  </w:pPr>
                  <w:r>
                    <w:rPr>
                      <w:rFonts w:hint="eastAsia"/>
                      <w:color w:val="auto"/>
                    </w:rPr>
                    <w:t>0.60</w:t>
                  </w:r>
                </w:p>
              </w:tc>
            </w:tr>
          </w:tbl>
          <w:p w14:paraId="52EF9A5E">
            <w:pPr>
              <w:ind w:firstLine="480"/>
            </w:pPr>
            <w:r>
              <w:rPr>
                <w:rFonts w:hint="eastAsia"/>
              </w:rPr>
              <w:t>由上表可知，对施工场地实施洒水，可有效控制施工扬尘产生量，TSP污染范围将缩小至20~50m范围内。施工扬尘的另一种重要产生方式是建筑材料的露天堆放和搅拌作业，这类扬尘的主要特点是受作业时风速大小的影响显著。因此，禁止大风天气作业和避免露天堆放是抑制这类扬尘的有效途径。</w:t>
            </w:r>
          </w:p>
          <w:p w14:paraId="4D01D7B9">
            <w:pPr>
              <w:ind w:firstLine="480"/>
            </w:pPr>
            <w:r>
              <w:rPr>
                <w:rFonts w:hint="eastAsia"/>
              </w:rPr>
              <w:t>结合本项目建设内容，为减少施工扬尘对周边环境影响，本次环评要求：</w:t>
            </w:r>
          </w:p>
          <w:p w14:paraId="5ABDAA4C">
            <w:pPr>
              <w:ind w:firstLine="480"/>
            </w:pPr>
            <w:r>
              <w:rPr>
                <w:rFonts w:hint="eastAsia"/>
              </w:rPr>
              <w:t>①施工全线围挡施工，设2.5~3m高围挡，封闭施工现场，设置喷雾降尘装置、冲洗等防尘降尘设施，采取湿法作业，防止扬尘扩散。</w:t>
            </w:r>
          </w:p>
          <w:p w14:paraId="393B1A80">
            <w:pPr>
              <w:ind w:firstLine="480"/>
            </w:pPr>
            <w:r>
              <w:rPr>
                <w:rFonts w:hint="eastAsia"/>
              </w:rPr>
              <w:t>②施工现场主要道路必须硬化，施工单位文明施工，定期对地面洒水，并对撒落在路面的渣土及时清除，清理阶段做到先洒水后清扫，避免产生扬尘；运输车辆出场前须对车身及轮胎进行冲洗。</w:t>
            </w:r>
          </w:p>
          <w:p w14:paraId="2B7461C4">
            <w:pPr>
              <w:ind w:firstLine="480"/>
            </w:pPr>
            <w:r>
              <w:rPr>
                <w:rFonts w:hint="eastAsia"/>
              </w:rPr>
              <w:t>③运输车辆采取密闭运输（使用防尘布覆盖），装填时需进行压实，装填高度严禁超过车斗防护栏；车辆卸货时禁止直接倾倒、抛撒；施工期材料尽可能适量、适时采购，运至施工场地后，应尽快使用，禁止在施工场地长时间堆放；合理安排施工进度，加快施工场地的挖、填作业。</w:t>
            </w:r>
          </w:p>
          <w:p w14:paraId="2AD757B3">
            <w:pPr>
              <w:ind w:firstLine="480"/>
            </w:pPr>
            <w:r>
              <w:rPr>
                <w:rFonts w:hint="eastAsia"/>
              </w:rPr>
              <w:t>④禁止在风天进行渣土堆放作业，建材堆放地点要相对集中，建筑垃圾应及时清运，对易产生扬尘的堆放材料应采取覆盖措施，禁止露天堆放；可能引起扬尘的材料及建筑垃圾搬运应有降尘措施。</w:t>
            </w:r>
          </w:p>
          <w:p w14:paraId="224C2A0C">
            <w:pPr>
              <w:ind w:firstLine="480"/>
            </w:pPr>
            <w:r>
              <w:rPr>
                <w:rFonts w:hint="eastAsia"/>
              </w:rPr>
              <w:t>⑤风速大于4m/s时应停止施工；尽量避免冬季、春季进行大规模土方作业，做到“慎开工，早完工”；遇重污染天气，建设单位和施工单位应落实各级预警下施工现场应当采取的应急措施。</w:t>
            </w:r>
          </w:p>
          <w:p w14:paraId="5EF5D4CA">
            <w:pPr>
              <w:ind w:firstLine="480"/>
            </w:pPr>
            <w:r>
              <w:rPr>
                <w:rFonts w:hint="eastAsia"/>
              </w:rPr>
              <w:t>同时，施工单位必须加强施工场地扬尘的控制，全面督查建筑工地现场管理“十必须”、“十不准”的执行情况，“十必须”包括必须打围作业、保持干净整洁，必须设置出场车辆高压冲洗设施，必须硬化主要施工道路、出入口，必须湿法作业，必须及时清运建筑垃圾，必须使用800目密目网覆盖裸土、建渣，必须分类有序堆码施工材料，必须规范张贴非道路移动机械环保标识，必须安装扬尘在线监测设备，必须安装高清视频监控设备；“十不准 ”包括不准车辆带泥出门，不准运渣车辆冒顶装载，不准使用名录外运渣车，不准现场搅拌混凝土、砂浆，不准露天堆砌，不准高处抛撒建筑垃圾，不准场地积水、积泥、积尘，不准焚烧废弃物，不准干扰扬尘监测设备运行，不准干扰视频监控设备。施工单位必须严格按照《关于印发四川省建筑工程扬尘污染防治技术导则（试行）的通知》（川建发〔2019〕16 号）中要求，严格落实“六个百分百”要求，包括：工地周边围挡、物料堆放覆盖、出入车辆冲洗、施工现场道路及材料堆场硬化、工地湿法作业及渣土车辆密闭运输。</w:t>
            </w:r>
          </w:p>
          <w:p w14:paraId="17F13FB3">
            <w:pPr>
              <w:ind w:firstLine="480"/>
            </w:pPr>
            <w:r>
              <w:rPr>
                <w:rFonts w:hint="eastAsia"/>
              </w:rPr>
              <w:t>项目施工还应遵守《四川省&lt;中华人民共和国大气污染防治法&gt;实施办法》中的以下规定：第十四条：从事房屋建筑、市政公用、水利、交通运输、能源等各类土木工程以及建筑拆除的施工单位，应当采取措施防治施工扬尘污染，所需费用列入工程造价。第十五条：建筑施工单位在施工工地应当设置硬质密闭围挡，并采取抑尘降尘措施。建筑土方、工程渣土等建筑垃圾应当及时清运，在场地内堆存的应当密闭遮盖。暂时不能开工的建设用地，应当由享有土地使用权的单位负责对裸露地面进行覆盖。第十六条：运输矿石（粉）、煤炭、肥料、垃圾、渣土、砂石、土方、灰浆等散装、粉状、流体物料的，应当使用符合条件的车辆，密闭运输。</w:t>
            </w:r>
          </w:p>
          <w:p w14:paraId="1D25623D">
            <w:pPr>
              <w:ind w:firstLine="480"/>
            </w:pPr>
            <w:r>
              <w:rPr>
                <w:rFonts w:hint="eastAsia"/>
              </w:rPr>
              <w:t>施工现场管理要求：</w:t>
            </w:r>
          </w:p>
          <w:p w14:paraId="3E367815">
            <w:pPr>
              <w:ind w:firstLine="480"/>
            </w:pPr>
            <w:r>
              <w:rPr>
                <w:rFonts w:hint="eastAsia"/>
              </w:rPr>
              <w:t>在施工现场出入口设置喷淋、冲洗等防尘设施，对驶离车辆实施冲洗、避免车身、车轮带泥上路行驶；采取入库存放或者其他有效覆盖措施，妥善存放粉灰质建筑材料；在施工作业停止后，对裸置场地和临时堆放的建筑垃圾，采用密闭式防尘网进行遮盖或者实施绿化覆盖；配置专职人员，负责施工现场和出入口的环境卫生维护工作；</w:t>
            </w:r>
          </w:p>
          <w:p w14:paraId="4AA980C4">
            <w:pPr>
              <w:ind w:firstLine="480"/>
            </w:pPr>
            <w:r>
              <w:rPr>
                <w:rFonts w:hint="eastAsia"/>
              </w:rPr>
              <w:t>禁止在施工现场内从事下列行为：</w:t>
            </w:r>
          </w:p>
          <w:p w14:paraId="63BDAF73">
            <w:pPr>
              <w:ind w:firstLine="480"/>
            </w:pPr>
            <w:r>
              <w:rPr>
                <w:rFonts w:hint="eastAsia"/>
              </w:rPr>
              <w:t>①临时抛撒建筑垃圾等废弃物；②在规定的限制区域内现场搅拌混凝土或者砂浆；③使用袋装水泥；④无符合规定装置熔融沥青；⑤焚烧油毡、油漆、建筑垃圾、生活垃圾等物质；⑥违反规定使用燃煤等非清洁能源；⑦法律、法规、规章禁止的其他污染大气环境的行为。</w:t>
            </w:r>
          </w:p>
          <w:p w14:paraId="7F00BD38">
            <w:pPr>
              <w:ind w:firstLine="480"/>
            </w:pPr>
            <w:r>
              <w:rPr>
                <w:rFonts w:hint="eastAsia"/>
              </w:rPr>
              <w:t>综上所述，施工期内，大气环境污染主要为运输车辆道路扬尘和施工作业扬尘。施工期将对周围居民住户、学校等敏感点产生不同程度的影响，但随着施工结束影响将随之消失。针对施工期环境污染，建议在易扬尘的作业时段、作业环节采用洒水的方法减轻扬尘污染，只要适当增加洒水次数，可大大减轻扬尘的污染。</w:t>
            </w:r>
          </w:p>
          <w:p w14:paraId="5A680381">
            <w:pPr>
              <w:ind w:firstLine="480"/>
            </w:pPr>
            <w:r>
              <w:rPr>
                <w:rFonts w:hint="eastAsia"/>
              </w:rPr>
              <w:t>评价认为，建设单位在采取以上防治措施，加强施工管理，将有效抑制施工扬尘产生，减少施工扬尘对区域大气环境的影响。</w:t>
            </w:r>
          </w:p>
          <w:p w14:paraId="635B56EF">
            <w:pPr>
              <w:ind w:firstLine="480"/>
            </w:pPr>
            <w:r>
              <w:rPr>
                <w:rFonts w:hint="eastAsia"/>
              </w:rPr>
              <w:t>（2）施工机械及运输车辆排放尾气</w:t>
            </w:r>
          </w:p>
          <w:p w14:paraId="4222FE51">
            <w:pPr>
              <w:ind w:firstLine="480"/>
            </w:pPr>
            <w:r>
              <w:rPr>
                <w:rFonts w:hint="eastAsia"/>
              </w:rPr>
              <w:t>由于施工场地车辆和各种燃油机械比较集中，尾气排放源强相对较大，主要污染因子以CO、THC为主，为非连续间歇式排放。根据现场调查，项目施工场地较空旷，空气流通较好。因此项目施工场地车辆、燃油机械尾气排放对区域大气环境影响不大。</w:t>
            </w:r>
          </w:p>
          <w:p w14:paraId="53834E0E">
            <w:pPr>
              <w:ind w:firstLine="482"/>
              <w:rPr>
                <w:b/>
                <w:bCs/>
              </w:rPr>
            </w:pPr>
            <w:r>
              <w:rPr>
                <w:rFonts w:hint="eastAsia"/>
                <w:b/>
                <w:bCs/>
              </w:rPr>
              <w:t>2、地表水环境影响分析</w:t>
            </w:r>
          </w:p>
          <w:p w14:paraId="6F5646C0">
            <w:pPr>
              <w:ind w:firstLine="480"/>
            </w:pPr>
            <w:r>
              <w:rPr>
                <w:rFonts w:hint="eastAsia"/>
              </w:rPr>
              <w:t>本项目施工期间产生的废水主要包括施工人员产生的生活污水、施工机械及车辆冲洗废水、基坑排水。</w:t>
            </w:r>
          </w:p>
          <w:p w14:paraId="5BE52185">
            <w:pPr>
              <w:ind w:firstLine="480"/>
            </w:pPr>
            <w:r>
              <w:rPr>
                <w:rFonts w:hint="eastAsia"/>
              </w:rPr>
              <w:t>（1）施工废水</w:t>
            </w:r>
          </w:p>
          <w:p w14:paraId="0043C935">
            <w:pPr>
              <w:ind w:firstLine="480"/>
            </w:pPr>
            <w:r>
              <w:rPr>
                <w:rFonts w:hint="eastAsia"/>
              </w:rPr>
              <w:t>项目施工期生产废水主要是机械清洗废水、车辆冲洗水等，类比同类型建设项目，主要污染物及浓度分别为SS2000mg/L 、COD300mg/L、石油类20mg/L等，根据施工单位提供的资料，项目机械设备不定期进行冲洗，用水量较小，机械清洗及车辆冲洗产生的废水经施工场地内设置的隔油沉淀池容积为</w:t>
            </w:r>
            <w:r>
              <w:rPr>
                <w:rFonts w:hint="eastAsia"/>
                <w:lang w:val="en-US" w:eastAsia="zh-CN"/>
              </w:rPr>
              <w:t>6</w:t>
            </w:r>
            <w:r>
              <w:rPr>
                <w:rFonts w:hint="eastAsia"/>
              </w:rPr>
              <w:t>m</w:t>
            </w:r>
            <w:r>
              <w:rPr>
                <w:rFonts w:hint="eastAsia"/>
                <w:vertAlign w:val="superscript"/>
              </w:rPr>
              <w:t>3</w:t>
            </w:r>
            <w:r>
              <w:rPr>
                <w:rFonts w:hint="eastAsia"/>
              </w:rPr>
              <w:t>）处理后用于车辆冲洗、洒水降尘等，不外排。</w:t>
            </w:r>
          </w:p>
          <w:p w14:paraId="438A9A38">
            <w:pPr>
              <w:ind w:firstLine="480"/>
            </w:pPr>
            <w:r>
              <w:rPr>
                <w:rFonts w:hint="eastAsia"/>
              </w:rPr>
              <w:t>（2）生活污水</w:t>
            </w:r>
          </w:p>
          <w:p w14:paraId="374B3761">
            <w:pPr>
              <w:ind w:firstLine="480"/>
            </w:pPr>
            <w:r>
              <w:rPr>
                <w:rFonts w:hint="eastAsia"/>
              </w:rPr>
              <w:t>施工期间产生生活污水，其主要污染物为COD、NH3-N、SS、BOD</w:t>
            </w:r>
            <w:r>
              <w:rPr>
                <w:rFonts w:hint="eastAsia"/>
                <w:vertAlign w:val="subscript"/>
              </w:rPr>
              <w:t>5</w:t>
            </w:r>
            <w:r>
              <w:rPr>
                <w:rFonts w:hint="eastAsia"/>
              </w:rPr>
              <w:t>等。</w:t>
            </w:r>
          </w:p>
          <w:p w14:paraId="5B984EB7">
            <w:pPr>
              <w:ind w:firstLine="480"/>
            </w:pPr>
            <w:r>
              <w:rPr>
                <w:rFonts w:hint="eastAsia"/>
              </w:rPr>
              <w:t>施工期生活污水量按以下公式计算。</w:t>
            </w:r>
          </w:p>
          <w:p w14:paraId="7D10B172">
            <w:pPr>
              <w:ind w:firstLine="480"/>
              <w:jc w:val="center"/>
            </w:pPr>
            <w:r>
              <w:rPr>
                <w:rFonts w:hint="eastAsia"/>
              </w:rPr>
              <w:t>Qs=（k•q1）/1000</w:t>
            </w:r>
          </w:p>
          <w:p w14:paraId="047462FF">
            <w:pPr>
              <w:ind w:firstLine="480"/>
            </w:pPr>
            <w:r>
              <w:rPr>
                <w:rFonts w:hint="eastAsia"/>
              </w:rPr>
              <w:t>式中：Qs——每人每天生活污水排放量（t/人•d）；</w:t>
            </w:r>
          </w:p>
          <w:p w14:paraId="0006786E">
            <w:pPr>
              <w:ind w:firstLine="1200" w:firstLineChars="500"/>
            </w:pPr>
            <w:r>
              <w:rPr>
                <w:rFonts w:hint="eastAsia"/>
              </w:rPr>
              <w:t>k——生活污水排放系数，一般为0.6~0.9；</w:t>
            </w:r>
          </w:p>
          <w:p w14:paraId="1346B263">
            <w:pPr>
              <w:ind w:firstLine="1200" w:firstLineChars="500"/>
            </w:pPr>
            <w:r>
              <w:rPr>
                <w:rFonts w:hint="eastAsia"/>
              </w:rPr>
              <w:t>q1——每人每天生活用水量定额，L/（人•d）。</w:t>
            </w:r>
          </w:p>
          <w:p w14:paraId="1A3629B4">
            <w:pPr>
              <w:ind w:firstLine="480"/>
            </w:pPr>
            <w:r>
              <w:rPr>
                <w:rFonts w:hint="eastAsia"/>
              </w:rPr>
              <w:t>参考《室外给水设计标准》，一区用水定额为100~150L/（人•d），考虑施工期施工生产生活区卫生设备条件和给排水设施水平等因素，本项目施工期生活用水定额取下限值100L/（人•d），排放系数取0.8。项目施工期高峰人数为80人，则计算得出本项目生活污水排放量为6.4t/d。</w:t>
            </w:r>
          </w:p>
          <w:p w14:paraId="2AEAA631">
            <w:pPr>
              <w:ind w:firstLine="480"/>
            </w:pPr>
            <w:r>
              <w:rPr>
                <w:rFonts w:hint="eastAsia"/>
              </w:rPr>
              <w:t>项目</w:t>
            </w:r>
            <w:r>
              <w:t>施工人员生活、办公均租用附近住宅</w:t>
            </w:r>
            <w:r>
              <w:rPr>
                <w:rFonts w:hint="eastAsia"/>
              </w:rPr>
              <w:t>，</w:t>
            </w:r>
            <w:r>
              <w:t>，依托租用设施所设</w:t>
            </w:r>
            <w:r>
              <w:rPr>
                <w:rFonts w:hint="eastAsia"/>
              </w:rPr>
              <w:t>污水收集</w:t>
            </w:r>
            <w:r>
              <w:t>后排入市政污水管网，经城市污水处理厂处理后达标排放</w:t>
            </w:r>
            <w:r>
              <w:rPr>
                <w:rFonts w:hint="eastAsia"/>
              </w:rPr>
              <w:t>，</w:t>
            </w:r>
            <w:r>
              <w:t>采取上述措施后，本项目施工期生活污水对区域地表水环境影响较小。</w:t>
            </w:r>
          </w:p>
          <w:p w14:paraId="06F6783F">
            <w:pPr>
              <w:ind w:firstLine="480"/>
            </w:pPr>
            <w:r>
              <w:rPr>
                <w:rFonts w:hint="eastAsia"/>
              </w:rPr>
              <w:t>（3）围堰内废水</w:t>
            </w:r>
          </w:p>
          <w:p w14:paraId="386FAD01">
            <w:pPr>
              <w:ind w:firstLine="480"/>
            </w:pPr>
            <w:r>
              <w:rPr>
                <w:rFonts w:hint="eastAsia"/>
              </w:rPr>
              <w:t>基坑开挖过程中会产生围堰内废水，其废水浑浊度较高，围堰内废水通过沉淀池处理后，上清液回用于洒水抑尘、工程养护、车辆冲洗等，多余的上清液引至围堰外河道排放。</w:t>
            </w:r>
          </w:p>
          <w:p w14:paraId="2F4CC7F8">
            <w:pPr>
              <w:ind w:firstLine="480"/>
            </w:pPr>
            <w:r>
              <w:rPr>
                <w:rFonts w:hint="eastAsia"/>
              </w:rPr>
              <w:t>（4）基坑排水</w:t>
            </w:r>
          </w:p>
          <w:p w14:paraId="2FA04F4F">
            <w:pPr>
              <w:ind w:firstLine="480"/>
            </w:pPr>
            <w:r>
              <w:rPr>
                <w:rFonts w:hint="eastAsia"/>
              </w:rPr>
              <w:t>本项目基坑排水包括初期排水和经常性排水。初期排水主要是基坑积水（覆盖层含水）、降雨、围堰渗水和其他途径来水等，经常性排水主要包括降雨等。基坑排水主要污染物为SS，浓度约在3000~4000mg/L之间。经沉淀池沉淀12h以上后，回用于周围区域绿化及道路降尘用水等，不外排。</w:t>
            </w:r>
          </w:p>
          <w:p w14:paraId="55740F48">
            <w:pPr>
              <w:ind w:firstLine="482"/>
            </w:pPr>
            <w:r>
              <w:rPr>
                <w:rFonts w:hint="eastAsia"/>
                <w:b/>
                <w:bCs/>
              </w:rPr>
              <w:t>3、地下水环境影响分析</w:t>
            </w:r>
          </w:p>
          <w:p w14:paraId="607B1DAA">
            <w:pPr>
              <w:ind w:firstLine="480"/>
            </w:pPr>
            <w:r>
              <w:rPr>
                <w:rFonts w:hint="eastAsia"/>
              </w:rPr>
              <w:t>（1）地下水水文影响分析</w:t>
            </w:r>
          </w:p>
          <w:p w14:paraId="6E2DDACC">
            <w:pPr>
              <w:ind w:firstLine="480"/>
            </w:pPr>
            <w:r>
              <w:rPr>
                <w:rFonts w:hint="eastAsia"/>
              </w:rPr>
              <w:t>本项目属非污染生态类型项目，工程内容不涉及隧道、地道工程。场地地下水主要受大气降雨和地表径流补给，地下水水位具随季节呈动态变化特征。工程施工过程中做好水土防护措施，不会造成地下水的大面积流失。</w:t>
            </w:r>
          </w:p>
          <w:p w14:paraId="702FAE5B">
            <w:pPr>
              <w:ind w:firstLine="480"/>
            </w:pPr>
            <w:r>
              <w:rPr>
                <w:rFonts w:hint="eastAsia"/>
              </w:rPr>
              <w:t>因此，工程的建设对区域地下水水位的影响较小，项目建设不会引起区域地下水水位的下降，不会因工程的建设而引起区域地下水文地质问题。为尽可能减小项目对区域地下水环境的影响，评价要求，在施工过程中应切实贯彻“防、排、截、堵结合，以堵为主”的施工理念，减少局部地下水的流失。</w:t>
            </w:r>
          </w:p>
          <w:p w14:paraId="7040C8C6">
            <w:pPr>
              <w:ind w:firstLine="480"/>
            </w:pPr>
            <w:r>
              <w:rPr>
                <w:rFonts w:hint="eastAsia"/>
              </w:rPr>
              <w:t>（2）地下水水质影响分析</w:t>
            </w:r>
          </w:p>
          <w:p w14:paraId="00634D8B">
            <w:pPr>
              <w:ind w:firstLine="480"/>
            </w:pPr>
            <w:r>
              <w:rPr>
                <w:rFonts w:hint="eastAsia"/>
              </w:rPr>
              <w:t>在项目施工期间，可能影响地下水水质的因素主要是施工过程中的各种废物、油污以及泥浆下渗进入地下水，对地下水水质产生影响。</w:t>
            </w:r>
          </w:p>
          <w:p w14:paraId="7CA2797A">
            <w:pPr>
              <w:ind w:firstLine="480"/>
            </w:pPr>
            <w:r>
              <w:rPr>
                <w:rFonts w:hint="eastAsia"/>
              </w:rPr>
              <w:t>①施工场地内堆放的各种建筑材料、施工废弃物以及机械漏油在雨水的冲刷下可能导致污染物下渗进入地下水，造成地下水污染。但该部分油污较少，且容易浮于泥浆之上而被带走，因此，在防范得当的情况下，油污和各种废料对地下水产生的影响较小。</w:t>
            </w:r>
          </w:p>
          <w:p w14:paraId="001B2F11">
            <w:pPr>
              <w:ind w:firstLine="480"/>
            </w:pPr>
            <w:r>
              <w:rPr>
                <w:rFonts w:hint="eastAsia"/>
              </w:rPr>
              <w:t>②本项目在开挖过程中但不涉及深挖，不涉及地下水含水层，在严格按照施工工艺，保证施工机械和车辆清洁并正常运行的条件下，挖方段不会对局部地下水水质产生影响。</w:t>
            </w:r>
          </w:p>
          <w:p w14:paraId="2DE956B3">
            <w:pPr>
              <w:ind w:firstLine="482"/>
            </w:pPr>
            <w:r>
              <w:rPr>
                <w:rFonts w:hint="eastAsia"/>
                <w:b/>
                <w:bCs/>
              </w:rPr>
              <w:t>4、声环境影响分析</w:t>
            </w:r>
          </w:p>
          <w:p w14:paraId="6BAFDB5B">
            <w:pPr>
              <w:ind w:firstLine="480"/>
            </w:pPr>
            <w:r>
              <w:rPr>
                <w:rFonts w:hint="eastAsia"/>
              </w:rPr>
              <w:t>（1）噪声来源分析</w:t>
            </w:r>
          </w:p>
          <w:p w14:paraId="547F217A">
            <w:pPr>
              <w:ind w:firstLine="480"/>
            </w:pPr>
            <w:r>
              <w:rPr>
                <w:rFonts w:hint="eastAsia"/>
              </w:rPr>
              <w:t>本项目施工期噪声主要来自施工机械噪声和运输车辆噪声。工程建设过程中，施工机械、运输等施工活动产生的噪声将对工程地区的声环境带来一定影响，其影响范围主要为施工沿线两侧。</w:t>
            </w:r>
          </w:p>
          <w:p w14:paraId="2C34230F">
            <w:pPr>
              <w:ind w:firstLine="480"/>
            </w:pPr>
            <w:r>
              <w:rPr>
                <w:rFonts w:hint="eastAsia"/>
              </w:rPr>
              <w:t>施工机械噪声主要来自施工现场使用的各类机械设备产生的噪声。这些施工机械包括装载机、推土机、挖掘机等机械设备。由于本项目施工具有施工点多、线长的特点，因而一般情况下施工机械分布比较分散，多数情况下只有1～2台施工设备在同一作业点同时使用。在施工过程中，运输车辆在行驶过程中会产生交通噪声，特别是重型汽车运行中产生的噪声辐射强度较高。因各类运输车辆频繁行驶在施工工地和河道沿岸，其会对周围环境产生交通噪声影响。</w:t>
            </w:r>
          </w:p>
          <w:p w14:paraId="6731B2D7">
            <w:pPr>
              <w:ind w:firstLine="480"/>
            </w:pPr>
            <w:r>
              <w:rPr>
                <w:rFonts w:hint="eastAsia"/>
              </w:rPr>
              <w:t>（2）噪声预测</w:t>
            </w:r>
          </w:p>
          <w:p w14:paraId="78A6CB60">
            <w:pPr>
              <w:ind w:firstLine="480"/>
            </w:pPr>
            <w:r>
              <w:rPr>
                <w:rFonts w:hint="eastAsia"/>
              </w:rPr>
              <w:t>项目施工机械噪声主要是低频噪声，仅考虑距离衰减值、场界围墙屏障等因素。次预测采用点声源衰减模式，噪声衰减公式如下。</w:t>
            </w:r>
          </w:p>
          <w:p w14:paraId="31D529F2">
            <w:pPr>
              <w:spacing w:line="323" w:lineRule="exact"/>
              <w:ind w:left="3551" w:firstLine="480"/>
              <w:rPr>
                <w:sz w:val="15"/>
                <w:szCs w:val="15"/>
              </w:rPr>
            </w:pPr>
            <w:r>
              <w:rPr>
                <w:position w:val="4"/>
              </w:rPr>
              <w:t>L</w:t>
            </w:r>
            <w:r>
              <w:rPr>
                <w:position w:val="3"/>
                <w:sz w:val="15"/>
                <w:szCs w:val="15"/>
              </w:rPr>
              <w:t>m</w:t>
            </w:r>
            <w:r>
              <w:rPr>
                <w:position w:val="4"/>
              </w:rPr>
              <w:t>=L</w:t>
            </w:r>
            <w:r>
              <w:rPr>
                <w:position w:val="3"/>
                <w:sz w:val="15"/>
                <w:szCs w:val="15"/>
              </w:rPr>
              <w:t>0</w:t>
            </w:r>
            <w:r>
              <w:rPr>
                <w:position w:val="4"/>
              </w:rPr>
              <w:t>—20lgr/r</w:t>
            </w:r>
            <w:r>
              <w:rPr>
                <w:position w:val="4"/>
                <w:sz w:val="15"/>
                <w:szCs w:val="15"/>
              </w:rPr>
              <w:t>0</w:t>
            </w:r>
          </w:p>
          <w:p w14:paraId="59B6FD5B">
            <w:pPr>
              <w:pStyle w:val="31"/>
              <w:spacing w:before="150" w:line="344" w:lineRule="auto"/>
              <w:ind w:left="1299" w:right="735" w:firstLine="472"/>
              <w:rPr>
                <w:rFonts w:ascii="Times New Roman" w:hAnsi="Times New Roman" w:cs="Times New Roman"/>
                <w:spacing w:val="-2"/>
                <w:sz w:val="24"/>
                <w:szCs w:val="24"/>
              </w:rPr>
            </w:pPr>
            <w:r>
              <w:rPr>
                <w:rFonts w:ascii="Times New Roman" w:hAnsi="Times New Roman" w:cs="Times New Roman"/>
                <w:spacing w:val="-2"/>
                <w:sz w:val="24"/>
                <w:szCs w:val="24"/>
              </w:rPr>
              <w:t>式中：</w:t>
            </w:r>
          </w:p>
          <w:p w14:paraId="5C228118">
            <w:pPr>
              <w:pStyle w:val="31"/>
              <w:spacing w:before="150" w:line="344" w:lineRule="auto"/>
              <w:ind w:left="1319" w:leftChars="318" w:right="735" w:hanging="556" w:hangingChars="236"/>
              <w:rPr>
                <w:rFonts w:ascii="Times New Roman" w:hAnsi="Times New Roman" w:cs="Times New Roman"/>
                <w:spacing w:val="-3"/>
                <w:sz w:val="24"/>
                <w:szCs w:val="24"/>
                <w:lang w:eastAsia="zh-CN"/>
              </w:rPr>
            </w:pPr>
            <w:r>
              <w:rPr>
                <w:rFonts w:ascii="Times New Roman" w:hAnsi="Times New Roman" w:cs="Times New Roman"/>
                <w:spacing w:val="-2"/>
                <w:sz w:val="24"/>
                <w:szCs w:val="24"/>
                <w:lang w:eastAsia="zh-CN"/>
              </w:rPr>
              <w:t>L</w:t>
            </w:r>
            <w:r>
              <w:rPr>
                <w:rFonts w:ascii="Times New Roman" w:hAnsi="Times New Roman" w:cs="Times New Roman"/>
                <w:spacing w:val="-2"/>
                <w:position w:val="-1"/>
                <w:sz w:val="15"/>
                <w:szCs w:val="15"/>
                <w:lang w:eastAsia="zh-CN"/>
              </w:rPr>
              <w:t>m</w:t>
            </w:r>
            <w:r>
              <w:rPr>
                <w:rFonts w:ascii="Times New Roman" w:hAnsi="Times New Roman" w:cs="Times New Roman"/>
                <w:spacing w:val="-2"/>
                <w:sz w:val="24"/>
                <w:szCs w:val="24"/>
                <w:lang w:eastAsia="zh-CN"/>
              </w:rPr>
              <w:t>——距离声源为</w:t>
            </w:r>
            <w:r>
              <w:rPr>
                <w:rFonts w:ascii="Times New Roman" w:hAnsi="Times New Roman" w:cs="Times New Roman"/>
                <w:spacing w:val="-58"/>
                <w:sz w:val="24"/>
                <w:szCs w:val="24"/>
                <w:lang w:eastAsia="zh-CN"/>
              </w:rPr>
              <w:t xml:space="preserve"> </w:t>
            </w:r>
            <w:r>
              <w:rPr>
                <w:rFonts w:ascii="Times New Roman" w:hAnsi="Times New Roman" w:cs="Times New Roman"/>
                <w:spacing w:val="-2"/>
                <w:sz w:val="24"/>
                <w:szCs w:val="24"/>
                <w:lang w:eastAsia="zh-CN"/>
              </w:rPr>
              <w:t>r米处预测受声点噪声预测值[</w:t>
            </w:r>
            <w:r>
              <w:rPr>
                <w:rFonts w:ascii="Times New Roman" w:hAnsi="Times New Roman" w:cs="Times New Roman"/>
                <w:spacing w:val="-3"/>
                <w:sz w:val="24"/>
                <w:szCs w:val="24"/>
                <w:lang w:eastAsia="zh-CN"/>
              </w:rPr>
              <w:t>dB（A）]；</w:t>
            </w:r>
          </w:p>
          <w:p w14:paraId="32BF6B48">
            <w:pPr>
              <w:pStyle w:val="31"/>
              <w:spacing w:before="150" w:line="344" w:lineRule="auto"/>
              <w:ind w:right="735" w:firstLine="726" w:firstLineChars="300"/>
              <w:rPr>
                <w:rFonts w:ascii="Times New Roman" w:hAnsi="Times New Roman" w:cs="Times New Roman"/>
                <w:spacing w:val="1"/>
                <w:sz w:val="24"/>
                <w:szCs w:val="24"/>
                <w:lang w:eastAsia="zh-CN"/>
              </w:rPr>
            </w:pPr>
            <w:r>
              <w:rPr>
                <w:rFonts w:ascii="Times New Roman" w:hAnsi="Times New Roman" w:cs="Times New Roman"/>
                <w:spacing w:val="1"/>
                <w:sz w:val="24"/>
                <w:szCs w:val="24"/>
                <w:lang w:eastAsia="zh-CN"/>
              </w:rPr>
              <w:t>L</w:t>
            </w:r>
            <w:r>
              <w:rPr>
                <w:rFonts w:ascii="Times New Roman" w:hAnsi="Times New Roman" w:cs="Times New Roman"/>
                <w:spacing w:val="1"/>
                <w:position w:val="-1"/>
                <w:sz w:val="15"/>
                <w:szCs w:val="15"/>
                <w:lang w:eastAsia="zh-CN"/>
              </w:rPr>
              <w:t>0</w:t>
            </w:r>
            <w:r>
              <w:rPr>
                <w:rFonts w:ascii="Times New Roman" w:hAnsi="Times New Roman" w:cs="Times New Roman"/>
                <w:spacing w:val="1"/>
                <w:sz w:val="24"/>
                <w:szCs w:val="24"/>
                <w:lang w:eastAsia="zh-CN"/>
              </w:rPr>
              <w:t>——距离声源为</w:t>
            </w:r>
            <w:r>
              <w:rPr>
                <w:rFonts w:ascii="Times New Roman" w:hAnsi="Times New Roman" w:cs="Times New Roman"/>
                <w:spacing w:val="-46"/>
                <w:sz w:val="24"/>
                <w:szCs w:val="24"/>
                <w:lang w:eastAsia="zh-CN"/>
              </w:rPr>
              <w:t xml:space="preserve"> </w:t>
            </w:r>
            <w:r>
              <w:rPr>
                <w:rFonts w:ascii="Times New Roman" w:hAnsi="Times New Roman" w:cs="Times New Roman"/>
                <w:spacing w:val="1"/>
                <w:sz w:val="24"/>
                <w:szCs w:val="24"/>
                <w:lang w:eastAsia="zh-CN"/>
              </w:rPr>
              <w:t>r</w:t>
            </w:r>
            <w:r>
              <w:rPr>
                <w:rFonts w:ascii="Times New Roman" w:hAnsi="Times New Roman" w:cs="Times New Roman"/>
                <w:spacing w:val="1"/>
                <w:sz w:val="15"/>
                <w:szCs w:val="15"/>
                <w:lang w:eastAsia="zh-CN"/>
              </w:rPr>
              <w:t>0</w:t>
            </w:r>
            <w:r>
              <w:rPr>
                <w:rFonts w:ascii="Times New Roman" w:hAnsi="Times New Roman" w:cs="Times New Roman"/>
                <w:spacing w:val="1"/>
                <w:sz w:val="24"/>
                <w:szCs w:val="24"/>
                <w:lang w:eastAsia="zh-CN"/>
              </w:rPr>
              <w:t>米处室外声源的总声级值[</w:t>
            </w:r>
            <w:r>
              <w:rPr>
                <w:rFonts w:ascii="Times New Roman" w:hAnsi="Times New Roman" w:cs="Times New Roman"/>
                <w:sz w:val="24"/>
                <w:szCs w:val="24"/>
                <w:lang w:eastAsia="zh-CN"/>
              </w:rPr>
              <w:t>dB</w:t>
            </w:r>
            <w:r>
              <w:rPr>
                <w:rFonts w:ascii="Times New Roman" w:hAnsi="Times New Roman" w:cs="Times New Roman"/>
                <w:spacing w:val="1"/>
                <w:sz w:val="24"/>
                <w:szCs w:val="24"/>
                <w:lang w:eastAsia="zh-CN"/>
              </w:rPr>
              <w:t>（A）]</w:t>
            </w:r>
            <w:r>
              <w:rPr>
                <w:rFonts w:ascii="Times New Roman" w:hAnsi="Times New Roman" w:cs="Times New Roman"/>
                <w:spacing w:val="-30"/>
                <w:sz w:val="24"/>
                <w:szCs w:val="24"/>
                <w:lang w:eastAsia="zh-CN"/>
              </w:rPr>
              <w:t xml:space="preserve"> </w:t>
            </w:r>
            <w:r>
              <w:rPr>
                <w:rFonts w:ascii="Times New Roman" w:hAnsi="Times New Roman" w:cs="Times New Roman"/>
                <w:spacing w:val="1"/>
                <w:sz w:val="24"/>
                <w:szCs w:val="24"/>
                <w:lang w:eastAsia="zh-CN"/>
              </w:rPr>
              <w:t>；</w:t>
            </w:r>
          </w:p>
          <w:p w14:paraId="748382C5">
            <w:pPr>
              <w:pStyle w:val="31"/>
              <w:spacing w:before="150" w:line="344" w:lineRule="auto"/>
              <w:ind w:right="735" w:firstLine="714" w:firstLineChars="300"/>
              <w:rPr>
                <w:rFonts w:ascii="Times New Roman" w:hAnsi="Times New Roman" w:cs="Times New Roman"/>
                <w:sz w:val="24"/>
                <w:szCs w:val="24"/>
                <w:lang w:eastAsia="zh-CN"/>
              </w:rPr>
            </w:pPr>
            <w:r>
              <w:rPr>
                <w:rFonts w:ascii="Times New Roman" w:hAnsi="Times New Roman" w:cs="Times New Roman"/>
                <w:spacing w:val="-1"/>
                <w:sz w:val="24"/>
                <w:szCs w:val="24"/>
                <w:lang w:eastAsia="zh-CN"/>
              </w:rPr>
              <w:t>r——预测受声点距声源的预测距离（米）。</w:t>
            </w:r>
          </w:p>
          <w:p w14:paraId="743CA2B2">
            <w:pPr>
              <w:wordWrap w:val="0"/>
              <w:ind w:firstLine="472"/>
              <w:rPr>
                <w:color w:val="000000"/>
              </w:rPr>
            </w:pPr>
            <w:r>
              <w:rPr>
                <w:spacing w:val="-2"/>
              </w:rPr>
              <w:t>由上式预测单个噪声源在评价点的贡献值，再将不同声源在该</w:t>
            </w:r>
            <w:r>
              <w:rPr>
                <w:spacing w:val="-3"/>
              </w:rPr>
              <w:t>点的贡献值</w:t>
            </w:r>
            <w:r>
              <w:t>用对数法叠加，得出多个噪声源对该点噪声的</w:t>
            </w:r>
            <w:r>
              <w:rPr>
                <w:spacing w:val="-1"/>
              </w:rPr>
              <w:t>贡献值，噪声叠加公式如下。</w:t>
            </w:r>
          </w:p>
          <w:p w14:paraId="553A6C7E">
            <w:pPr>
              <w:wordWrap w:val="0"/>
              <w:ind w:firstLine="480"/>
              <w:jc w:val="center"/>
              <w:rPr>
                <w:color w:val="000000"/>
              </w:rPr>
            </w:pPr>
            <w:r>
              <w:rPr>
                <w:position w:val="-10"/>
              </w:rPr>
              <w:drawing>
                <wp:inline distT="0" distB="0" distL="114300" distR="114300">
                  <wp:extent cx="1442085" cy="320040"/>
                  <wp:effectExtent l="0" t="0" r="5715" b="3810"/>
                  <wp:docPr id="9" name="图片 1"/>
                  <wp:cNvGraphicFramePr/>
                  <a:graphic xmlns:a="http://schemas.openxmlformats.org/drawingml/2006/main">
                    <a:graphicData uri="http://schemas.openxmlformats.org/drawingml/2006/picture">
                      <pic:pic xmlns:pic="http://schemas.openxmlformats.org/drawingml/2006/picture">
                        <pic:nvPicPr>
                          <pic:cNvPr id="9" name="图片 1"/>
                          <pic:cNvPicPr/>
                        </pic:nvPicPr>
                        <pic:blipFill>
                          <a:blip r:embed="rId23"/>
                          <a:stretch>
                            <a:fillRect/>
                          </a:stretch>
                        </pic:blipFill>
                        <pic:spPr>
                          <a:xfrm>
                            <a:off x="0" y="0"/>
                            <a:ext cx="1442085" cy="320040"/>
                          </a:xfrm>
                          <a:prstGeom prst="rect">
                            <a:avLst/>
                          </a:prstGeom>
                          <a:noFill/>
                          <a:ln>
                            <a:noFill/>
                          </a:ln>
                        </pic:spPr>
                      </pic:pic>
                    </a:graphicData>
                  </a:graphic>
                </wp:inline>
              </w:drawing>
            </w:r>
          </w:p>
          <w:p w14:paraId="3D60F1EB">
            <w:pPr>
              <w:pStyle w:val="31"/>
              <w:spacing w:before="223" w:line="219" w:lineRule="auto"/>
              <w:ind w:left="592" w:firstLine="476"/>
              <w:rPr>
                <w:rFonts w:ascii="Times New Roman" w:hAnsi="Times New Roman" w:cs="Times New Roman"/>
                <w:sz w:val="24"/>
                <w:szCs w:val="24"/>
                <w:lang w:eastAsia="zh-CN"/>
              </w:rPr>
            </w:pPr>
            <w:r>
              <w:rPr>
                <w:rFonts w:ascii="Times New Roman" w:hAnsi="Times New Roman" w:cs="Times New Roman"/>
                <w:spacing w:val="-1"/>
                <w:sz w:val="24"/>
                <w:szCs w:val="24"/>
                <w:lang w:eastAsia="zh-CN"/>
              </w:rPr>
              <w:t>式中：n——在规定时间内噪声监测取样个数；</w:t>
            </w:r>
          </w:p>
          <w:p w14:paraId="4B2D9D89">
            <w:pPr>
              <w:pStyle w:val="31"/>
              <w:spacing w:before="179" w:line="338" w:lineRule="auto"/>
              <w:ind w:left="1299" w:right="2211" w:firstLine="460"/>
              <w:rPr>
                <w:rFonts w:ascii="Times New Roman" w:hAnsi="Times New Roman" w:cs="Times New Roman"/>
                <w:spacing w:val="-5"/>
                <w:sz w:val="24"/>
                <w:szCs w:val="24"/>
                <w:lang w:eastAsia="zh-CN"/>
              </w:rPr>
            </w:pPr>
            <w:r>
              <w:rPr>
                <w:rFonts w:ascii="Times New Roman" w:hAnsi="Times New Roman" w:cs="Times New Roman"/>
                <w:spacing w:val="-5"/>
                <w:sz w:val="24"/>
                <w:szCs w:val="24"/>
                <w:lang w:eastAsia="zh-CN"/>
              </w:rPr>
              <w:t>L</w:t>
            </w:r>
            <w:r>
              <w:rPr>
                <w:rFonts w:ascii="Times New Roman" w:hAnsi="Times New Roman" w:cs="Times New Roman"/>
                <w:spacing w:val="-5"/>
                <w:position w:val="-1"/>
                <w:sz w:val="15"/>
                <w:szCs w:val="15"/>
                <w:lang w:eastAsia="zh-CN"/>
              </w:rPr>
              <w:t>i</w:t>
            </w:r>
            <w:r>
              <w:rPr>
                <w:rFonts w:ascii="Times New Roman" w:hAnsi="Times New Roman" w:cs="Times New Roman"/>
                <w:spacing w:val="-5"/>
                <w:sz w:val="24"/>
                <w:szCs w:val="24"/>
                <w:lang w:eastAsia="zh-CN"/>
              </w:rPr>
              <w:t>——第</w:t>
            </w:r>
            <w:r>
              <w:rPr>
                <w:rFonts w:ascii="Times New Roman" w:hAnsi="Times New Roman" w:cs="Times New Roman"/>
                <w:spacing w:val="-37"/>
                <w:sz w:val="24"/>
                <w:szCs w:val="24"/>
                <w:lang w:eastAsia="zh-CN"/>
              </w:rPr>
              <w:t xml:space="preserve"> </w:t>
            </w:r>
            <w:r>
              <w:rPr>
                <w:rFonts w:ascii="Times New Roman" w:hAnsi="Times New Roman" w:cs="Times New Roman"/>
                <w:spacing w:val="-5"/>
                <w:sz w:val="24"/>
                <w:szCs w:val="24"/>
                <w:lang w:eastAsia="zh-CN"/>
              </w:rPr>
              <w:t>i次采样读取的</w:t>
            </w:r>
            <w:r>
              <w:rPr>
                <w:rFonts w:ascii="Times New Roman" w:hAnsi="Times New Roman" w:cs="Times New Roman"/>
                <w:spacing w:val="-58"/>
                <w:sz w:val="24"/>
                <w:szCs w:val="24"/>
                <w:lang w:eastAsia="zh-CN"/>
              </w:rPr>
              <w:t xml:space="preserve"> </w:t>
            </w:r>
            <w:r>
              <w:rPr>
                <w:rFonts w:ascii="Times New Roman" w:hAnsi="Times New Roman" w:cs="Times New Roman"/>
                <w:spacing w:val="-5"/>
                <w:sz w:val="24"/>
                <w:szCs w:val="24"/>
                <w:lang w:eastAsia="zh-CN"/>
              </w:rPr>
              <w:t>A声级，[dB（A）]；</w:t>
            </w:r>
          </w:p>
          <w:p w14:paraId="30017074">
            <w:pPr>
              <w:pStyle w:val="31"/>
              <w:spacing w:before="179" w:line="338" w:lineRule="auto"/>
              <w:ind w:left="1299" w:right="2211" w:firstLine="476"/>
              <w:rPr>
                <w:rFonts w:ascii="Times New Roman" w:hAnsi="Times New Roman" w:cs="Times New Roman"/>
                <w:sz w:val="24"/>
                <w:szCs w:val="24"/>
                <w:lang w:eastAsia="zh-CN"/>
              </w:rPr>
            </w:pPr>
            <w:r>
              <w:rPr>
                <w:rFonts w:ascii="Times New Roman" w:hAnsi="Times New Roman" w:cs="Times New Roman"/>
                <w:spacing w:val="-1"/>
                <w:sz w:val="24"/>
                <w:szCs w:val="24"/>
                <w:lang w:eastAsia="zh-CN"/>
              </w:rPr>
              <w:t>n——声源个数。</w:t>
            </w:r>
          </w:p>
          <w:p w14:paraId="4243EA42">
            <w:pPr>
              <w:pStyle w:val="31"/>
              <w:spacing w:before="58" w:line="350" w:lineRule="auto"/>
              <w:ind w:left="108" w:right="103" w:firstLine="480"/>
              <w:rPr>
                <w:rFonts w:ascii="Times New Roman" w:hAnsi="Times New Roman" w:cs="Times New Roman"/>
                <w:sz w:val="24"/>
                <w:szCs w:val="24"/>
                <w:lang w:eastAsia="zh-CN"/>
              </w:rPr>
            </w:pPr>
            <w:r>
              <w:rPr>
                <w:rFonts w:hint="eastAsia" w:ascii="Times New Roman" w:hAnsi="Times New Roman" w:cs="Times New Roman"/>
                <w:sz w:val="24"/>
                <w:szCs w:val="24"/>
                <w:lang w:eastAsia="zh-CN"/>
              </w:rPr>
              <w:t>根据《建筑施工噪声排放标准》（GB 12523-2025），以各施工机械的声功率级为基础，依据噪声预测公示，通过计算得出各施工机械噪声源经自然衰减达标时所需的距离，具体数据见下表。</w:t>
            </w:r>
          </w:p>
          <w:p w14:paraId="427EB0D5">
            <w:pPr>
              <w:pStyle w:val="31"/>
              <w:spacing w:before="58" w:line="350" w:lineRule="auto"/>
              <w:ind w:left="108" w:right="103" w:firstLine="422"/>
              <w:jc w:val="center"/>
              <w:rPr>
                <w:rFonts w:ascii="Times New Roman" w:hAnsi="Times New Roman" w:cs="Times New Roman"/>
                <w:b/>
                <w:bCs/>
                <w:sz w:val="21"/>
                <w:szCs w:val="21"/>
                <w:lang w:eastAsia="zh-CN"/>
              </w:rPr>
            </w:pPr>
            <w:r>
              <w:rPr>
                <w:rFonts w:hint="eastAsia" w:ascii="Times New Roman" w:hAnsi="Times New Roman" w:cs="Times New Roman"/>
                <w:b/>
                <w:bCs/>
                <w:sz w:val="21"/>
                <w:szCs w:val="21"/>
                <w:lang w:eastAsia="zh-CN"/>
              </w:rPr>
              <w:t>表4-3  各施工机械场界噪声达标所需衰减距离</w:t>
            </w:r>
          </w:p>
          <w:tbl>
            <w:tblPr>
              <w:tblStyle w:val="19"/>
              <w:tblW w:w="8628"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8"/>
              <w:gridCol w:w="1184"/>
              <w:gridCol w:w="566"/>
              <w:gridCol w:w="634"/>
              <w:gridCol w:w="600"/>
              <w:gridCol w:w="683"/>
              <w:gridCol w:w="667"/>
              <w:gridCol w:w="666"/>
              <w:gridCol w:w="734"/>
              <w:gridCol w:w="833"/>
              <w:gridCol w:w="863"/>
              <w:gridCol w:w="770"/>
            </w:tblGrid>
            <w:tr w14:paraId="35F3BD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jc w:val="center"/>
              </w:trPr>
              <w:tc>
                <w:tcPr>
                  <w:tcW w:w="428" w:type="dxa"/>
                  <w:vMerge w:val="restart"/>
                  <w:tcBorders>
                    <w:tl2br w:val="nil"/>
                    <w:tr2bl w:val="nil"/>
                  </w:tcBorders>
                  <w:shd w:val="clear" w:color="auto" w:fill="auto"/>
                  <w:vAlign w:val="center"/>
                </w:tcPr>
                <w:p w14:paraId="1152A077">
                  <w:pPr>
                    <w:pStyle w:val="34"/>
                    <w:autoSpaceDE w:val="0"/>
                    <w:autoSpaceDN w:val="0"/>
                    <w:ind w:firstLineChars="0"/>
                    <w:rPr>
                      <w:color w:val="auto"/>
                    </w:rPr>
                  </w:pPr>
                  <w:r>
                    <w:rPr>
                      <w:rFonts w:hint="eastAsia"/>
                      <w:color w:val="auto"/>
                    </w:rPr>
                    <w:t>序号</w:t>
                  </w:r>
                </w:p>
              </w:tc>
              <w:tc>
                <w:tcPr>
                  <w:tcW w:w="1184" w:type="dxa"/>
                  <w:vMerge w:val="restart"/>
                  <w:tcBorders>
                    <w:tl2br w:val="nil"/>
                    <w:tr2bl w:val="nil"/>
                  </w:tcBorders>
                  <w:shd w:val="clear" w:color="auto" w:fill="auto"/>
                  <w:vAlign w:val="center"/>
                </w:tcPr>
                <w:p w14:paraId="29E2BAD7">
                  <w:pPr>
                    <w:pStyle w:val="34"/>
                    <w:autoSpaceDE w:val="0"/>
                    <w:autoSpaceDN w:val="0"/>
                    <w:ind w:firstLineChars="0"/>
                    <w:rPr>
                      <w:color w:val="auto"/>
                    </w:rPr>
                  </w:pPr>
                  <w:r>
                    <w:rPr>
                      <w:rFonts w:hint="eastAsia"/>
                      <w:color w:val="auto"/>
                    </w:rPr>
                    <w:t>设备名称</w:t>
                  </w:r>
                </w:p>
              </w:tc>
              <w:tc>
                <w:tcPr>
                  <w:tcW w:w="7016" w:type="dxa"/>
                  <w:gridSpan w:val="10"/>
                  <w:tcBorders>
                    <w:tl2br w:val="nil"/>
                    <w:tr2bl w:val="nil"/>
                  </w:tcBorders>
                  <w:vAlign w:val="center"/>
                </w:tcPr>
                <w:p w14:paraId="7A269A20">
                  <w:pPr>
                    <w:pStyle w:val="34"/>
                    <w:autoSpaceDE w:val="0"/>
                    <w:autoSpaceDN w:val="0"/>
                    <w:ind w:firstLineChars="0"/>
                    <w:rPr>
                      <w:color w:val="auto"/>
                    </w:rPr>
                  </w:pPr>
                  <w:r>
                    <w:rPr>
                      <w:rFonts w:hint="eastAsia"/>
                      <w:color w:val="auto"/>
                    </w:rPr>
                    <w:t>噪声值Leq(dB)</w:t>
                  </w:r>
                </w:p>
              </w:tc>
            </w:tr>
            <w:tr w14:paraId="3A135E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vMerge w:val="continue"/>
                  <w:tcBorders>
                    <w:tl2br w:val="nil"/>
                    <w:tr2bl w:val="nil"/>
                  </w:tcBorders>
                  <w:vAlign w:val="center"/>
                </w:tcPr>
                <w:p w14:paraId="62BAC047">
                  <w:pPr>
                    <w:pStyle w:val="34"/>
                    <w:autoSpaceDE w:val="0"/>
                    <w:autoSpaceDN w:val="0"/>
                    <w:ind w:firstLineChars="0"/>
                    <w:rPr>
                      <w:color w:val="auto"/>
                    </w:rPr>
                  </w:pPr>
                </w:p>
              </w:tc>
              <w:tc>
                <w:tcPr>
                  <w:tcW w:w="1184" w:type="dxa"/>
                  <w:vMerge w:val="continue"/>
                  <w:tcBorders>
                    <w:tl2br w:val="nil"/>
                    <w:tr2bl w:val="nil"/>
                  </w:tcBorders>
                  <w:vAlign w:val="center"/>
                </w:tcPr>
                <w:p w14:paraId="316F54A3">
                  <w:pPr>
                    <w:pStyle w:val="34"/>
                    <w:autoSpaceDE w:val="0"/>
                    <w:autoSpaceDN w:val="0"/>
                    <w:ind w:firstLineChars="0"/>
                    <w:rPr>
                      <w:color w:val="auto"/>
                    </w:rPr>
                  </w:pPr>
                </w:p>
              </w:tc>
              <w:tc>
                <w:tcPr>
                  <w:tcW w:w="566" w:type="dxa"/>
                  <w:tcBorders>
                    <w:tl2br w:val="nil"/>
                    <w:tr2bl w:val="nil"/>
                  </w:tcBorders>
                  <w:shd w:val="clear" w:color="auto" w:fill="auto"/>
                  <w:vAlign w:val="center"/>
                </w:tcPr>
                <w:p w14:paraId="170EB9D3">
                  <w:pPr>
                    <w:pStyle w:val="34"/>
                    <w:autoSpaceDE w:val="0"/>
                    <w:autoSpaceDN w:val="0"/>
                    <w:ind w:firstLineChars="0"/>
                    <w:rPr>
                      <w:color w:val="auto"/>
                    </w:rPr>
                  </w:pPr>
                  <w:r>
                    <w:rPr>
                      <w:rFonts w:hint="eastAsia"/>
                      <w:color w:val="auto"/>
                    </w:rPr>
                    <w:t>5m</w:t>
                  </w:r>
                </w:p>
              </w:tc>
              <w:tc>
                <w:tcPr>
                  <w:tcW w:w="634" w:type="dxa"/>
                  <w:tcBorders>
                    <w:tl2br w:val="nil"/>
                    <w:tr2bl w:val="nil"/>
                  </w:tcBorders>
                  <w:shd w:val="clear" w:color="auto" w:fill="auto"/>
                  <w:vAlign w:val="center"/>
                </w:tcPr>
                <w:p w14:paraId="2AFB8781">
                  <w:pPr>
                    <w:pStyle w:val="34"/>
                    <w:autoSpaceDE w:val="0"/>
                    <w:autoSpaceDN w:val="0"/>
                    <w:ind w:firstLineChars="0"/>
                    <w:rPr>
                      <w:color w:val="auto"/>
                    </w:rPr>
                  </w:pPr>
                  <w:r>
                    <w:rPr>
                      <w:rFonts w:hint="eastAsia"/>
                      <w:color w:val="auto"/>
                    </w:rPr>
                    <w:t>10m</w:t>
                  </w:r>
                </w:p>
              </w:tc>
              <w:tc>
                <w:tcPr>
                  <w:tcW w:w="600" w:type="dxa"/>
                  <w:tcBorders>
                    <w:tl2br w:val="nil"/>
                    <w:tr2bl w:val="nil"/>
                  </w:tcBorders>
                  <w:shd w:val="clear" w:color="auto" w:fill="auto"/>
                  <w:vAlign w:val="center"/>
                </w:tcPr>
                <w:p w14:paraId="0E8A2E04">
                  <w:pPr>
                    <w:pStyle w:val="34"/>
                    <w:autoSpaceDE w:val="0"/>
                    <w:autoSpaceDN w:val="0"/>
                    <w:ind w:firstLineChars="0"/>
                    <w:rPr>
                      <w:color w:val="auto"/>
                    </w:rPr>
                  </w:pPr>
                  <w:r>
                    <w:rPr>
                      <w:rFonts w:hint="eastAsia"/>
                      <w:color w:val="auto"/>
                    </w:rPr>
                    <w:t>20m</w:t>
                  </w:r>
                </w:p>
              </w:tc>
              <w:tc>
                <w:tcPr>
                  <w:tcW w:w="683" w:type="dxa"/>
                  <w:tcBorders>
                    <w:tl2br w:val="nil"/>
                    <w:tr2bl w:val="nil"/>
                  </w:tcBorders>
                  <w:shd w:val="clear" w:color="auto" w:fill="auto"/>
                  <w:vAlign w:val="center"/>
                </w:tcPr>
                <w:p w14:paraId="6614143C">
                  <w:pPr>
                    <w:pStyle w:val="34"/>
                    <w:autoSpaceDE w:val="0"/>
                    <w:autoSpaceDN w:val="0"/>
                    <w:ind w:firstLineChars="0"/>
                    <w:rPr>
                      <w:color w:val="auto"/>
                    </w:rPr>
                  </w:pPr>
                  <w:r>
                    <w:rPr>
                      <w:rFonts w:hint="eastAsia"/>
                      <w:color w:val="auto"/>
                    </w:rPr>
                    <w:t>30m</w:t>
                  </w:r>
                </w:p>
              </w:tc>
              <w:tc>
                <w:tcPr>
                  <w:tcW w:w="667" w:type="dxa"/>
                  <w:tcBorders>
                    <w:tl2br w:val="nil"/>
                    <w:tr2bl w:val="nil"/>
                  </w:tcBorders>
                  <w:shd w:val="clear" w:color="auto" w:fill="auto"/>
                  <w:vAlign w:val="center"/>
                </w:tcPr>
                <w:p w14:paraId="2B593843">
                  <w:pPr>
                    <w:pStyle w:val="34"/>
                    <w:autoSpaceDE w:val="0"/>
                    <w:autoSpaceDN w:val="0"/>
                    <w:ind w:firstLineChars="0"/>
                    <w:rPr>
                      <w:color w:val="auto"/>
                    </w:rPr>
                  </w:pPr>
                  <w:r>
                    <w:rPr>
                      <w:rFonts w:hint="eastAsia"/>
                      <w:color w:val="auto"/>
                    </w:rPr>
                    <w:t>40m</w:t>
                  </w:r>
                </w:p>
              </w:tc>
              <w:tc>
                <w:tcPr>
                  <w:tcW w:w="666" w:type="dxa"/>
                  <w:tcBorders>
                    <w:tl2br w:val="nil"/>
                    <w:tr2bl w:val="nil"/>
                  </w:tcBorders>
                  <w:shd w:val="clear" w:color="auto" w:fill="auto"/>
                  <w:vAlign w:val="center"/>
                </w:tcPr>
                <w:p w14:paraId="18D01C7D">
                  <w:pPr>
                    <w:pStyle w:val="34"/>
                    <w:autoSpaceDE w:val="0"/>
                    <w:autoSpaceDN w:val="0"/>
                    <w:ind w:firstLineChars="0"/>
                    <w:rPr>
                      <w:color w:val="auto"/>
                    </w:rPr>
                  </w:pPr>
                  <w:r>
                    <w:rPr>
                      <w:rFonts w:hint="eastAsia"/>
                      <w:color w:val="auto"/>
                    </w:rPr>
                    <w:t>50m</w:t>
                  </w:r>
                </w:p>
              </w:tc>
              <w:tc>
                <w:tcPr>
                  <w:tcW w:w="734" w:type="dxa"/>
                  <w:tcBorders>
                    <w:tl2br w:val="nil"/>
                    <w:tr2bl w:val="nil"/>
                  </w:tcBorders>
                  <w:shd w:val="clear" w:color="auto" w:fill="auto"/>
                  <w:vAlign w:val="center"/>
                </w:tcPr>
                <w:p w14:paraId="02E19917">
                  <w:pPr>
                    <w:pStyle w:val="34"/>
                    <w:autoSpaceDE w:val="0"/>
                    <w:autoSpaceDN w:val="0"/>
                    <w:ind w:firstLineChars="0"/>
                    <w:rPr>
                      <w:color w:val="auto"/>
                    </w:rPr>
                  </w:pPr>
                  <w:r>
                    <w:rPr>
                      <w:rFonts w:hint="eastAsia"/>
                      <w:color w:val="auto"/>
                    </w:rPr>
                    <w:t>100m</w:t>
                  </w:r>
                </w:p>
              </w:tc>
              <w:tc>
                <w:tcPr>
                  <w:tcW w:w="833" w:type="dxa"/>
                  <w:tcBorders>
                    <w:tl2br w:val="nil"/>
                    <w:tr2bl w:val="nil"/>
                  </w:tcBorders>
                  <w:shd w:val="clear" w:color="auto" w:fill="auto"/>
                  <w:vAlign w:val="center"/>
                </w:tcPr>
                <w:p w14:paraId="23BACB3E">
                  <w:pPr>
                    <w:pStyle w:val="34"/>
                    <w:autoSpaceDE w:val="0"/>
                    <w:autoSpaceDN w:val="0"/>
                    <w:ind w:firstLineChars="0"/>
                    <w:rPr>
                      <w:color w:val="auto"/>
                    </w:rPr>
                  </w:pPr>
                  <w:r>
                    <w:rPr>
                      <w:rFonts w:hint="eastAsia"/>
                      <w:color w:val="auto"/>
                    </w:rPr>
                    <w:t>150m</w:t>
                  </w:r>
                </w:p>
              </w:tc>
              <w:tc>
                <w:tcPr>
                  <w:tcW w:w="863" w:type="dxa"/>
                  <w:tcBorders>
                    <w:tl2br w:val="nil"/>
                    <w:tr2bl w:val="nil"/>
                  </w:tcBorders>
                  <w:shd w:val="clear" w:color="auto" w:fill="auto"/>
                  <w:vAlign w:val="center"/>
                </w:tcPr>
                <w:p w14:paraId="5013D2BB">
                  <w:pPr>
                    <w:pStyle w:val="34"/>
                    <w:autoSpaceDE w:val="0"/>
                    <w:autoSpaceDN w:val="0"/>
                    <w:ind w:firstLineChars="0"/>
                    <w:rPr>
                      <w:color w:val="auto"/>
                    </w:rPr>
                  </w:pPr>
                  <w:r>
                    <w:rPr>
                      <w:rFonts w:hint="eastAsia"/>
                      <w:color w:val="auto"/>
                    </w:rPr>
                    <w:t>200m</w:t>
                  </w:r>
                </w:p>
              </w:tc>
              <w:tc>
                <w:tcPr>
                  <w:tcW w:w="770" w:type="dxa"/>
                  <w:tcBorders>
                    <w:tl2br w:val="nil"/>
                    <w:tr2bl w:val="nil"/>
                  </w:tcBorders>
                  <w:shd w:val="clear" w:color="auto" w:fill="auto"/>
                  <w:vAlign w:val="center"/>
                </w:tcPr>
                <w:p w14:paraId="23882C2C">
                  <w:pPr>
                    <w:pStyle w:val="34"/>
                    <w:autoSpaceDE w:val="0"/>
                    <w:autoSpaceDN w:val="0"/>
                    <w:ind w:firstLineChars="0"/>
                    <w:rPr>
                      <w:color w:val="auto"/>
                    </w:rPr>
                  </w:pPr>
                  <w:r>
                    <w:rPr>
                      <w:rFonts w:hint="eastAsia"/>
                      <w:color w:val="auto"/>
                    </w:rPr>
                    <w:t>300m</w:t>
                  </w:r>
                </w:p>
              </w:tc>
            </w:tr>
            <w:tr w14:paraId="31606B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141BC3D7">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0834C2F6">
                  <w:pPr>
                    <w:pStyle w:val="34"/>
                    <w:autoSpaceDE w:val="0"/>
                    <w:autoSpaceDN w:val="0"/>
                    <w:ind w:firstLineChars="0"/>
                    <w:rPr>
                      <w:color w:val="auto"/>
                    </w:rPr>
                  </w:pPr>
                  <w:r>
                    <w:rPr>
                      <w:rFonts w:hint="eastAsia"/>
                      <w:color w:val="auto"/>
                    </w:rPr>
                    <w:t>挖掘机</w:t>
                  </w:r>
                </w:p>
              </w:tc>
              <w:tc>
                <w:tcPr>
                  <w:tcW w:w="566" w:type="dxa"/>
                  <w:tcBorders>
                    <w:tl2br w:val="nil"/>
                    <w:tr2bl w:val="nil"/>
                  </w:tcBorders>
                  <w:shd w:val="clear" w:color="auto" w:fill="auto"/>
                  <w:vAlign w:val="center"/>
                </w:tcPr>
                <w:p w14:paraId="6B27FF27">
                  <w:pPr>
                    <w:pStyle w:val="34"/>
                    <w:autoSpaceDE w:val="0"/>
                    <w:autoSpaceDN w:val="0"/>
                    <w:ind w:firstLineChars="0"/>
                    <w:rPr>
                      <w:color w:val="auto"/>
                    </w:rPr>
                  </w:pPr>
                  <w:r>
                    <w:rPr>
                      <w:rFonts w:hint="eastAsia"/>
                      <w:color w:val="auto"/>
                    </w:rPr>
                    <w:t>85</w:t>
                  </w:r>
                </w:p>
              </w:tc>
              <w:tc>
                <w:tcPr>
                  <w:tcW w:w="634" w:type="dxa"/>
                  <w:tcBorders>
                    <w:tl2br w:val="nil"/>
                    <w:tr2bl w:val="nil"/>
                  </w:tcBorders>
                  <w:shd w:val="clear" w:color="auto" w:fill="auto"/>
                  <w:vAlign w:val="center"/>
                </w:tcPr>
                <w:p w14:paraId="78746650">
                  <w:pPr>
                    <w:pStyle w:val="34"/>
                    <w:autoSpaceDE w:val="0"/>
                    <w:autoSpaceDN w:val="0"/>
                    <w:ind w:firstLineChars="0"/>
                    <w:rPr>
                      <w:color w:val="auto"/>
                    </w:rPr>
                  </w:pPr>
                  <w:r>
                    <w:rPr>
                      <w:rFonts w:hint="eastAsia"/>
                      <w:color w:val="auto"/>
                    </w:rPr>
                    <w:t>79</w:t>
                  </w:r>
                </w:p>
              </w:tc>
              <w:tc>
                <w:tcPr>
                  <w:tcW w:w="600" w:type="dxa"/>
                  <w:tcBorders>
                    <w:tl2br w:val="nil"/>
                    <w:tr2bl w:val="nil"/>
                  </w:tcBorders>
                  <w:shd w:val="clear" w:color="auto" w:fill="auto"/>
                  <w:vAlign w:val="center"/>
                </w:tcPr>
                <w:p w14:paraId="248601AD">
                  <w:pPr>
                    <w:pStyle w:val="34"/>
                    <w:autoSpaceDE w:val="0"/>
                    <w:autoSpaceDN w:val="0"/>
                    <w:ind w:firstLineChars="0"/>
                    <w:rPr>
                      <w:color w:val="auto"/>
                    </w:rPr>
                  </w:pPr>
                  <w:r>
                    <w:rPr>
                      <w:rFonts w:hint="eastAsia"/>
                      <w:color w:val="auto"/>
                    </w:rPr>
                    <w:t>73</w:t>
                  </w:r>
                </w:p>
              </w:tc>
              <w:tc>
                <w:tcPr>
                  <w:tcW w:w="683" w:type="dxa"/>
                  <w:tcBorders>
                    <w:tl2br w:val="nil"/>
                    <w:tr2bl w:val="nil"/>
                  </w:tcBorders>
                  <w:shd w:val="clear" w:color="auto" w:fill="auto"/>
                  <w:vAlign w:val="center"/>
                </w:tcPr>
                <w:p w14:paraId="43FB1201">
                  <w:pPr>
                    <w:pStyle w:val="34"/>
                    <w:autoSpaceDE w:val="0"/>
                    <w:autoSpaceDN w:val="0"/>
                    <w:ind w:firstLineChars="0"/>
                    <w:rPr>
                      <w:color w:val="auto"/>
                    </w:rPr>
                  </w:pPr>
                  <w:r>
                    <w:rPr>
                      <w:rFonts w:hint="eastAsia"/>
                      <w:color w:val="auto"/>
                    </w:rPr>
                    <w:t>69</w:t>
                  </w:r>
                </w:p>
              </w:tc>
              <w:tc>
                <w:tcPr>
                  <w:tcW w:w="667" w:type="dxa"/>
                  <w:tcBorders>
                    <w:tl2br w:val="nil"/>
                    <w:tr2bl w:val="nil"/>
                  </w:tcBorders>
                  <w:shd w:val="clear" w:color="auto" w:fill="auto"/>
                  <w:vAlign w:val="center"/>
                </w:tcPr>
                <w:p w14:paraId="11EE8722">
                  <w:pPr>
                    <w:pStyle w:val="34"/>
                    <w:autoSpaceDE w:val="0"/>
                    <w:autoSpaceDN w:val="0"/>
                    <w:ind w:firstLineChars="0"/>
                    <w:rPr>
                      <w:color w:val="auto"/>
                    </w:rPr>
                  </w:pPr>
                  <w:r>
                    <w:rPr>
                      <w:rFonts w:hint="eastAsia"/>
                      <w:color w:val="auto"/>
                    </w:rPr>
                    <w:t>67</w:t>
                  </w:r>
                </w:p>
              </w:tc>
              <w:tc>
                <w:tcPr>
                  <w:tcW w:w="666" w:type="dxa"/>
                  <w:tcBorders>
                    <w:tl2br w:val="nil"/>
                    <w:tr2bl w:val="nil"/>
                  </w:tcBorders>
                  <w:shd w:val="clear" w:color="auto" w:fill="auto"/>
                  <w:vAlign w:val="center"/>
                </w:tcPr>
                <w:p w14:paraId="06C2E3DE">
                  <w:pPr>
                    <w:pStyle w:val="34"/>
                    <w:autoSpaceDE w:val="0"/>
                    <w:autoSpaceDN w:val="0"/>
                    <w:ind w:firstLineChars="0"/>
                    <w:rPr>
                      <w:color w:val="auto"/>
                    </w:rPr>
                  </w:pPr>
                  <w:r>
                    <w:rPr>
                      <w:rFonts w:hint="eastAsia"/>
                      <w:color w:val="auto"/>
                    </w:rPr>
                    <w:t>65</w:t>
                  </w:r>
                </w:p>
              </w:tc>
              <w:tc>
                <w:tcPr>
                  <w:tcW w:w="734" w:type="dxa"/>
                  <w:tcBorders>
                    <w:tl2br w:val="nil"/>
                    <w:tr2bl w:val="nil"/>
                  </w:tcBorders>
                  <w:shd w:val="clear" w:color="auto" w:fill="auto"/>
                  <w:vAlign w:val="center"/>
                </w:tcPr>
                <w:p w14:paraId="7DAC7E2E">
                  <w:pPr>
                    <w:pStyle w:val="34"/>
                    <w:autoSpaceDE w:val="0"/>
                    <w:autoSpaceDN w:val="0"/>
                    <w:ind w:firstLineChars="0"/>
                    <w:rPr>
                      <w:color w:val="auto"/>
                    </w:rPr>
                  </w:pPr>
                  <w:r>
                    <w:rPr>
                      <w:rFonts w:hint="eastAsia"/>
                      <w:color w:val="auto"/>
                    </w:rPr>
                    <w:t>59</w:t>
                  </w:r>
                </w:p>
              </w:tc>
              <w:tc>
                <w:tcPr>
                  <w:tcW w:w="833" w:type="dxa"/>
                  <w:tcBorders>
                    <w:tl2br w:val="nil"/>
                    <w:tr2bl w:val="nil"/>
                  </w:tcBorders>
                  <w:shd w:val="clear" w:color="auto" w:fill="auto"/>
                  <w:vAlign w:val="center"/>
                </w:tcPr>
                <w:p w14:paraId="5D71B64D">
                  <w:pPr>
                    <w:pStyle w:val="34"/>
                    <w:autoSpaceDE w:val="0"/>
                    <w:autoSpaceDN w:val="0"/>
                    <w:ind w:firstLineChars="0"/>
                    <w:rPr>
                      <w:color w:val="auto"/>
                    </w:rPr>
                  </w:pPr>
                  <w:r>
                    <w:rPr>
                      <w:rFonts w:hint="eastAsia"/>
                      <w:color w:val="auto"/>
                    </w:rPr>
                    <w:t>55</w:t>
                  </w:r>
                </w:p>
              </w:tc>
              <w:tc>
                <w:tcPr>
                  <w:tcW w:w="863" w:type="dxa"/>
                  <w:tcBorders>
                    <w:tl2br w:val="nil"/>
                    <w:tr2bl w:val="nil"/>
                  </w:tcBorders>
                  <w:shd w:val="clear" w:color="auto" w:fill="auto"/>
                  <w:vAlign w:val="center"/>
                </w:tcPr>
                <w:p w14:paraId="6E6B9118">
                  <w:pPr>
                    <w:pStyle w:val="34"/>
                    <w:autoSpaceDE w:val="0"/>
                    <w:autoSpaceDN w:val="0"/>
                    <w:ind w:firstLineChars="0"/>
                    <w:rPr>
                      <w:color w:val="auto"/>
                    </w:rPr>
                  </w:pPr>
                  <w:r>
                    <w:rPr>
                      <w:rFonts w:hint="eastAsia"/>
                      <w:color w:val="auto"/>
                    </w:rPr>
                    <w:t>53</w:t>
                  </w:r>
                </w:p>
              </w:tc>
              <w:tc>
                <w:tcPr>
                  <w:tcW w:w="770" w:type="dxa"/>
                  <w:tcBorders>
                    <w:tl2br w:val="nil"/>
                    <w:tr2bl w:val="nil"/>
                  </w:tcBorders>
                  <w:shd w:val="clear" w:color="auto" w:fill="auto"/>
                  <w:vAlign w:val="center"/>
                </w:tcPr>
                <w:p w14:paraId="2FAA3FDA">
                  <w:pPr>
                    <w:pStyle w:val="34"/>
                    <w:autoSpaceDE w:val="0"/>
                    <w:autoSpaceDN w:val="0"/>
                    <w:ind w:firstLineChars="0"/>
                    <w:rPr>
                      <w:color w:val="auto"/>
                    </w:rPr>
                  </w:pPr>
                  <w:r>
                    <w:rPr>
                      <w:rFonts w:hint="eastAsia"/>
                      <w:color w:val="auto"/>
                    </w:rPr>
                    <w:t>51</w:t>
                  </w:r>
                </w:p>
              </w:tc>
            </w:tr>
            <w:tr w14:paraId="4441C2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5AF6EDC4">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4E0C6C91">
                  <w:pPr>
                    <w:pStyle w:val="34"/>
                    <w:autoSpaceDE w:val="0"/>
                    <w:autoSpaceDN w:val="0"/>
                    <w:ind w:firstLineChars="0"/>
                    <w:rPr>
                      <w:color w:val="auto"/>
                    </w:rPr>
                  </w:pPr>
                  <w:r>
                    <w:rPr>
                      <w:rFonts w:hint="eastAsia"/>
                      <w:color w:val="auto"/>
                    </w:rPr>
                    <w:t>推土机</w:t>
                  </w:r>
                </w:p>
              </w:tc>
              <w:tc>
                <w:tcPr>
                  <w:tcW w:w="566" w:type="dxa"/>
                  <w:tcBorders>
                    <w:tl2br w:val="nil"/>
                    <w:tr2bl w:val="nil"/>
                  </w:tcBorders>
                  <w:shd w:val="clear" w:color="auto" w:fill="auto"/>
                  <w:vAlign w:val="center"/>
                </w:tcPr>
                <w:p w14:paraId="4DADD3E3">
                  <w:pPr>
                    <w:pStyle w:val="34"/>
                    <w:autoSpaceDE w:val="0"/>
                    <w:autoSpaceDN w:val="0"/>
                    <w:ind w:firstLineChars="0"/>
                    <w:rPr>
                      <w:color w:val="auto"/>
                    </w:rPr>
                  </w:pPr>
                  <w:r>
                    <w:rPr>
                      <w:rFonts w:hint="eastAsia"/>
                      <w:color w:val="auto"/>
                    </w:rPr>
                    <w:t>70</w:t>
                  </w:r>
                </w:p>
              </w:tc>
              <w:tc>
                <w:tcPr>
                  <w:tcW w:w="634" w:type="dxa"/>
                  <w:tcBorders>
                    <w:tl2br w:val="nil"/>
                    <w:tr2bl w:val="nil"/>
                  </w:tcBorders>
                  <w:shd w:val="clear" w:color="auto" w:fill="auto"/>
                  <w:vAlign w:val="center"/>
                </w:tcPr>
                <w:p w14:paraId="20A683CF">
                  <w:pPr>
                    <w:pStyle w:val="34"/>
                    <w:autoSpaceDE w:val="0"/>
                    <w:autoSpaceDN w:val="0"/>
                    <w:ind w:firstLineChars="0"/>
                    <w:rPr>
                      <w:color w:val="auto"/>
                    </w:rPr>
                  </w:pPr>
                  <w:r>
                    <w:rPr>
                      <w:rFonts w:hint="eastAsia"/>
                      <w:color w:val="auto"/>
                    </w:rPr>
                    <w:t>64</w:t>
                  </w:r>
                </w:p>
              </w:tc>
              <w:tc>
                <w:tcPr>
                  <w:tcW w:w="600" w:type="dxa"/>
                  <w:tcBorders>
                    <w:tl2br w:val="nil"/>
                    <w:tr2bl w:val="nil"/>
                  </w:tcBorders>
                  <w:shd w:val="clear" w:color="auto" w:fill="auto"/>
                  <w:vAlign w:val="center"/>
                </w:tcPr>
                <w:p w14:paraId="2F1B5598">
                  <w:pPr>
                    <w:pStyle w:val="34"/>
                    <w:autoSpaceDE w:val="0"/>
                    <w:autoSpaceDN w:val="0"/>
                    <w:ind w:firstLineChars="0"/>
                    <w:rPr>
                      <w:color w:val="auto"/>
                    </w:rPr>
                  </w:pPr>
                  <w:r>
                    <w:rPr>
                      <w:rFonts w:hint="eastAsia"/>
                      <w:color w:val="auto"/>
                    </w:rPr>
                    <w:t>60</w:t>
                  </w:r>
                </w:p>
              </w:tc>
              <w:tc>
                <w:tcPr>
                  <w:tcW w:w="683" w:type="dxa"/>
                  <w:tcBorders>
                    <w:tl2br w:val="nil"/>
                    <w:tr2bl w:val="nil"/>
                  </w:tcBorders>
                  <w:shd w:val="clear" w:color="auto" w:fill="auto"/>
                  <w:vAlign w:val="center"/>
                </w:tcPr>
                <w:p w14:paraId="46AF874D">
                  <w:pPr>
                    <w:pStyle w:val="34"/>
                    <w:autoSpaceDE w:val="0"/>
                    <w:autoSpaceDN w:val="0"/>
                    <w:ind w:firstLineChars="0"/>
                    <w:rPr>
                      <w:color w:val="auto"/>
                    </w:rPr>
                  </w:pPr>
                  <w:r>
                    <w:rPr>
                      <w:rFonts w:hint="eastAsia"/>
                      <w:color w:val="auto"/>
                    </w:rPr>
                    <w:t>54</w:t>
                  </w:r>
                </w:p>
              </w:tc>
              <w:tc>
                <w:tcPr>
                  <w:tcW w:w="667" w:type="dxa"/>
                  <w:tcBorders>
                    <w:tl2br w:val="nil"/>
                    <w:tr2bl w:val="nil"/>
                  </w:tcBorders>
                  <w:shd w:val="clear" w:color="auto" w:fill="auto"/>
                  <w:vAlign w:val="center"/>
                </w:tcPr>
                <w:p w14:paraId="56E68211">
                  <w:pPr>
                    <w:pStyle w:val="34"/>
                    <w:autoSpaceDE w:val="0"/>
                    <w:autoSpaceDN w:val="0"/>
                    <w:ind w:firstLineChars="0"/>
                    <w:rPr>
                      <w:color w:val="auto"/>
                    </w:rPr>
                  </w:pPr>
                  <w:r>
                    <w:rPr>
                      <w:rFonts w:hint="eastAsia"/>
                      <w:color w:val="auto"/>
                    </w:rPr>
                    <w:t>51</w:t>
                  </w:r>
                </w:p>
              </w:tc>
              <w:tc>
                <w:tcPr>
                  <w:tcW w:w="666" w:type="dxa"/>
                  <w:tcBorders>
                    <w:tl2br w:val="nil"/>
                    <w:tr2bl w:val="nil"/>
                  </w:tcBorders>
                  <w:shd w:val="clear" w:color="auto" w:fill="auto"/>
                  <w:vAlign w:val="center"/>
                </w:tcPr>
                <w:p w14:paraId="6418B1FF">
                  <w:pPr>
                    <w:pStyle w:val="34"/>
                    <w:autoSpaceDE w:val="0"/>
                    <w:autoSpaceDN w:val="0"/>
                    <w:ind w:firstLineChars="0"/>
                    <w:rPr>
                      <w:color w:val="auto"/>
                    </w:rPr>
                  </w:pPr>
                  <w:r>
                    <w:rPr>
                      <w:rFonts w:hint="eastAsia"/>
                      <w:color w:val="auto"/>
                    </w:rPr>
                    <w:t>48</w:t>
                  </w:r>
                </w:p>
              </w:tc>
              <w:tc>
                <w:tcPr>
                  <w:tcW w:w="734" w:type="dxa"/>
                  <w:tcBorders>
                    <w:tl2br w:val="nil"/>
                    <w:tr2bl w:val="nil"/>
                  </w:tcBorders>
                  <w:shd w:val="clear" w:color="auto" w:fill="auto"/>
                  <w:vAlign w:val="center"/>
                </w:tcPr>
                <w:p w14:paraId="22716C17">
                  <w:pPr>
                    <w:pStyle w:val="34"/>
                    <w:autoSpaceDE w:val="0"/>
                    <w:autoSpaceDN w:val="0"/>
                    <w:ind w:firstLineChars="0"/>
                    <w:rPr>
                      <w:color w:val="auto"/>
                    </w:rPr>
                  </w:pPr>
                  <w:r>
                    <w:rPr>
                      <w:rFonts w:hint="eastAsia"/>
                      <w:color w:val="auto"/>
                    </w:rPr>
                    <w:t>46</w:t>
                  </w:r>
                </w:p>
              </w:tc>
              <w:tc>
                <w:tcPr>
                  <w:tcW w:w="833" w:type="dxa"/>
                  <w:tcBorders>
                    <w:tl2br w:val="nil"/>
                    <w:tr2bl w:val="nil"/>
                  </w:tcBorders>
                  <w:shd w:val="clear" w:color="auto" w:fill="auto"/>
                  <w:vAlign w:val="center"/>
                </w:tcPr>
                <w:p w14:paraId="744C69C5">
                  <w:pPr>
                    <w:pStyle w:val="34"/>
                    <w:autoSpaceDE w:val="0"/>
                    <w:autoSpaceDN w:val="0"/>
                    <w:ind w:firstLineChars="0"/>
                    <w:rPr>
                      <w:color w:val="auto"/>
                    </w:rPr>
                  </w:pPr>
                  <w:r>
                    <w:rPr>
                      <w:rFonts w:hint="eastAsia"/>
                      <w:color w:val="auto"/>
                    </w:rPr>
                    <w:t>45</w:t>
                  </w:r>
                </w:p>
              </w:tc>
              <w:tc>
                <w:tcPr>
                  <w:tcW w:w="863" w:type="dxa"/>
                  <w:tcBorders>
                    <w:tl2br w:val="nil"/>
                    <w:tr2bl w:val="nil"/>
                  </w:tcBorders>
                  <w:shd w:val="clear" w:color="auto" w:fill="auto"/>
                  <w:vAlign w:val="center"/>
                </w:tcPr>
                <w:p w14:paraId="3282AC58">
                  <w:pPr>
                    <w:pStyle w:val="34"/>
                    <w:autoSpaceDE w:val="0"/>
                    <w:autoSpaceDN w:val="0"/>
                    <w:ind w:firstLineChars="0"/>
                    <w:rPr>
                      <w:color w:val="auto"/>
                    </w:rPr>
                  </w:pPr>
                  <w:r>
                    <w:rPr>
                      <w:rFonts w:hint="eastAsia"/>
                      <w:color w:val="auto"/>
                    </w:rPr>
                    <w:t>43</w:t>
                  </w:r>
                </w:p>
              </w:tc>
              <w:tc>
                <w:tcPr>
                  <w:tcW w:w="770" w:type="dxa"/>
                  <w:tcBorders>
                    <w:tl2br w:val="nil"/>
                    <w:tr2bl w:val="nil"/>
                  </w:tcBorders>
                  <w:shd w:val="clear" w:color="auto" w:fill="auto"/>
                  <w:vAlign w:val="center"/>
                </w:tcPr>
                <w:p w14:paraId="5A1A7685">
                  <w:pPr>
                    <w:pStyle w:val="34"/>
                    <w:autoSpaceDE w:val="0"/>
                    <w:autoSpaceDN w:val="0"/>
                    <w:ind w:firstLineChars="0"/>
                    <w:rPr>
                      <w:color w:val="auto"/>
                    </w:rPr>
                  </w:pPr>
                  <w:r>
                    <w:rPr>
                      <w:rFonts w:hint="eastAsia"/>
                      <w:color w:val="auto"/>
                    </w:rPr>
                    <w:t>42</w:t>
                  </w:r>
                </w:p>
              </w:tc>
            </w:tr>
            <w:tr w14:paraId="37D3B4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29C60DB5">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2E08A748">
                  <w:pPr>
                    <w:pStyle w:val="34"/>
                    <w:autoSpaceDE w:val="0"/>
                    <w:autoSpaceDN w:val="0"/>
                    <w:ind w:firstLineChars="0"/>
                    <w:rPr>
                      <w:color w:val="auto"/>
                    </w:rPr>
                  </w:pPr>
                  <w:r>
                    <w:rPr>
                      <w:rFonts w:hint="eastAsia"/>
                      <w:color w:val="auto"/>
                    </w:rPr>
                    <w:t>自卸汽车</w:t>
                  </w:r>
                </w:p>
              </w:tc>
              <w:tc>
                <w:tcPr>
                  <w:tcW w:w="566" w:type="dxa"/>
                  <w:tcBorders>
                    <w:tl2br w:val="nil"/>
                    <w:tr2bl w:val="nil"/>
                  </w:tcBorders>
                  <w:shd w:val="clear" w:color="auto" w:fill="auto"/>
                  <w:vAlign w:val="center"/>
                </w:tcPr>
                <w:p w14:paraId="1D06366C">
                  <w:pPr>
                    <w:pStyle w:val="34"/>
                    <w:autoSpaceDE w:val="0"/>
                    <w:autoSpaceDN w:val="0"/>
                    <w:ind w:firstLineChars="0"/>
                    <w:rPr>
                      <w:color w:val="auto"/>
                    </w:rPr>
                  </w:pPr>
                  <w:r>
                    <w:rPr>
                      <w:rFonts w:hint="eastAsia"/>
                      <w:color w:val="auto"/>
                    </w:rPr>
                    <w:t>70</w:t>
                  </w:r>
                </w:p>
              </w:tc>
              <w:tc>
                <w:tcPr>
                  <w:tcW w:w="634" w:type="dxa"/>
                  <w:tcBorders>
                    <w:tl2br w:val="nil"/>
                    <w:tr2bl w:val="nil"/>
                  </w:tcBorders>
                  <w:shd w:val="clear" w:color="auto" w:fill="auto"/>
                  <w:vAlign w:val="center"/>
                </w:tcPr>
                <w:p w14:paraId="126288BB">
                  <w:pPr>
                    <w:pStyle w:val="34"/>
                    <w:autoSpaceDE w:val="0"/>
                    <w:autoSpaceDN w:val="0"/>
                    <w:ind w:firstLineChars="0"/>
                    <w:rPr>
                      <w:color w:val="auto"/>
                    </w:rPr>
                  </w:pPr>
                  <w:r>
                    <w:rPr>
                      <w:rFonts w:hint="eastAsia"/>
                      <w:color w:val="auto"/>
                    </w:rPr>
                    <w:t>64</w:t>
                  </w:r>
                </w:p>
              </w:tc>
              <w:tc>
                <w:tcPr>
                  <w:tcW w:w="600" w:type="dxa"/>
                  <w:tcBorders>
                    <w:tl2br w:val="nil"/>
                    <w:tr2bl w:val="nil"/>
                  </w:tcBorders>
                  <w:shd w:val="clear" w:color="auto" w:fill="auto"/>
                  <w:vAlign w:val="center"/>
                </w:tcPr>
                <w:p w14:paraId="692429F3">
                  <w:pPr>
                    <w:pStyle w:val="34"/>
                    <w:autoSpaceDE w:val="0"/>
                    <w:autoSpaceDN w:val="0"/>
                    <w:ind w:firstLineChars="0"/>
                    <w:rPr>
                      <w:color w:val="auto"/>
                    </w:rPr>
                  </w:pPr>
                  <w:r>
                    <w:rPr>
                      <w:rFonts w:hint="eastAsia"/>
                      <w:color w:val="auto"/>
                    </w:rPr>
                    <w:t>60</w:t>
                  </w:r>
                </w:p>
              </w:tc>
              <w:tc>
                <w:tcPr>
                  <w:tcW w:w="683" w:type="dxa"/>
                  <w:tcBorders>
                    <w:tl2br w:val="nil"/>
                    <w:tr2bl w:val="nil"/>
                  </w:tcBorders>
                  <w:shd w:val="clear" w:color="auto" w:fill="auto"/>
                  <w:vAlign w:val="center"/>
                </w:tcPr>
                <w:p w14:paraId="2B6A3C13">
                  <w:pPr>
                    <w:pStyle w:val="34"/>
                    <w:autoSpaceDE w:val="0"/>
                    <w:autoSpaceDN w:val="0"/>
                    <w:ind w:firstLineChars="0"/>
                    <w:rPr>
                      <w:color w:val="auto"/>
                    </w:rPr>
                  </w:pPr>
                  <w:r>
                    <w:rPr>
                      <w:rFonts w:hint="eastAsia"/>
                      <w:color w:val="auto"/>
                    </w:rPr>
                    <w:t>54</w:t>
                  </w:r>
                </w:p>
              </w:tc>
              <w:tc>
                <w:tcPr>
                  <w:tcW w:w="667" w:type="dxa"/>
                  <w:tcBorders>
                    <w:tl2br w:val="nil"/>
                    <w:tr2bl w:val="nil"/>
                  </w:tcBorders>
                  <w:shd w:val="clear" w:color="auto" w:fill="auto"/>
                  <w:vAlign w:val="center"/>
                </w:tcPr>
                <w:p w14:paraId="258F74DA">
                  <w:pPr>
                    <w:pStyle w:val="34"/>
                    <w:autoSpaceDE w:val="0"/>
                    <w:autoSpaceDN w:val="0"/>
                    <w:ind w:firstLineChars="0"/>
                    <w:rPr>
                      <w:color w:val="auto"/>
                    </w:rPr>
                  </w:pPr>
                  <w:r>
                    <w:rPr>
                      <w:rFonts w:hint="eastAsia"/>
                      <w:color w:val="auto"/>
                    </w:rPr>
                    <w:t>51</w:t>
                  </w:r>
                </w:p>
              </w:tc>
              <w:tc>
                <w:tcPr>
                  <w:tcW w:w="666" w:type="dxa"/>
                  <w:tcBorders>
                    <w:tl2br w:val="nil"/>
                    <w:tr2bl w:val="nil"/>
                  </w:tcBorders>
                  <w:shd w:val="clear" w:color="auto" w:fill="auto"/>
                  <w:vAlign w:val="center"/>
                </w:tcPr>
                <w:p w14:paraId="0B82A1C5">
                  <w:pPr>
                    <w:pStyle w:val="34"/>
                    <w:autoSpaceDE w:val="0"/>
                    <w:autoSpaceDN w:val="0"/>
                    <w:ind w:firstLineChars="0"/>
                    <w:rPr>
                      <w:color w:val="auto"/>
                    </w:rPr>
                  </w:pPr>
                  <w:r>
                    <w:rPr>
                      <w:rFonts w:hint="eastAsia"/>
                      <w:color w:val="auto"/>
                    </w:rPr>
                    <w:t>48</w:t>
                  </w:r>
                </w:p>
              </w:tc>
              <w:tc>
                <w:tcPr>
                  <w:tcW w:w="734" w:type="dxa"/>
                  <w:tcBorders>
                    <w:tl2br w:val="nil"/>
                    <w:tr2bl w:val="nil"/>
                  </w:tcBorders>
                  <w:shd w:val="clear" w:color="auto" w:fill="auto"/>
                  <w:vAlign w:val="center"/>
                </w:tcPr>
                <w:p w14:paraId="2D84BC7D">
                  <w:pPr>
                    <w:pStyle w:val="34"/>
                    <w:autoSpaceDE w:val="0"/>
                    <w:autoSpaceDN w:val="0"/>
                    <w:ind w:firstLineChars="0"/>
                    <w:rPr>
                      <w:color w:val="auto"/>
                    </w:rPr>
                  </w:pPr>
                  <w:r>
                    <w:rPr>
                      <w:rFonts w:hint="eastAsia"/>
                      <w:color w:val="auto"/>
                    </w:rPr>
                    <w:t>46</w:t>
                  </w:r>
                </w:p>
              </w:tc>
              <w:tc>
                <w:tcPr>
                  <w:tcW w:w="833" w:type="dxa"/>
                  <w:tcBorders>
                    <w:tl2br w:val="nil"/>
                    <w:tr2bl w:val="nil"/>
                  </w:tcBorders>
                  <w:shd w:val="clear" w:color="auto" w:fill="auto"/>
                  <w:vAlign w:val="center"/>
                </w:tcPr>
                <w:p w14:paraId="583FCA8B">
                  <w:pPr>
                    <w:pStyle w:val="34"/>
                    <w:autoSpaceDE w:val="0"/>
                    <w:autoSpaceDN w:val="0"/>
                    <w:ind w:firstLineChars="0"/>
                    <w:rPr>
                      <w:color w:val="auto"/>
                    </w:rPr>
                  </w:pPr>
                  <w:r>
                    <w:rPr>
                      <w:rFonts w:hint="eastAsia"/>
                      <w:color w:val="auto"/>
                    </w:rPr>
                    <w:t>45</w:t>
                  </w:r>
                </w:p>
              </w:tc>
              <w:tc>
                <w:tcPr>
                  <w:tcW w:w="863" w:type="dxa"/>
                  <w:tcBorders>
                    <w:tl2br w:val="nil"/>
                    <w:tr2bl w:val="nil"/>
                  </w:tcBorders>
                  <w:shd w:val="clear" w:color="auto" w:fill="auto"/>
                  <w:vAlign w:val="center"/>
                </w:tcPr>
                <w:p w14:paraId="224A2D1C">
                  <w:pPr>
                    <w:pStyle w:val="34"/>
                    <w:autoSpaceDE w:val="0"/>
                    <w:autoSpaceDN w:val="0"/>
                    <w:ind w:firstLineChars="0"/>
                    <w:rPr>
                      <w:color w:val="auto"/>
                    </w:rPr>
                  </w:pPr>
                  <w:r>
                    <w:rPr>
                      <w:rFonts w:hint="eastAsia"/>
                      <w:color w:val="auto"/>
                    </w:rPr>
                    <w:t>43</w:t>
                  </w:r>
                </w:p>
              </w:tc>
              <w:tc>
                <w:tcPr>
                  <w:tcW w:w="770" w:type="dxa"/>
                  <w:tcBorders>
                    <w:tl2br w:val="nil"/>
                    <w:tr2bl w:val="nil"/>
                  </w:tcBorders>
                  <w:shd w:val="clear" w:color="auto" w:fill="auto"/>
                  <w:vAlign w:val="center"/>
                </w:tcPr>
                <w:p w14:paraId="12B15342">
                  <w:pPr>
                    <w:pStyle w:val="34"/>
                    <w:autoSpaceDE w:val="0"/>
                    <w:autoSpaceDN w:val="0"/>
                    <w:ind w:firstLineChars="0"/>
                    <w:rPr>
                      <w:color w:val="auto"/>
                    </w:rPr>
                  </w:pPr>
                  <w:r>
                    <w:rPr>
                      <w:rFonts w:hint="eastAsia"/>
                      <w:color w:val="auto"/>
                    </w:rPr>
                    <w:t>42</w:t>
                  </w:r>
                </w:p>
              </w:tc>
            </w:tr>
            <w:tr w14:paraId="644BC9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4FBD0B24">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22614C9B">
                  <w:pPr>
                    <w:pStyle w:val="34"/>
                    <w:autoSpaceDE w:val="0"/>
                    <w:autoSpaceDN w:val="0"/>
                    <w:ind w:firstLineChars="0"/>
                    <w:rPr>
                      <w:color w:val="auto"/>
                    </w:rPr>
                  </w:pPr>
                  <w:r>
                    <w:rPr>
                      <w:rFonts w:hint="eastAsia"/>
                      <w:color w:val="auto"/>
                    </w:rPr>
                    <w:t>拖拉机</w:t>
                  </w:r>
                </w:p>
              </w:tc>
              <w:tc>
                <w:tcPr>
                  <w:tcW w:w="566" w:type="dxa"/>
                  <w:tcBorders>
                    <w:tl2br w:val="nil"/>
                    <w:tr2bl w:val="nil"/>
                  </w:tcBorders>
                  <w:shd w:val="clear" w:color="auto" w:fill="auto"/>
                  <w:vAlign w:val="center"/>
                </w:tcPr>
                <w:p w14:paraId="09C498B3">
                  <w:pPr>
                    <w:pStyle w:val="34"/>
                    <w:autoSpaceDE w:val="0"/>
                    <w:autoSpaceDN w:val="0"/>
                    <w:ind w:firstLineChars="0"/>
                    <w:rPr>
                      <w:color w:val="auto"/>
                    </w:rPr>
                  </w:pPr>
                  <w:r>
                    <w:rPr>
                      <w:rFonts w:hint="eastAsia"/>
                      <w:color w:val="auto"/>
                    </w:rPr>
                    <w:t>85</w:t>
                  </w:r>
                </w:p>
              </w:tc>
              <w:tc>
                <w:tcPr>
                  <w:tcW w:w="634" w:type="dxa"/>
                  <w:tcBorders>
                    <w:tl2br w:val="nil"/>
                    <w:tr2bl w:val="nil"/>
                  </w:tcBorders>
                  <w:shd w:val="clear" w:color="auto" w:fill="auto"/>
                  <w:vAlign w:val="center"/>
                </w:tcPr>
                <w:p w14:paraId="5622BBF4">
                  <w:pPr>
                    <w:pStyle w:val="34"/>
                    <w:autoSpaceDE w:val="0"/>
                    <w:autoSpaceDN w:val="0"/>
                    <w:ind w:firstLineChars="0"/>
                    <w:rPr>
                      <w:color w:val="auto"/>
                    </w:rPr>
                  </w:pPr>
                  <w:r>
                    <w:rPr>
                      <w:rFonts w:hint="eastAsia"/>
                      <w:color w:val="auto"/>
                    </w:rPr>
                    <w:t>79</w:t>
                  </w:r>
                </w:p>
              </w:tc>
              <w:tc>
                <w:tcPr>
                  <w:tcW w:w="600" w:type="dxa"/>
                  <w:tcBorders>
                    <w:tl2br w:val="nil"/>
                    <w:tr2bl w:val="nil"/>
                  </w:tcBorders>
                  <w:shd w:val="clear" w:color="auto" w:fill="auto"/>
                  <w:vAlign w:val="center"/>
                </w:tcPr>
                <w:p w14:paraId="0D9170F0">
                  <w:pPr>
                    <w:pStyle w:val="34"/>
                    <w:autoSpaceDE w:val="0"/>
                    <w:autoSpaceDN w:val="0"/>
                    <w:ind w:firstLineChars="0"/>
                    <w:rPr>
                      <w:color w:val="auto"/>
                    </w:rPr>
                  </w:pPr>
                  <w:r>
                    <w:rPr>
                      <w:rFonts w:hint="eastAsia"/>
                      <w:color w:val="auto"/>
                    </w:rPr>
                    <w:t>73</w:t>
                  </w:r>
                </w:p>
              </w:tc>
              <w:tc>
                <w:tcPr>
                  <w:tcW w:w="683" w:type="dxa"/>
                  <w:tcBorders>
                    <w:tl2br w:val="nil"/>
                    <w:tr2bl w:val="nil"/>
                  </w:tcBorders>
                  <w:shd w:val="clear" w:color="auto" w:fill="auto"/>
                  <w:vAlign w:val="center"/>
                </w:tcPr>
                <w:p w14:paraId="1FA64CE1">
                  <w:pPr>
                    <w:pStyle w:val="34"/>
                    <w:autoSpaceDE w:val="0"/>
                    <w:autoSpaceDN w:val="0"/>
                    <w:ind w:firstLineChars="0"/>
                    <w:rPr>
                      <w:color w:val="auto"/>
                    </w:rPr>
                  </w:pPr>
                  <w:r>
                    <w:rPr>
                      <w:rFonts w:hint="eastAsia"/>
                      <w:color w:val="auto"/>
                    </w:rPr>
                    <w:t>69</w:t>
                  </w:r>
                </w:p>
              </w:tc>
              <w:tc>
                <w:tcPr>
                  <w:tcW w:w="667" w:type="dxa"/>
                  <w:tcBorders>
                    <w:tl2br w:val="nil"/>
                    <w:tr2bl w:val="nil"/>
                  </w:tcBorders>
                  <w:shd w:val="clear" w:color="auto" w:fill="auto"/>
                  <w:vAlign w:val="center"/>
                </w:tcPr>
                <w:p w14:paraId="49E0153A">
                  <w:pPr>
                    <w:pStyle w:val="34"/>
                    <w:autoSpaceDE w:val="0"/>
                    <w:autoSpaceDN w:val="0"/>
                    <w:ind w:firstLineChars="0"/>
                    <w:rPr>
                      <w:color w:val="auto"/>
                    </w:rPr>
                  </w:pPr>
                  <w:r>
                    <w:rPr>
                      <w:rFonts w:hint="eastAsia"/>
                      <w:color w:val="auto"/>
                    </w:rPr>
                    <w:t>67</w:t>
                  </w:r>
                </w:p>
              </w:tc>
              <w:tc>
                <w:tcPr>
                  <w:tcW w:w="666" w:type="dxa"/>
                  <w:tcBorders>
                    <w:tl2br w:val="nil"/>
                    <w:tr2bl w:val="nil"/>
                  </w:tcBorders>
                  <w:shd w:val="clear" w:color="auto" w:fill="auto"/>
                  <w:vAlign w:val="center"/>
                </w:tcPr>
                <w:p w14:paraId="349B2278">
                  <w:pPr>
                    <w:pStyle w:val="34"/>
                    <w:autoSpaceDE w:val="0"/>
                    <w:autoSpaceDN w:val="0"/>
                    <w:ind w:firstLineChars="0"/>
                    <w:rPr>
                      <w:color w:val="auto"/>
                    </w:rPr>
                  </w:pPr>
                  <w:r>
                    <w:rPr>
                      <w:rFonts w:hint="eastAsia"/>
                      <w:color w:val="auto"/>
                    </w:rPr>
                    <w:t>65</w:t>
                  </w:r>
                </w:p>
              </w:tc>
              <w:tc>
                <w:tcPr>
                  <w:tcW w:w="734" w:type="dxa"/>
                  <w:tcBorders>
                    <w:tl2br w:val="nil"/>
                    <w:tr2bl w:val="nil"/>
                  </w:tcBorders>
                  <w:shd w:val="clear" w:color="auto" w:fill="auto"/>
                  <w:vAlign w:val="center"/>
                </w:tcPr>
                <w:p w14:paraId="3E862B9D">
                  <w:pPr>
                    <w:pStyle w:val="34"/>
                    <w:autoSpaceDE w:val="0"/>
                    <w:autoSpaceDN w:val="0"/>
                    <w:ind w:firstLineChars="0"/>
                    <w:rPr>
                      <w:color w:val="auto"/>
                    </w:rPr>
                  </w:pPr>
                  <w:r>
                    <w:rPr>
                      <w:rFonts w:hint="eastAsia"/>
                      <w:color w:val="auto"/>
                    </w:rPr>
                    <w:t>59</w:t>
                  </w:r>
                </w:p>
              </w:tc>
              <w:tc>
                <w:tcPr>
                  <w:tcW w:w="833" w:type="dxa"/>
                  <w:tcBorders>
                    <w:tl2br w:val="nil"/>
                    <w:tr2bl w:val="nil"/>
                  </w:tcBorders>
                  <w:shd w:val="clear" w:color="auto" w:fill="auto"/>
                  <w:vAlign w:val="center"/>
                </w:tcPr>
                <w:p w14:paraId="3C43ED98">
                  <w:pPr>
                    <w:pStyle w:val="34"/>
                    <w:autoSpaceDE w:val="0"/>
                    <w:autoSpaceDN w:val="0"/>
                    <w:ind w:firstLineChars="0"/>
                    <w:rPr>
                      <w:color w:val="auto"/>
                    </w:rPr>
                  </w:pPr>
                  <w:r>
                    <w:rPr>
                      <w:rFonts w:hint="eastAsia"/>
                      <w:color w:val="auto"/>
                    </w:rPr>
                    <w:t>55</w:t>
                  </w:r>
                </w:p>
              </w:tc>
              <w:tc>
                <w:tcPr>
                  <w:tcW w:w="863" w:type="dxa"/>
                  <w:tcBorders>
                    <w:tl2br w:val="nil"/>
                    <w:tr2bl w:val="nil"/>
                  </w:tcBorders>
                  <w:shd w:val="clear" w:color="auto" w:fill="auto"/>
                  <w:vAlign w:val="center"/>
                </w:tcPr>
                <w:p w14:paraId="14FEA59B">
                  <w:pPr>
                    <w:pStyle w:val="34"/>
                    <w:autoSpaceDE w:val="0"/>
                    <w:autoSpaceDN w:val="0"/>
                    <w:ind w:firstLineChars="0"/>
                    <w:rPr>
                      <w:color w:val="auto"/>
                    </w:rPr>
                  </w:pPr>
                  <w:r>
                    <w:rPr>
                      <w:rFonts w:hint="eastAsia"/>
                      <w:color w:val="auto"/>
                    </w:rPr>
                    <w:t>53</w:t>
                  </w:r>
                </w:p>
              </w:tc>
              <w:tc>
                <w:tcPr>
                  <w:tcW w:w="770" w:type="dxa"/>
                  <w:tcBorders>
                    <w:tl2br w:val="nil"/>
                    <w:tr2bl w:val="nil"/>
                  </w:tcBorders>
                  <w:shd w:val="clear" w:color="auto" w:fill="auto"/>
                  <w:vAlign w:val="center"/>
                </w:tcPr>
                <w:p w14:paraId="0823E66E">
                  <w:pPr>
                    <w:pStyle w:val="34"/>
                    <w:autoSpaceDE w:val="0"/>
                    <w:autoSpaceDN w:val="0"/>
                    <w:ind w:firstLineChars="0"/>
                    <w:rPr>
                      <w:color w:val="auto"/>
                    </w:rPr>
                  </w:pPr>
                  <w:r>
                    <w:rPr>
                      <w:rFonts w:hint="eastAsia"/>
                      <w:color w:val="auto"/>
                    </w:rPr>
                    <w:t>51</w:t>
                  </w:r>
                </w:p>
              </w:tc>
            </w:tr>
            <w:tr w14:paraId="1FAB74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4A7E0E8A">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61009235">
                  <w:pPr>
                    <w:pStyle w:val="34"/>
                    <w:autoSpaceDE w:val="0"/>
                    <w:autoSpaceDN w:val="0"/>
                    <w:ind w:firstLineChars="0"/>
                    <w:rPr>
                      <w:color w:val="auto"/>
                    </w:rPr>
                  </w:pPr>
                  <w:r>
                    <w:rPr>
                      <w:rFonts w:hint="eastAsia"/>
                      <w:color w:val="auto"/>
                    </w:rPr>
                    <w:t>载重汽车</w:t>
                  </w:r>
                </w:p>
              </w:tc>
              <w:tc>
                <w:tcPr>
                  <w:tcW w:w="566" w:type="dxa"/>
                  <w:tcBorders>
                    <w:tl2br w:val="nil"/>
                    <w:tr2bl w:val="nil"/>
                  </w:tcBorders>
                  <w:shd w:val="clear" w:color="auto" w:fill="auto"/>
                  <w:vAlign w:val="center"/>
                </w:tcPr>
                <w:p w14:paraId="6DF5DF6E">
                  <w:pPr>
                    <w:pStyle w:val="34"/>
                    <w:autoSpaceDE w:val="0"/>
                    <w:autoSpaceDN w:val="0"/>
                    <w:ind w:firstLineChars="0"/>
                    <w:rPr>
                      <w:color w:val="auto"/>
                    </w:rPr>
                  </w:pPr>
                  <w:r>
                    <w:rPr>
                      <w:rFonts w:hint="eastAsia"/>
                      <w:color w:val="auto"/>
                    </w:rPr>
                    <w:t>70</w:t>
                  </w:r>
                </w:p>
              </w:tc>
              <w:tc>
                <w:tcPr>
                  <w:tcW w:w="634" w:type="dxa"/>
                  <w:tcBorders>
                    <w:tl2br w:val="nil"/>
                    <w:tr2bl w:val="nil"/>
                  </w:tcBorders>
                  <w:shd w:val="clear" w:color="auto" w:fill="auto"/>
                  <w:vAlign w:val="center"/>
                </w:tcPr>
                <w:p w14:paraId="0C89798C">
                  <w:pPr>
                    <w:pStyle w:val="34"/>
                    <w:autoSpaceDE w:val="0"/>
                    <w:autoSpaceDN w:val="0"/>
                    <w:ind w:firstLineChars="0"/>
                    <w:rPr>
                      <w:color w:val="auto"/>
                    </w:rPr>
                  </w:pPr>
                  <w:r>
                    <w:rPr>
                      <w:rFonts w:hint="eastAsia"/>
                      <w:color w:val="auto"/>
                    </w:rPr>
                    <w:t>64</w:t>
                  </w:r>
                </w:p>
              </w:tc>
              <w:tc>
                <w:tcPr>
                  <w:tcW w:w="600" w:type="dxa"/>
                  <w:tcBorders>
                    <w:tl2br w:val="nil"/>
                    <w:tr2bl w:val="nil"/>
                  </w:tcBorders>
                  <w:shd w:val="clear" w:color="auto" w:fill="auto"/>
                  <w:vAlign w:val="center"/>
                </w:tcPr>
                <w:p w14:paraId="1108A9A2">
                  <w:pPr>
                    <w:pStyle w:val="34"/>
                    <w:autoSpaceDE w:val="0"/>
                    <w:autoSpaceDN w:val="0"/>
                    <w:ind w:firstLineChars="0"/>
                    <w:rPr>
                      <w:color w:val="auto"/>
                    </w:rPr>
                  </w:pPr>
                  <w:r>
                    <w:rPr>
                      <w:rFonts w:hint="eastAsia"/>
                      <w:color w:val="auto"/>
                    </w:rPr>
                    <w:t>60</w:t>
                  </w:r>
                </w:p>
              </w:tc>
              <w:tc>
                <w:tcPr>
                  <w:tcW w:w="683" w:type="dxa"/>
                  <w:tcBorders>
                    <w:tl2br w:val="nil"/>
                    <w:tr2bl w:val="nil"/>
                  </w:tcBorders>
                  <w:shd w:val="clear" w:color="auto" w:fill="auto"/>
                  <w:vAlign w:val="center"/>
                </w:tcPr>
                <w:p w14:paraId="1460610E">
                  <w:pPr>
                    <w:pStyle w:val="34"/>
                    <w:autoSpaceDE w:val="0"/>
                    <w:autoSpaceDN w:val="0"/>
                    <w:ind w:firstLineChars="0"/>
                    <w:rPr>
                      <w:color w:val="auto"/>
                    </w:rPr>
                  </w:pPr>
                  <w:r>
                    <w:rPr>
                      <w:rFonts w:hint="eastAsia"/>
                      <w:color w:val="auto"/>
                    </w:rPr>
                    <w:t>54</w:t>
                  </w:r>
                </w:p>
              </w:tc>
              <w:tc>
                <w:tcPr>
                  <w:tcW w:w="667" w:type="dxa"/>
                  <w:tcBorders>
                    <w:tl2br w:val="nil"/>
                    <w:tr2bl w:val="nil"/>
                  </w:tcBorders>
                  <w:shd w:val="clear" w:color="auto" w:fill="auto"/>
                  <w:vAlign w:val="center"/>
                </w:tcPr>
                <w:p w14:paraId="50780836">
                  <w:pPr>
                    <w:pStyle w:val="34"/>
                    <w:autoSpaceDE w:val="0"/>
                    <w:autoSpaceDN w:val="0"/>
                    <w:ind w:firstLineChars="0"/>
                    <w:rPr>
                      <w:color w:val="auto"/>
                    </w:rPr>
                  </w:pPr>
                  <w:r>
                    <w:rPr>
                      <w:rFonts w:hint="eastAsia"/>
                      <w:color w:val="auto"/>
                    </w:rPr>
                    <w:t>51</w:t>
                  </w:r>
                </w:p>
              </w:tc>
              <w:tc>
                <w:tcPr>
                  <w:tcW w:w="666" w:type="dxa"/>
                  <w:tcBorders>
                    <w:tl2br w:val="nil"/>
                    <w:tr2bl w:val="nil"/>
                  </w:tcBorders>
                  <w:shd w:val="clear" w:color="auto" w:fill="auto"/>
                  <w:vAlign w:val="center"/>
                </w:tcPr>
                <w:p w14:paraId="27DFED50">
                  <w:pPr>
                    <w:pStyle w:val="34"/>
                    <w:autoSpaceDE w:val="0"/>
                    <w:autoSpaceDN w:val="0"/>
                    <w:ind w:firstLineChars="0"/>
                    <w:rPr>
                      <w:color w:val="auto"/>
                    </w:rPr>
                  </w:pPr>
                  <w:r>
                    <w:rPr>
                      <w:rFonts w:hint="eastAsia"/>
                      <w:color w:val="auto"/>
                    </w:rPr>
                    <w:t>48</w:t>
                  </w:r>
                </w:p>
              </w:tc>
              <w:tc>
                <w:tcPr>
                  <w:tcW w:w="734" w:type="dxa"/>
                  <w:tcBorders>
                    <w:tl2br w:val="nil"/>
                    <w:tr2bl w:val="nil"/>
                  </w:tcBorders>
                  <w:shd w:val="clear" w:color="auto" w:fill="auto"/>
                  <w:vAlign w:val="center"/>
                </w:tcPr>
                <w:p w14:paraId="549FECE7">
                  <w:pPr>
                    <w:pStyle w:val="34"/>
                    <w:autoSpaceDE w:val="0"/>
                    <w:autoSpaceDN w:val="0"/>
                    <w:ind w:firstLineChars="0"/>
                    <w:rPr>
                      <w:color w:val="auto"/>
                    </w:rPr>
                  </w:pPr>
                  <w:r>
                    <w:rPr>
                      <w:rFonts w:hint="eastAsia"/>
                      <w:color w:val="auto"/>
                    </w:rPr>
                    <w:t>46</w:t>
                  </w:r>
                </w:p>
              </w:tc>
              <w:tc>
                <w:tcPr>
                  <w:tcW w:w="833" w:type="dxa"/>
                  <w:tcBorders>
                    <w:tl2br w:val="nil"/>
                    <w:tr2bl w:val="nil"/>
                  </w:tcBorders>
                  <w:shd w:val="clear" w:color="auto" w:fill="auto"/>
                  <w:vAlign w:val="center"/>
                </w:tcPr>
                <w:p w14:paraId="165047C4">
                  <w:pPr>
                    <w:pStyle w:val="34"/>
                    <w:autoSpaceDE w:val="0"/>
                    <w:autoSpaceDN w:val="0"/>
                    <w:ind w:firstLineChars="0"/>
                    <w:rPr>
                      <w:color w:val="auto"/>
                    </w:rPr>
                  </w:pPr>
                  <w:r>
                    <w:rPr>
                      <w:rFonts w:hint="eastAsia"/>
                      <w:color w:val="auto"/>
                    </w:rPr>
                    <w:t>45</w:t>
                  </w:r>
                </w:p>
              </w:tc>
              <w:tc>
                <w:tcPr>
                  <w:tcW w:w="863" w:type="dxa"/>
                  <w:tcBorders>
                    <w:tl2br w:val="nil"/>
                    <w:tr2bl w:val="nil"/>
                  </w:tcBorders>
                  <w:shd w:val="clear" w:color="auto" w:fill="auto"/>
                  <w:vAlign w:val="center"/>
                </w:tcPr>
                <w:p w14:paraId="20DDE89F">
                  <w:pPr>
                    <w:pStyle w:val="34"/>
                    <w:autoSpaceDE w:val="0"/>
                    <w:autoSpaceDN w:val="0"/>
                    <w:ind w:firstLineChars="0"/>
                    <w:rPr>
                      <w:color w:val="auto"/>
                    </w:rPr>
                  </w:pPr>
                  <w:r>
                    <w:rPr>
                      <w:rFonts w:hint="eastAsia"/>
                      <w:color w:val="auto"/>
                    </w:rPr>
                    <w:t>43</w:t>
                  </w:r>
                </w:p>
              </w:tc>
              <w:tc>
                <w:tcPr>
                  <w:tcW w:w="770" w:type="dxa"/>
                  <w:tcBorders>
                    <w:tl2br w:val="nil"/>
                    <w:tr2bl w:val="nil"/>
                  </w:tcBorders>
                  <w:shd w:val="clear" w:color="auto" w:fill="auto"/>
                  <w:vAlign w:val="center"/>
                </w:tcPr>
                <w:p w14:paraId="7C31DAFF">
                  <w:pPr>
                    <w:pStyle w:val="34"/>
                    <w:autoSpaceDE w:val="0"/>
                    <w:autoSpaceDN w:val="0"/>
                    <w:ind w:firstLineChars="0"/>
                    <w:rPr>
                      <w:color w:val="auto"/>
                    </w:rPr>
                  </w:pPr>
                  <w:r>
                    <w:rPr>
                      <w:rFonts w:hint="eastAsia"/>
                      <w:color w:val="auto"/>
                    </w:rPr>
                    <w:t>42</w:t>
                  </w:r>
                </w:p>
              </w:tc>
            </w:tr>
            <w:tr w14:paraId="5C9F4D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0FA23DAE">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5E24FF7F">
                  <w:pPr>
                    <w:pStyle w:val="34"/>
                    <w:autoSpaceDE w:val="0"/>
                    <w:autoSpaceDN w:val="0"/>
                    <w:ind w:firstLineChars="0"/>
                    <w:rPr>
                      <w:color w:val="auto"/>
                    </w:rPr>
                  </w:pPr>
                  <w:r>
                    <w:rPr>
                      <w:rFonts w:hint="eastAsia"/>
                      <w:color w:val="auto"/>
                    </w:rPr>
                    <w:t>双轮胶车</w:t>
                  </w:r>
                </w:p>
              </w:tc>
              <w:tc>
                <w:tcPr>
                  <w:tcW w:w="566" w:type="dxa"/>
                  <w:tcBorders>
                    <w:tl2br w:val="nil"/>
                    <w:tr2bl w:val="nil"/>
                  </w:tcBorders>
                  <w:shd w:val="clear" w:color="auto" w:fill="auto"/>
                  <w:vAlign w:val="center"/>
                </w:tcPr>
                <w:p w14:paraId="4C6A8952">
                  <w:pPr>
                    <w:pStyle w:val="34"/>
                    <w:autoSpaceDE w:val="0"/>
                    <w:autoSpaceDN w:val="0"/>
                    <w:ind w:firstLineChars="0"/>
                    <w:rPr>
                      <w:color w:val="auto"/>
                    </w:rPr>
                  </w:pPr>
                  <w:r>
                    <w:rPr>
                      <w:rFonts w:hint="eastAsia"/>
                      <w:color w:val="auto"/>
                    </w:rPr>
                    <w:t>70</w:t>
                  </w:r>
                </w:p>
              </w:tc>
              <w:tc>
                <w:tcPr>
                  <w:tcW w:w="634" w:type="dxa"/>
                  <w:tcBorders>
                    <w:tl2br w:val="nil"/>
                    <w:tr2bl w:val="nil"/>
                  </w:tcBorders>
                  <w:shd w:val="clear" w:color="auto" w:fill="auto"/>
                  <w:vAlign w:val="center"/>
                </w:tcPr>
                <w:p w14:paraId="2E22F4FE">
                  <w:pPr>
                    <w:pStyle w:val="34"/>
                    <w:autoSpaceDE w:val="0"/>
                    <w:autoSpaceDN w:val="0"/>
                    <w:ind w:firstLineChars="0"/>
                    <w:rPr>
                      <w:color w:val="auto"/>
                    </w:rPr>
                  </w:pPr>
                  <w:r>
                    <w:rPr>
                      <w:rFonts w:hint="eastAsia"/>
                      <w:color w:val="auto"/>
                    </w:rPr>
                    <w:t>64</w:t>
                  </w:r>
                </w:p>
              </w:tc>
              <w:tc>
                <w:tcPr>
                  <w:tcW w:w="600" w:type="dxa"/>
                  <w:tcBorders>
                    <w:tl2br w:val="nil"/>
                    <w:tr2bl w:val="nil"/>
                  </w:tcBorders>
                  <w:shd w:val="clear" w:color="auto" w:fill="auto"/>
                  <w:vAlign w:val="center"/>
                </w:tcPr>
                <w:p w14:paraId="0E1D84D3">
                  <w:pPr>
                    <w:pStyle w:val="34"/>
                    <w:autoSpaceDE w:val="0"/>
                    <w:autoSpaceDN w:val="0"/>
                    <w:ind w:firstLineChars="0"/>
                    <w:rPr>
                      <w:color w:val="auto"/>
                    </w:rPr>
                  </w:pPr>
                  <w:r>
                    <w:rPr>
                      <w:rFonts w:hint="eastAsia"/>
                      <w:color w:val="auto"/>
                    </w:rPr>
                    <w:t>60</w:t>
                  </w:r>
                </w:p>
              </w:tc>
              <w:tc>
                <w:tcPr>
                  <w:tcW w:w="683" w:type="dxa"/>
                  <w:tcBorders>
                    <w:tl2br w:val="nil"/>
                    <w:tr2bl w:val="nil"/>
                  </w:tcBorders>
                  <w:shd w:val="clear" w:color="auto" w:fill="auto"/>
                  <w:vAlign w:val="center"/>
                </w:tcPr>
                <w:p w14:paraId="1D7D503F">
                  <w:pPr>
                    <w:pStyle w:val="34"/>
                    <w:autoSpaceDE w:val="0"/>
                    <w:autoSpaceDN w:val="0"/>
                    <w:ind w:firstLineChars="0"/>
                    <w:rPr>
                      <w:color w:val="auto"/>
                    </w:rPr>
                  </w:pPr>
                  <w:r>
                    <w:rPr>
                      <w:rFonts w:hint="eastAsia"/>
                      <w:color w:val="auto"/>
                    </w:rPr>
                    <w:t>54</w:t>
                  </w:r>
                </w:p>
              </w:tc>
              <w:tc>
                <w:tcPr>
                  <w:tcW w:w="667" w:type="dxa"/>
                  <w:tcBorders>
                    <w:tl2br w:val="nil"/>
                    <w:tr2bl w:val="nil"/>
                  </w:tcBorders>
                  <w:shd w:val="clear" w:color="auto" w:fill="auto"/>
                  <w:vAlign w:val="center"/>
                </w:tcPr>
                <w:p w14:paraId="6B7C4033">
                  <w:pPr>
                    <w:pStyle w:val="34"/>
                    <w:autoSpaceDE w:val="0"/>
                    <w:autoSpaceDN w:val="0"/>
                    <w:ind w:firstLineChars="0"/>
                    <w:rPr>
                      <w:color w:val="auto"/>
                    </w:rPr>
                  </w:pPr>
                  <w:r>
                    <w:rPr>
                      <w:rFonts w:hint="eastAsia"/>
                      <w:color w:val="auto"/>
                    </w:rPr>
                    <w:t>51</w:t>
                  </w:r>
                </w:p>
              </w:tc>
              <w:tc>
                <w:tcPr>
                  <w:tcW w:w="666" w:type="dxa"/>
                  <w:tcBorders>
                    <w:tl2br w:val="nil"/>
                    <w:tr2bl w:val="nil"/>
                  </w:tcBorders>
                  <w:shd w:val="clear" w:color="auto" w:fill="auto"/>
                  <w:vAlign w:val="center"/>
                </w:tcPr>
                <w:p w14:paraId="18B7D107">
                  <w:pPr>
                    <w:pStyle w:val="34"/>
                    <w:autoSpaceDE w:val="0"/>
                    <w:autoSpaceDN w:val="0"/>
                    <w:ind w:firstLineChars="0"/>
                    <w:rPr>
                      <w:color w:val="auto"/>
                    </w:rPr>
                  </w:pPr>
                  <w:r>
                    <w:rPr>
                      <w:rFonts w:hint="eastAsia"/>
                      <w:color w:val="auto"/>
                    </w:rPr>
                    <w:t>48</w:t>
                  </w:r>
                </w:p>
              </w:tc>
              <w:tc>
                <w:tcPr>
                  <w:tcW w:w="734" w:type="dxa"/>
                  <w:tcBorders>
                    <w:tl2br w:val="nil"/>
                    <w:tr2bl w:val="nil"/>
                  </w:tcBorders>
                  <w:shd w:val="clear" w:color="auto" w:fill="auto"/>
                  <w:vAlign w:val="center"/>
                </w:tcPr>
                <w:p w14:paraId="5EDAAD9E">
                  <w:pPr>
                    <w:pStyle w:val="34"/>
                    <w:autoSpaceDE w:val="0"/>
                    <w:autoSpaceDN w:val="0"/>
                    <w:ind w:firstLineChars="0"/>
                    <w:rPr>
                      <w:color w:val="auto"/>
                    </w:rPr>
                  </w:pPr>
                  <w:r>
                    <w:rPr>
                      <w:rFonts w:hint="eastAsia"/>
                      <w:color w:val="auto"/>
                    </w:rPr>
                    <w:t>46</w:t>
                  </w:r>
                </w:p>
              </w:tc>
              <w:tc>
                <w:tcPr>
                  <w:tcW w:w="833" w:type="dxa"/>
                  <w:tcBorders>
                    <w:tl2br w:val="nil"/>
                    <w:tr2bl w:val="nil"/>
                  </w:tcBorders>
                  <w:shd w:val="clear" w:color="auto" w:fill="auto"/>
                  <w:vAlign w:val="center"/>
                </w:tcPr>
                <w:p w14:paraId="06436975">
                  <w:pPr>
                    <w:pStyle w:val="34"/>
                    <w:autoSpaceDE w:val="0"/>
                    <w:autoSpaceDN w:val="0"/>
                    <w:ind w:firstLineChars="0"/>
                    <w:rPr>
                      <w:color w:val="auto"/>
                    </w:rPr>
                  </w:pPr>
                  <w:r>
                    <w:rPr>
                      <w:rFonts w:hint="eastAsia"/>
                      <w:color w:val="auto"/>
                    </w:rPr>
                    <w:t>45</w:t>
                  </w:r>
                </w:p>
              </w:tc>
              <w:tc>
                <w:tcPr>
                  <w:tcW w:w="863" w:type="dxa"/>
                  <w:tcBorders>
                    <w:tl2br w:val="nil"/>
                    <w:tr2bl w:val="nil"/>
                  </w:tcBorders>
                  <w:shd w:val="clear" w:color="auto" w:fill="auto"/>
                  <w:vAlign w:val="center"/>
                </w:tcPr>
                <w:p w14:paraId="633165EC">
                  <w:pPr>
                    <w:pStyle w:val="34"/>
                    <w:autoSpaceDE w:val="0"/>
                    <w:autoSpaceDN w:val="0"/>
                    <w:ind w:firstLineChars="0"/>
                    <w:rPr>
                      <w:color w:val="auto"/>
                    </w:rPr>
                  </w:pPr>
                  <w:r>
                    <w:rPr>
                      <w:rFonts w:hint="eastAsia"/>
                      <w:color w:val="auto"/>
                    </w:rPr>
                    <w:t>43</w:t>
                  </w:r>
                </w:p>
              </w:tc>
              <w:tc>
                <w:tcPr>
                  <w:tcW w:w="770" w:type="dxa"/>
                  <w:tcBorders>
                    <w:tl2br w:val="nil"/>
                    <w:tr2bl w:val="nil"/>
                  </w:tcBorders>
                  <w:shd w:val="clear" w:color="auto" w:fill="auto"/>
                  <w:vAlign w:val="center"/>
                </w:tcPr>
                <w:p w14:paraId="79200651">
                  <w:pPr>
                    <w:pStyle w:val="34"/>
                    <w:autoSpaceDE w:val="0"/>
                    <w:autoSpaceDN w:val="0"/>
                    <w:ind w:firstLineChars="0"/>
                    <w:rPr>
                      <w:color w:val="auto"/>
                    </w:rPr>
                  </w:pPr>
                  <w:r>
                    <w:rPr>
                      <w:rFonts w:hint="eastAsia"/>
                      <w:color w:val="auto"/>
                    </w:rPr>
                    <w:t>42</w:t>
                  </w:r>
                </w:p>
              </w:tc>
            </w:tr>
            <w:tr w14:paraId="6A6E0D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6675E5F5">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5403DED7">
                  <w:pPr>
                    <w:pStyle w:val="34"/>
                    <w:autoSpaceDE w:val="0"/>
                    <w:autoSpaceDN w:val="0"/>
                    <w:ind w:firstLineChars="0"/>
                    <w:rPr>
                      <w:color w:val="auto"/>
                    </w:rPr>
                  </w:pPr>
                  <w:r>
                    <w:rPr>
                      <w:rFonts w:hint="eastAsia"/>
                      <w:color w:val="auto"/>
                    </w:rPr>
                    <w:t>电钻</w:t>
                  </w:r>
                </w:p>
              </w:tc>
              <w:tc>
                <w:tcPr>
                  <w:tcW w:w="566" w:type="dxa"/>
                  <w:tcBorders>
                    <w:tl2br w:val="nil"/>
                    <w:tr2bl w:val="nil"/>
                  </w:tcBorders>
                  <w:shd w:val="clear" w:color="auto" w:fill="auto"/>
                  <w:vAlign w:val="center"/>
                </w:tcPr>
                <w:p w14:paraId="3388BB18">
                  <w:pPr>
                    <w:pStyle w:val="34"/>
                    <w:autoSpaceDE w:val="0"/>
                    <w:autoSpaceDN w:val="0"/>
                    <w:ind w:firstLineChars="0"/>
                    <w:rPr>
                      <w:color w:val="auto"/>
                    </w:rPr>
                  </w:pPr>
                  <w:r>
                    <w:rPr>
                      <w:rFonts w:hint="eastAsia"/>
                      <w:color w:val="auto"/>
                    </w:rPr>
                    <w:t>85</w:t>
                  </w:r>
                </w:p>
              </w:tc>
              <w:tc>
                <w:tcPr>
                  <w:tcW w:w="634" w:type="dxa"/>
                  <w:tcBorders>
                    <w:tl2br w:val="nil"/>
                    <w:tr2bl w:val="nil"/>
                  </w:tcBorders>
                  <w:shd w:val="clear" w:color="auto" w:fill="auto"/>
                  <w:vAlign w:val="center"/>
                </w:tcPr>
                <w:p w14:paraId="1F7E4B28">
                  <w:pPr>
                    <w:pStyle w:val="34"/>
                    <w:autoSpaceDE w:val="0"/>
                    <w:autoSpaceDN w:val="0"/>
                    <w:ind w:firstLineChars="0"/>
                    <w:rPr>
                      <w:color w:val="auto"/>
                    </w:rPr>
                  </w:pPr>
                  <w:r>
                    <w:rPr>
                      <w:rFonts w:hint="eastAsia"/>
                      <w:color w:val="auto"/>
                    </w:rPr>
                    <w:t>79</w:t>
                  </w:r>
                </w:p>
              </w:tc>
              <w:tc>
                <w:tcPr>
                  <w:tcW w:w="600" w:type="dxa"/>
                  <w:tcBorders>
                    <w:tl2br w:val="nil"/>
                    <w:tr2bl w:val="nil"/>
                  </w:tcBorders>
                  <w:shd w:val="clear" w:color="auto" w:fill="auto"/>
                  <w:vAlign w:val="center"/>
                </w:tcPr>
                <w:p w14:paraId="4B16034A">
                  <w:pPr>
                    <w:pStyle w:val="34"/>
                    <w:autoSpaceDE w:val="0"/>
                    <w:autoSpaceDN w:val="0"/>
                    <w:ind w:firstLineChars="0"/>
                    <w:rPr>
                      <w:color w:val="auto"/>
                    </w:rPr>
                  </w:pPr>
                  <w:r>
                    <w:rPr>
                      <w:rFonts w:hint="eastAsia"/>
                      <w:color w:val="auto"/>
                    </w:rPr>
                    <w:t>73</w:t>
                  </w:r>
                </w:p>
              </w:tc>
              <w:tc>
                <w:tcPr>
                  <w:tcW w:w="683" w:type="dxa"/>
                  <w:tcBorders>
                    <w:tl2br w:val="nil"/>
                    <w:tr2bl w:val="nil"/>
                  </w:tcBorders>
                  <w:shd w:val="clear" w:color="auto" w:fill="auto"/>
                  <w:vAlign w:val="center"/>
                </w:tcPr>
                <w:p w14:paraId="26890BD8">
                  <w:pPr>
                    <w:pStyle w:val="34"/>
                    <w:autoSpaceDE w:val="0"/>
                    <w:autoSpaceDN w:val="0"/>
                    <w:ind w:firstLineChars="0"/>
                    <w:rPr>
                      <w:color w:val="auto"/>
                    </w:rPr>
                  </w:pPr>
                  <w:r>
                    <w:rPr>
                      <w:rFonts w:hint="eastAsia"/>
                      <w:color w:val="auto"/>
                    </w:rPr>
                    <w:t>69</w:t>
                  </w:r>
                </w:p>
              </w:tc>
              <w:tc>
                <w:tcPr>
                  <w:tcW w:w="667" w:type="dxa"/>
                  <w:tcBorders>
                    <w:tl2br w:val="nil"/>
                    <w:tr2bl w:val="nil"/>
                  </w:tcBorders>
                  <w:shd w:val="clear" w:color="auto" w:fill="auto"/>
                  <w:vAlign w:val="center"/>
                </w:tcPr>
                <w:p w14:paraId="72982EC3">
                  <w:pPr>
                    <w:pStyle w:val="34"/>
                    <w:autoSpaceDE w:val="0"/>
                    <w:autoSpaceDN w:val="0"/>
                    <w:ind w:firstLineChars="0"/>
                    <w:rPr>
                      <w:color w:val="auto"/>
                    </w:rPr>
                  </w:pPr>
                  <w:r>
                    <w:rPr>
                      <w:rFonts w:hint="eastAsia"/>
                      <w:color w:val="auto"/>
                    </w:rPr>
                    <w:t>67</w:t>
                  </w:r>
                </w:p>
              </w:tc>
              <w:tc>
                <w:tcPr>
                  <w:tcW w:w="666" w:type="dxa"/>
                  <w:tcBorders>
                    <w:tl2br w:val="nil"/>
                    <w:tr2bl w:val="nil"/>
                  </w:tcBorders>
                  <w:shd w:val="clear" w:color="auto" w:fill="auto"/>
                  <w:vAlign w:val="center"/>
                </w:tcPr>
                <w:p w14:paraId="5346F21D">
                  <w:pPr>
                    <w:pStyle w:val="34"/>
                    <w:autoSpaceDE w:val="0"/>
                    <w:autoSpaceDN w:val="0"/>
                    <w:ind w:firstLineChars="0"/>
                    <w:rPr>
                      <w:color w:val="auto"/>
                    </w:rPr>
                  </w:pPr>
                  <w:r>
                    <w:rPr>
                      <w:rFonts w:hint="eastAsia"/>
                      <w:color w:val="auto"/>
                    </w:rPr>
                    <w:t>65</w:t>
                  </w:r>
                </w:p>
              </w:tc>
              <w:tc>
                <w:tcPr>
                  <w:tcW w:w="734" w:type="dxa"/>
                  <w:tcBorders>
                    <w:tl2br w:val="nil"/>
                    <w:tr2bl w:val="nil"/>
                  </w:tcBorders>
                  <w:shd w:val="clear" w:color="auto" w:fill="auto"/>
                  <w:vAlign w:val="center"/>
                </w:tcPr>
                <w:p w14:paraId="63C3255D">
                  <w:pPr>
                    <w:pStyle w:val="34"/>
                    <w:autoSpaceDE w:val="0"/>
                    <w:autoSpaceDN w:val="0"/>
                    <w:ind w:firstLineChars="0"/>
                    <w:rPr>
                      <w:color w:val="auto"/>
                    </w:rPr>
                  </w:pPr>
                  <w:r>
                    <w:rPr>
                      <w:rFonts w:hint="eastAsia"/>
                      <w:color w:val="auto"/>
                    </w:rPr>
                    <w:t>59</w:t>
                  </w:r>
                </w:p>
              </w:tc>
              <w:tc>
                <w:tcPr>
                  <w:tcW w:w="833" w:type="dxa"/>
                  <w:tcBorders>
                    <w:tl2br w:val="nil"/>
                    <w:tr2bl w:val="nil"/>
                  </w:tcBorders>
                  <w:shd w:val="clear" w:color="auto" w:fill="auto"/>
                  <w:vAlign w:val="center"/>
                </w:tcPr>
                <w:p w14:paraId="507D5107">
                  <w:pPr>
                    <w:pStyle w:val="34"/>
                    <w:autoSpaceDE w:val="0"/>
                    <w:autoSpaceDN w:val="0"/>
                    <w:ind w:firstLineChars="0"/>
                    <w:rPr>
                      <w:color w:val="auto"/>
                    </w:rPr>
                  </w:pPr>
                  <w:r>
                    <w:rPr>
                      <w:rFonts w:hint="eastAsia"/>
                      <w:color w:val="auto"/>
                    </w:rPr>
                    <w:t>55</w:t>
                  </w:r>
                </w:p>
              </w:tc>
              <w:tc>
                <w:tcPr>
                  <w:tcW w:w="863" w:type="dxa"/>
                  <w:tcBorders>
                    <w:tl2br w:val="nil"/>
                    <w:tr2bl w:val="nil"/>
                  </w:tcBorders>
                  <w:shd w:val="clear" w:color="auto" w:fill="auto"/>
                  <w:vAlign w:val="center"/>
                </w:tcPr>
                <w:p w14:paraId="729A5720">
                  <w:pPr>
                    <w:pStyle w:val="34"/>
                    <w:autoSpaceDE w:val="0"/>
                    <w:autoSpaceDN w:val="0"/>
                    <w:ind w:firstLineChars="0"/>
                    <w:rPr>
                      <w:color w:val="auto"/>
                    </w:rPr>
                  </w:pPr>
                  <w:r>
                    <w:rPr>
                      <w:rFonts w:hint="eastAsia"/>
                      <w:color w:val="auto"/>
                    </w:rPr>
                    <w:t>53</w:t>
                  </w:r>
                </w:p>
              </w:tc>
              <w:tc>
                <w:tcPr>
                  <w:tcW w:w="770" w:type="dxa"/>
                  <w:tcBorders>
                    <w:tl2br w:val="nil"/>
                    <w:tr2bl w:val="nil"/>
                  </w:tcBorders>
                  <w:shd w:val="clear" w:color="auto" w:fill="auto"/>
                  <w:vAlign w:val="center"/>
                </w:tcPr>
                <w:p w14:paraId="260D61CF">
                  <w:pPr>
                    <w:pStyle w:val="34"/>
                    <w:autoSpaceDE w:val="0"/>
                    <w:autoSpaceDN w:val="0"/>
                    <w:ind w:firstLineChars="0"/>
                    <w:rPr>
                      <w:color w:val="auto"/>
                    </w:rPr>
                  </w:pPr>
                  <w:r>
                    <w:rPr>
                      <w:rFonts w:hint="eastAsia"/>
                      <w:color w:val="auto"/>
                    </w:rPr>
                    <w:t>51</w:t>
                  </w:r>
                </w:p>
              </w:tc>
            </w:tr>
            <w:tr w14:paraId="19D365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1B0316A8">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6088E027">
                  <w:pPr>
                    <w:pStyle w:val="34"/>
                    <w:autoSpaceDE w:val="0"/>
                    <w:autoSpaceDN w:val="0"/>
                    <w:ind w:firstLineChars="0"/>
                    <w:rPr>
                      <w:color w:val="auto"/>
                    </w:rPr>
                  </w:pPr>
                  <w:r>
                    <w:rPr>
                      <w:rFonts w:hint="eastAsia"/>
                      <w:color w:val="auto"/>
                    </w:rPr>
                    <w:t>风钻</w:t>
                  </w:r>
                </w:p>
              </w:tc>
              <w:tc>
                <w:tcPr>
                  <w:tcW w:w="566" w:type="dxa"/>
                  <w:tcBorders>
                    <w:tl2br w:val="nil"/>
                    <w:tr2bl w:val="nil"/>
                  </w:tcBorders>
                  <w:shd w:val="clear" w:color="auto" w:fill="auto"/>
                  <w:vAlign w:val="center"/>
                </w:tcPr>
                <w:p w14:paraId="7E0C300D">
                  <w:pPr>
                    <w:pStyle w:val="34"/>
                    <w:autoSpaceDE w:val="0"/>
                    <w:autoSpaceDN w:val="0"/>
                    <w:ind w:firstLineChars="0"/>
                    <w:rPr>
                      <w:color w:val="auto"/>
                    </w:rPr>
                  </w:pPr>
                  <w:r>
                    <w:rPr>
                      <w:rFonts w:hint="eastAsia"/>
                      <w:color w:val="auto"/>
                    </w:rPr>
                    <w:t>85</w:t>
                  </w:r>
                </w:p>
              </w:tc>
              <w:tc>
                <w:tcPr>
                  <w:tcW w:w="634" w:type="dxa"/>
                  <w:tcBorders>
                    <w:tl2br w:val="nil"/>
                    <w:tr2bl w:val="nil"/>
                  </w:tcBorders>
                  <w:shd w:val="clear" w:color="auto" w:fill="auto"/>
                  <w:vAlign w:val="center"/>
                </w:tcPr>
                <w:p w14:paraId="349C548A">
                  <w:pPr>
                    <w:pStyle w:val="34"/>
                    <w:autoSpaceDE w:val="0"/>
                    <w:autoSpaceDN w:val="0"/>
                    <w:ind w:firstLineChars="0"/>
                    <w:rPr>
                      <w:color w:val="auto"/>
                    </w:rPr>
                  </w:pPr>
                  <w:r>
                    <w:rPr>
                      <w:rFonts w:hint="eastAsia"/>
                      <w:color w:val="auto"/>
                    </w:rPr>
                    <w:t>79</w:t>
                  </w:r>
                </w:p>
              </w:tc>
              <w:tc>
                <w:tcPr>
                  <w:tcW w:w="600" w:type="dxa"/>
                  <w:tcBorders>
                    <w:tl2br w:val="nil"/>
                    <w:tr2bl w:val="nil"/>
                  </w:tcBorders>
                  <w:shd w:val="clear" w:color="auto" w:fill="auto"/>
                  <w:vAlign w:val="center"/>
                </w:tcPr>
                <w:p w14:paraId="6C6408AC">
                  <w:pPr>
                    <w:pStyle w:val="34"/>
                    <w:autoSpaceDE w:val="0"/>
                    <w:autoSpaceDN w:val="0"/>
                    <w:ind w:firstLineChars="0"/>
                    <w:rPr>
                      <w:color w:val="auto"/>
                    </w:rPr>
                  </w:pPr>
                  <w:r>
                    <w:rPr>
                      <w:rFonts w:hint="eastAsia"/>
                      <w:color w:val="auto"/>
                    </w:rPr>
                    <w:t>73</w:t>
                  </w:r>
                </w:p>
              </w:tc>
              <w:tc>
                <w:tcPr>
                  <w:tcW w:w="683" w:type="dxa"/>
                  <w:tcBorders>
                    <w:tl2br w:val="nil"/>
                    <w:tr2bl w:val="nil"/>
                  </w:tcBorders>
                  <w:shd w:val="clear" w:color="auto" w:fill="auto"/>
                  <w:vAlign w:val="center"/>
                </w:tcPr>
                <w:p w14:paraId="54ADA6D1">
                  <w:pPr>
                    <w:pStyle w:val="34"/>
                    <w:autoSpaceDE w:val="0"/>
                    <w:autoSpaceDN w:val="0"/>
                    <w:ind w:firstLineChars="0"/>
                    <w:rPr>
                      <w:color w:val="auto"/>
                    </w:rPr>
                  </w:pPr>
                  <w:r>
                    <w:rPr>
                      <w:rFonts w:hint="eastAsia"/>
                      <w:color w:val="auto"/>
                    </w:rPr>
                    <w:t>69</w:t>
                  </w:r>
                </w:p>
              </w:tc>
              <w:tc>
                <w:tcPr>
                  <w:tcW w:w="667" w:type="dxa"/>
                  <w:tcBorders>
                    <w:tl2br w:val="nil"/>
                    <w:tr2bl w:val="nil"/>
                  </w:tcBorders>
                  <w:shd w:val="clear" w:color="auto" w:fill="auto"/>
                  <w:vAlign w:val="center"/>
                </w:tcPr>
                <w:p w14:paraId="24E59557">
                  <w:pPr>
                    <w:pStyle w:val="34"/>
                    <w:autoSpaceDE w:val="0"/>
                    <w:autoSpaceDN w:val="0"/>
                    <w:ind w:firstLineChars="0"/>
                    <w:rPr>
                      <w:color w:val="auto"/>
                    </w:rPr>
                  </w:pPr>
                  <w:r>
                    <w:rPr>
                      <w:rFonts w:hint="eastAsia"/>
                      <w:color w:val="auto"/>
                    </w:rPr>
                    <w:t>67</w:t>
                  </w:r>
                </w:p>
              </w:tc>
              <w:tc>
                <w:tcPr>
                  <w:tcW w:w="666" w:type="dxa"/>
                  <w:tcBorders>
                    <w:tl2br w:val="nil"/>
                    <w:tr2bl w:val="nil"/>
                  </w:tcBorders>
                  <w:shd w:val="clear" w:color="auto" w:fill="auto"/>
                  <w:vAlign w:val="center"/>
                </w:tcPr>
                <w:p w14:paraId="169EF649">
                  <w:pPr>
                    <w:pStyle w:val="34"/>
                    <w:autoSpaceDE w:val="0"/>
                    <w:autoSpaceDN w:val="0"/>
                    <w:ind w:firstLineChars="0"/>
                    <w:rPr>
                      <w:color w:val="auto"/>
                    </w:rPr>
                  </w:pPr>
                  <w:r>
                    <w:rPr>
                      <w:rFonts w:hint="eastAsia"/>
                      <w:color w:val="auto"/>
                    </w:rPr>
                    <w:t>65</w:t>
                  </w:r>
                </w:p>
              </w:tc>
              <w:tc>
                <w:tcPr>
                  <w:tcW w:w="734" w:type="dxa"/>
                  <w:tcBorders>
                    <w:tl2br w:val="nil"/>
                    <w:tr2bl w:val="nil"/>
                  </w:tcBorders>
                  <w:shd w:val="clear" w:color="auto" w:fill="auto"/>
                  <w:vAlign w:val="center"/>
                </w:tcPr>
                <w:p w14:paraId="6B5B1387">
                  <w:pPr>
                    <w:pStyle w:val="34"/>
                    <w:autoSpaceDE w:val="0"/>
                    <w:autoSpaceDN w:val="0"/>
                    <w:ind w:firstLineChars="0"/>
                    <w:rPr>
                      <w:color w:val="auto"/>
                    </w:rPr>
                  </w:pPr>
                  <w:r>
                    <w:rPr>
                      <w:rFonts w:hint="eastAsia"/>
                      <w:color w:val="auto"/>
                    </w:rPr>
                    <w:t>59</w:t>
                  </w:r>
                </w:p>
              </w:tc>
              <w:tc>
                <w:tcPr>
                  <w:tcW w:w="833" w:type="dxa"/>
                  <w:tcBorders>
                    <w:tl2br w:val="nil"/>
                    <w:tr2bl w:val="nil"/>
                  </w:tcBorders>
                  <w:shd w:val="clear" w:color="auto" w:fill="auto"/>
                  <w:vAlign w:val="center"/>
                </w:tcPr>
                <w:p w14:paraId="2009070C">
                  <w:pPr>
                    <w:pStyle w:val="34"/>
                    <w:autoSpaceDE w:val="0"/>
                    <w:autoSpaceDN w:val="0"/>
                    <w:ind w:firstLineChars="0"/>
                    <w:rPr>
                      <w:color w:val="auto"/>
                    </w:rPr>
                  </w:pPr>
                  <w:r>
                    <w:rPr>
                      <w:rFonts w:hint="eastAsia"/>
                      <w:color w:val="auto"/>
                    </w:rPr>
                    <w:t>55</w:t>
                  </w:r>
                </w:p>
              </w:tc>
              <w:tc>
                <w:tcPr>
                  <w:tcW w:w="863" w:type="dxa"/>
                  <w:tcBorders>
                    <w:tl2br w:val="nil"/>
                    <w:tr2bl w:val="nil"/>
                  </w:tcBorders>
                  <w:shd w:val="clear" w:color="auto" w:fill="auto"/>
                  <w:vAlign w:val="center"/>
                </w:tcPr>
                <w:p w14:paraId="15602B82">
                  <w:pPr>
                    <w:pStyle w:val="34"/>
                    <w:autoSpaceDE w:val="0"/>
                    <w:autoSpaceDN w:val="0"/>
                    <w:ind w:firstLineChars="0"/>
                    <w:rPr>
                      <w:color w:val="auto"/>
                    </w:rPr>
                  </w:pPr>
                  <w:r>
                    <w:rPr>
                      <w:rFonts w:hint="eastAsia"/>
                      <w:color w:val="auto"/>
                    </w:rPr>
                    <w:t>53</w:t>
                  </w:r>
                </w:p>
              </w:tc>
              <w:tc>
                <w:tcPr>
                  <w:tcW w:w="770" w:type="dxa"/>
                  <w:tcBorders>
                    <w:tl2br w:val="nil"/>
                    <w:tr2bl w:val="nil"/>
                  </w:tcBorders>
                  <w:shd w:val="clear" w:color="auto" w:fill="auto"/>
                  <w:vAlign w:val="center"/>
                </w:tcPr>
                <w:p w14:paraId="2571CD08">
                  <w:pPr>
                    <w:pStyle w:val="34"/>
                    <w:autoSpaceDE w:val="0"/>
                    <w:autoSpaceDN w:val="0"/>
                    <w:ind w:firstLineChars="0"/>
                    <w:rPr>
                      <w:color w:val="auto"/>
                    </w:rPr>
                  </w:pPr>
                  <w:r>
                    <w:rPr>
                      <w:rFonts w:hint="eastAsia"/>
                      <w:color w:val="auto"/>
                    </w:rPr>
                    <w:t>51</w:t>
                  </w:r>
                </w:p>
              </w:tc>
            </w:tr>
            <w:tr w14:paraId="29F083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5DDF3A2F">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57C80E4A">
                  <w:pPr>
                    <w:pStyle w:val="34"/>
                    <w:autoSpaceDE w:val="0"/>
                    <w:autoSpaceDN w:val="0"/>
                    <w:ind w:firstLineChars="0"/>
                    <w:rPr>
                      <w:color w:val="auto"/>
                    </w:rPr>
                  </w:pPr>
                  <w:r>
                    <w:rPr>
                      <w:rFonts w:hint="eastAsia"/>
                      <w:color w:val="auto"/>
                    </w:rPr>
                    <w:t>蛙式打夯机</w:t>
                  </w:r>
                </w:p>
              </w:tc>
              <w:tc>
                <w:tcPr>
                  <w:tcW w:w="566" w:type="dxa"/>
                  <w:tcBorders>
                    <w:tl2br w:val="nil"/>
                    <w:tr2bl w:val="nil"/>
                  </w:tcBorders>
                  <w:shd w:val="clear" w:color="auto" w:fill="auto"/>
                  <w:vAlign w:val="center"/>
                </w:tcPr>
                <w:p w14:paraId="30D91855">
                  <w:pPr>
                    <w:pStyle w:val="34"/>
                    <w:autoSpaceDE w:val="0"/>
                    <w:autoSpaceDN w:val="0"/>
                    <w:ind w:firstLineChars="0"/>
                    <w:rPr>
                      <w:color w:val="auto"/>
                    </w:rPr>
                  </w:pPr>
                  <w:r>
                    <w:rPr>
                      <w:rFonts w:hint="eastAsia"/>
                      <w:color w:val="auto"/>
                    </w:rPr>
                    <w:t>85</w:t>
                  </w:r>
                </w:p>
              </w:tc>
              <w:tc>
                <w:tcPr>
                  <w:tcW w:w="634" w:type="dxa"/>
                  <w:tcBorders>
                    <w:tl2br w:val="nil"/>
                    <w:tr2bl w:val="nil"/>
                  </w:tcBorders>
                  <w:shd w:val="clear" w:color="auto" w:fill="auto"/>
                  <w:vAlign w:val="center"/>
                </w:tcPr>
                <w:p w14:paraId="13873A7E">
                  <w:pPr>
                    <w:pStyle w:val="34"/>
                    <w:autoSpaceDE w:val="0"/>
                    <w:autoSpaceDN w:val="0"/>
                    <w:ind w:firstLineChars="0"/>
                    <w:rPr>
                      <w:color w:val="auto"/>
                    </w:rPr>
                  </w:pPr>
                  <w:r>
                    <w:rPr>
                      <w:rFonts w:hint="eastAsia"/>
                      <w:color w:val="auto"/>
                    </w:rPr>
                    <w:t>79</w:t>
                  </w:r>
                </w:p>
              </w:tc>
              <w:tc>
                <w:tcPr>
                  <w:tcW w:w="600" w:type="dxa"/>
                  <w:tcBorders>
                    <w:tl2br w:val="nil"/>
                    <w:tr2bl w:val="nil"/>
                  </w:tcBorders>
                  <w:shd w:val="clear" w:color="auto" w:fill="auto"/>
                  <w:vAlign w:val="center"/>
                </w:tcPr>
                <w:p w14:paraId="45DB9D6F">
                  <w:pPr>
                    <w:pStyle w:val="34"/>
                    <w:autoSpaceDE w:val="0"/>
                    <w:autoSpaceDN w:val="0"/>
                    <w:ind w:firstLineChars="0"/>
                    <w:rPr>
                      <w:color w:val="auto"/>
                    </w:rPr>
                  </w:pPr>
                  <w:r>
                    <w:rPr>
                      <w:rFonts w:hint="eastAsia"/>
                      <w:color w:val="auto"/>
                    </w:rPr>
                    <w:t>73</w:t>
                  </w:r>
                </w:p>
              </w:tc>
              <w:tc>
                <w:tcPr>
                  <w:tcW w:w="683" w:type="dxa"/>
                  <w:tcBorders>
                    <w:tl2br w:val="nil"/>
                    <w:tr2bl w:val="nil"/>
                  </w:tcBorders>
                  <w:shd w:val="clear" w:color="auto" w:fill="auto"/>
                  <w:vAlign w:val="center"/>
                </w:tcPr>
                <w:p w14:paraId="153384DE">
                  <w:pPr>
                    <w:pStyle w:val="34"/>
                    <w:autoSpaceDE w:val="0"/>
                    <w:autoSpaceDN w:val="0"/>
                    <w:ind w:firstLineChars="0"/>
                    <w:rPr>
                      <w:color w:val="auto"/>
                    </w:rPr>
                  </w:pPr>
                  <w:r>
                    <w:rPr>
                      <w:rFonts w:hint="eastAsia"/>
                      <w:color w:val="auto"/>
                    </w:rPr>
                    <w:t>69</w:t>
                  </w:r>
                </w:p>
              </w:tc>
              <w:tc>
                <w:tcPr>
                  <w:tcW w:w="667" w:type="dxa"/>
                  <w:tcBorders>
                    <w:tl2br w:val="nil"/>
                    <w:tr2bl w:val="nil"/>
                  </w:tcBorders>
                  <w:shd w:val="clear" w:color="auto" w:fill="auto"/>
                  <w:vAlign w:val="center"/>
                </w:tcPr>
                <w:p w14:paraId="747CEE72">
                  <w:pPr>
                    <w:pStyle w:val="34"/>
                    <w:autoSpaceDE w:val="0"/>
                    <w:autoSpaceDN w:val="0"/>
                    <w:ind w:firstLineChars="0"/>
                    <w:rPr>
                      <w:color w:val="auto"/>
                    </w:rPr>
                  </w:pPr>
                  <w:r>
                    <w:rPr>
                      <w:rFonts w:hint="eastAsia"/>
                      <w:color w:val="auto"/>
                    </w:rPr>
                    <w:t>67</w:t>
                  </w:r>
                </w:p>
              </w:tc>
              <w:tc>
                <w:tcPr>
                  <w:tcW w:w="666" w:type="dxa"/>
                  <w:tcBorders>
                    <w:tl2br w:val="nil"/>
                    <w:tr2bl w:val="nil"/>
                  </w:tcBorders>
                  <w:shd w:val="clear" w:color="auto" w:fill="auto"/>
                  <w:vAlign w:val="center"/>
                </w:tcPr>
                <w:p w14:paraId="77D47549">
                  <w:pPr>
                    <w:pStyle w:val="34"/>
                    <w:autoSpaceDE w:val="0"/>
                    <w:autoSpaceDN w:val="0"/>
                    <w:ind w:firstLineChars="0"/>
                    <w:rPr>
                      <w:color w:val="auto"/>
                    </w:rPr>
                  </w:pPr>
                  <w:r>
                    <w:rPr>
                      <w:rFonts w:hint="eastAsia"/>
                      <w:color w:val="auto"/>
                    </w:rPr>
                    <w:t>65</w:t>
                  </w:r>
                </w:p>
              </w:tc>
              <w:tc>
                <w:tcPr>
                  <w:tcW w:w="734" w:type="dxa"/>
                  <w:tcBorders>
                    <w:tl2br w:val="nil"/>
                    <w:tr2bl w:val="nil"/>
                  </w:tcBorders>
                  <w:shd w:val="clear" w:color="auto" w:fill="auto"/>
                  <w:vAlign w:val="center"/>
                </w:tcPr>
                <w:p w14:paraId="2CA464B0">
                  <w:pPr>
                    <w:pStyle w:val="34"/>
                    <w:autoSpaceDE w:val="0"/>
                    <w:autoSpaceDN w:val="0"/>
                    <w:ind w:firstLineChars="0"/>
                    <w:rPr>
                      <w:color w:val="auto"/>
                    </w:rPr>
                  </w:pPr>
                  <w:r>
                    <w:rPr>
                      <w:rFonts w:hint="eastAsia"/>
                      <w:color w:val="auto"/>
                    </w:rPr>
                    <w:t>59</w:t>
                  </w:r>
                </w:p>
              </w:tc>
              <w:tc>
                <w:tcPr>
                  <w:tcW w:w="833" w:type="dxa"/>
                  <w:tcBorders>
                    <w:tl2br w:val="nil"/>
                    <w:tr2bl w:val="nil"/>
                  </w:tcBorders>
                  <w:shd w:val="clear" w:color="auto" w:fill="auto"/>
                  <w:vAlign w:val="center"/>
                </w:tcPr>
                <w:p w14:paraId="39B76E75">
                  <w:pPr>
                    <w:pStyle w:val="34"/>
                    <w:autoSpaceDE w:val="0"/>
                    <w:autoSpaceDN w:val="0"/>
                    <w:ind w:firstLineChars="0"/>
                    <w:rPr>
                      <w:color w:val="auto"/>
                    </w:rPr>
                  </w:pPr>
                  <w:r>
                    <w:rPr>
                      <w:rFonts w:hint="eastAsia"/>
                      <w:color w:val="auto"/>
                    </w:rPr>
                    <w:t>55</w:t>
                  </w:r>
                </w:p>
              </w:tc>
              <w:tc>
                <w:tcPr>
                  <w:tcW w:w="863" w:type="dxa"/>
                  <w:tcBorders>
                    <w:tl2br w:val="nil"/>
                    <w:tr2bl w:val="nil"/>
                  </w:tcBorders>
                  <w:shd w:val="clear" w:color="auto" w:fill="auto"/>
                  <w:vAlign w:val="center"/>
                </w:tcPr>
                <w:p w14:paraId="4D155306">
                  <w:pPr>
                    <w:pStyle w:val="34"/>
                    <w:autoSpaceDE w:val="0"/>
                    <w:autoSpaceDN w:val="0"/>
                    <w:ind w:firstLineChars="0"/>
                    <w:rPr>
                      <w:color w:val="auto"/>
                    </w:rPr>
                  </w:pPr>
                  <w:r>
                    <w:rPr>
                      <w:rFonts w:hint="eastAsia"/>
                      <w:color w:val="auto"/>
                    </w:rPr>
                    <w:t>53</w:t>
                  </w:r>
                </w:p>
              </w:tc>
              <w:tc>
                <w:tcPr>
                  <w:tcW w:w="770" w:type="dxa"/>
                  <w:tcBorders>
                    <w:tl2br w:val="nil"/>
                    <w:tr2bl w:val="nil"/>
                  </w:tcBorders>
                  <w:shd w:val="clear" w:color="auto" w:fill="auto"/>
                  <w:vAlign w:val="center"/>
                </w:tcPr>
                <w:p w14:paraId="461EE2D3">
                  <w:pPr>
                    <w:pStyle w:val="34"/>
                    <w:autoSpaceDE w:val="0"/>
                    <w:autoSpaceDN w:val="0"/>
                    <w:ind w:firstLineChars="0"/>
                    <w:rPr>
                      <w:color w:val="auto"/>
                    </w:rPr>
                  </w:pPr>
                  <w:r>
                    <w:rPr>
                      <w:rFonts w:hint="eastAsia"/>
                      <w:color w:val="auto"/>
                    </w:rPr>
                    <w:t>51</w:t>
                  </w:r>
                </w:p>
              </w:tc>
            </w:tr>
            <w:tr w14:paraId="713E0C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0AFA76ED">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45B11B58">
                  <w:pPr>
                    <w:pStyle w:val="34"/>
                    <w:autoSpaceDE w:val="0"/>
                    <w:autoSpaceDN w:val="0"/>
                    <w:ind w:firstLineChars="0"/>
                    <w:rPr>
                      <w:color w:val="auto"/>
                    </w:rPr>
                  </w:pPr>
                  <w:r>
                    <w:rPr>
                      <w:rFonts w:hint="eastAsia"/>
                      <w:color w:val="auto"/>
                    </w:rPr>
                    <w:t>砼罐吊机</w:t>
                  </w:r>
                </w:p>
              </w:tc>
              <w:tc>
                <w:tcPr>
                  <w:tcW w:w="566" w:type="dxa"/>
                  <w:tcBorders>
                    <w:tl2br w:val="nil"/>
                    <w:tr2bl w:val="nil"/>
                  </w:tcBorders>
                  <w:shd w:val="clear" w:color="auto" w:fill="auto"/>
                  <w:vAlign w:val="center"/>
                </w:tcPr>
                <w:p w14:paraId="3672D01E">
                  <w:pPr>
                    <w:pStyle w:val="34"/>
                    <w:autoSpaceDE w:val="0"/>
                    <w:autoSpaceDN w:val="0"/>
                    <w:ind w:firstLineChars="0"/>
                    <w:rPr>
                      <w:color w:val="auto"/>
                    </w:rPr>
                  </w:pPr>
                  <w:r>
                    <w:rPr>
                      <w:rFonts w:hint="eastAsia"/>
                      <w:color w:val="auto"/>
                    </w:rPr>
                    <w:t>80</w:t>
                  </w:r>
                </w:p>
              </w:tc>
              <w:tc>
                <w:tcPr>
                  <w:tcW w:w="634" w:type="dxa"/>
                  <w:tcBorders>
                    <w:tl2br w:val="nil"/>
                    <w:tr2bl w:val="nil"/>
                  </w:tcBorders>
                  <w:shd w:val="clear" w:color="auto" w:fill="auto"/>
                  <w:vAlign w:val="center"/>
                </w:tcPr>
                <w:p w14:paraId="6DA6DDDF">
                  <w:pPr>
                    <w:pStyle w:val="34"/>
                    <w:autoSpaceDE w:val="0"/>
                    <w:autoSpaceDN w:val="0"/>
                    <w:ind w:firstLineChars="0"/>
                    <w:rPr>
                      <w:color w:val="auto"/>
                    </w:rPr>
                  </w:pPr>
                  <w:r>
                    <w:rPr>
                      <w:rFonts w:hint="eastAsia"/>
                      <w:color w:val="auto"/>
                    </w:rPr>
                    <w:t>74</w:t>
                  </w:r>
                </w:p>
              </w:tc>
              <w:tc>
                <w:tcPr>
                  <w:tcW w:w="600" w:type="dxa"/>
                  <w:tcBorders>
                    <w:tl2br w:val="nil"/>
                    <w:tr2bl w:val="nil"/>
                  </w:tcBorders>
                  <w:shd w:val="clear" w:color="auto" w:fill="auto"/>
                  <w:vAlign w:val="center"/>
                </w:tcPr>
                <w:p w14:paraId="359A9F16">
                  <w:pPr>
                    <w:pStyle w:val="34"/>
                    <w:autoSpaceDE w:val="0"/>
                    <w:autoSpaceDN w:val="0"/>
                    <w:ind w:firstLineChars="0"/>
                    <w:rPr>
                      <w:color w:val="auto"/>
                    </w:rPr>
                  </w:pPr>
                  <w:r>
                    <w:rPr>
                      <w:rFonts w:hint="eastAsia"/>
                      <w:color w:val="auto"/>
                    </w:rPr>
                    <w:t>68</w:t>
                  </w:r>
                </w:p>
              </w:tc>
              <w:tc>
                <w:tcPr>
                  <w:tcW w:w="683" w:type="dxa"/>
                  <w:tcBorders>
                    <w:tl2br w:val="nil"/>
                    <w:tr2bl w:val="nil"/>
                  </w:tcBorders>
                  <w:shd w:val="clear" w:color="auto" w:fill="auto"/>
                  <w:vAlign w:val="center"/>
                </w:tcPr>
                <w:p w14:paraId="07D5D833">
                  <w:pPr>
                    <w:pStyle w:val="34"/>
                    <w:autoSpaceDE w:val="0"/>
                    <w:autoSpaceDN w:val="0"/>
                    <w:ind w:firstLineChars="0"/>
                    <w:rPr>
                      <w:color w:val="auto"/>
                    </w:rPr>
                  </w:pPr>
                  <w:r>
                    <w:rPr>
                      <w:rFonts w:hint="eastAsia"/>
                      <w:color w:val="auto"/>
                    </w:rPr>
                    <w:t>64</w:t>
                  </w:r>
                </w:p>
              </w:tc>
              <w:tc>
                <w:tcPr>
                  <w:tcW w:w="667" w:type="dxa"/>
                  <w:tcBorders>
                    <w:tl2br w:val="nil"/>
                    <w:tr2bl w:val="nil"/>
                  </w:tcBorders>
                  <w:shd w:val="clear" w:color="auto" w:fill="auto"/>
                  <w:vAlign w:val="center"/>
                </w:tcPr>
                <w:p w14:paraId="31D3E1C3">
                  <w:pPr>
                    <w:pStyle w:val="34"/>
                    <w:autoSpaceDE w:val="0"/>
                    <w:autoSpaceDN w:val="0"/>
                    <w:ind w:firstLineChars="0"/>
                    <w:rPr>
                      <w:color w:val="auto"/>
                    </w:rPr>
                  </w:pPr>
                  <w:r>
                    <w:rPr>
                      <w:rFonts w:hint="eastAsia"/>
                      <w:color w:val="auto"/>
                    </w:rPr>
                    <w:t>62</w:t>
                  </w:r>
                </w:p>
              </w:tc>
              <w:tc>
                <w:tcPr>
                  <w:tcW w:w="666" w:type="dxa"/>
                  <w:tcBorders>
                    <w:tl2br w:val="nil"/>
                    <w:tr2bl w:val="nil"/>
                  </w:tcBorders>
                  <w:shd w:val="clear" w:color="auto" w:fill="auto"/>
                  <w:vAlign w:val="center"/>
                </w:tcPr>
                <w:p w14:paraId="2888C963">
                  <w:pPr>
                    <w:pStyle w:val="34"/>
                    <w:autoSpaceDE w:val="0"/>
                    <w:autoSpaceDN w:val="0"/>
                    <w:ind w:firstLineChars="0"/>
                    <w:rPr>
                      <w:color w:val="auto"/>
                    </w:rPr>
                  </w:pPr>
                  <w:r>
                    <w:rPr>
                      <w:rFonts w:hint="eastAsia"/>
                      <w:color w:val="auto"/>
                    </w:rPr>
                    <w:t>60</w:t>
                  </w:r>
                </w:p>
              </w:tc>
              <w:tc>
                <w:tcPr>
                  <w:tcW w:w="734" w:type="dxa"/>
                  <w:tcBorders>
                    <w:tl2br w:val="nil"/>
                    <w:tr2bl w:val="nil"/>
                  </w:tcBorders>
                  <w:shd w:val="clear" w:color="auto" w:fill="auto"/>
                  <w:vAlign w:val="center"/>
                </w:tcPr>
                <w:p w14:paraId="22A2A2C0">
                  <w:pPr>
                    <w:pStyle w:val="34"/>
                    <w:autoSpaceDE w:val="0"/>
                    <w:autoSpaceDN w:val="0"/>
                    <w:ind w:firstLineChars="0"/>
                    <w:rPr>
                      <w:color w:val="auto"/>
                    </w:rPr>
                  </w:pPr>
                  <w:r>
                    <w:rPr>
                      <w:rFonts w:hint="eastAsia"/>
                      <w:color w:val="auto"/>
                    </w:rPr>
                    <w:t>54</w:t>
                  </w:r>
                </w:p>
              </w:tc>
              <w:tc>
                <w:tcPr>
                  <w:tcW w:w="833" w:type="dxa"/>
                  <w:tcBorders>
                    <w:tl2br w:val="nil"/>
                    <w:tr2bl w:val="nil"/>
                  </w:tcBorders>
                  <w:shd w:val="clear" w:color="auto" w:fill="auto"/>
                  <w:vAlign w:val="center"/>
                </w:tcPr>
                <w:p w14:paraId="544A53AD">
                  <w:pPr>
                    <w:pStyle w:val="34"/>
                    <w:autoSpaceDE w:val="0"/>
                    <w:autoSpaceDN w:val="0"/>
                    <w:ind w:firstLineChars="0"/>
                    <w:rPr>
                      <w:color w:val="auto"/>
                    </w:rPr>
                  </w:pPr>
                  <w:r>
                    <w:rPr>
                      <w:rFonts w:hint="eastAsia"/>
                      <w:color w:val="auto"/>
                    </w:rPr>
                    <w:t>50</w:t>
                  </w:r>
                </w:p>
              </w:tc>
              <w:tc>
                <w:tcPr>
                  <w:tcW w:w="863" w:type="dxa"/>
                  <w:tcBorders>
                    <w:tl2br w:val="nil"/>
                    <w:tr2bl w:val="nil"/>
                  </w:tcBorders>
                  <w:shd w:val="clear" w:color="auto" w:fill="auto"/>
                  <w:vAlign w:val="center"/>
                </w:tcPr>
                <w:p w14:paraId="4278E8F7">
                  <w:pPr>
                    <w:pStyle w:val="34"/>
                    <w:autoSpaceDE w:val="0"/>
                    <w:autoSpaceDN w:val="0"/>
                    <w:ind w:firstLineChars="0"/>
                    <w:rPr>
                      <w:color w:val="auto"/>
                    </w:rPr>
                  </w:pPr>
                  <w:r>
                    <w:rPr>
                      <w:rFonts w:hint="eastAsia"/>
                      <w:color w:val="auto"/>
                    </w:rPr>
                    <w:t>48</w:t>
                  </w:r>
                </w:p>
              </w:tc>
              <w:tc>
                <w:tcPr>
                  <w:tcW w:w="770" w:type="dxa"/>
                  <w:tcBorders>
                    <w:tl2br w:val="nil"/>
                    <w:tr2bl w:val="nil"/>
                  </w:tcBorders>
                  <w:shd w:val="clear" w:color="auto" w:fill="auto"/>
                  <w:vAlign w:val="center"/>
                </w:tcPr>
                <w:p w14:paraId="338E32C2">
                  <w:pPr>
                    <w:pStyle w:val="34"/>
                    <w:autoSpaceDE w:val="0"/>
                    <w:autoSpaceDN w:val="0"/>
                    <w:ind w:firstLineChars="0"/>
                    <w:rPr>
                      <w:color w:val="auto"/>
                    </w:rPr>
                  </w:pPr>
                  <w:r>
                    <w:rPr>
                      <w:rFonts w:hint="eastAsia"/>
                      <w:color w:val="auto"/>
                    </w:rPr>
                    <w:t>46</w:t>
                  </w:r>
                </w:p>
              </w:tc>
            </w:tr>
            <w:tr w14:paraId="77F9EA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7483A343">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791B2B36">
                  <w:pPr>
                    <w:pStyle w:val="34"/>
                    <w:autoSpaceDE w:val="0"/>
                    <w:autoSpaceDN w:val="0"/>
                    <w:ind w:firstLineChars="0"/>
                    <w:rPr>
                      <w:color w:val="auto"/>
                    </w:rPr>
                  </w:pPr>
                  <w:r>
                    <w:rPr>
                      <w:rFonts w:hint="eastAsia"/>
                      <w:color w:val="auto"/>
                    </w:rPr>
                    <w:t>砼罐车</w:t>
                  </w:r>
                </w:p>
              </w:tc>
              <w:tc>
                <w:tcPr>
                  <w:tcW w:w="566" w:type="dxa"/>
                  <w:tcBorders>
                    <w:tl2br w:val="nil"/>
                    <w:tr2bl w:val="nil"/>
                  </w:tcBorders>
                  <w:shd w:val="clear" w:color="auto" w:fill="auto"/>
                  <w:vAlign w:val="center"/>
                </w:tcPr>
                <w:p w14:paraId="2255A9C9">
                  <w:pPr>
                    <w:pStyle w:val="34"/>
                    <w:autoSpaceDE w:val="0"/>
                    <w:autoSpaceDN w:val="0"/>
                    <w:ind w:firstLineChars="0"/>
                    <w:rPr>
                      <w:color w:val="auto"/>
                    </w:rPr>
                  </w:pPr>
                  <w:r>
                    <w:rPr>
                      <w:rFonts w:hint="eastAsia"/>
                      <w:color w:val="auto"/>
                    </w:rPr>
                    <w:t>70</w:t>
                  </w:r>
                </w:p>
              </w:tc>
              <w:tc>
                <w:tcPr>
                  <w:tcW w:w="634" w:type="dxa"/>
                  <w:tcBorders>
                    <w:tl2br w:val="nil"/>
                    <w:tr2bl w:val="nil"/>
                  </w:tcBorders>
                  <w:shd w:val="clear" w:color="auto" w:fill="auto"/>
                  <w:vAlign w:val="center"/>
                </w:tcPr>
                <w:p w14:paraId="4B5F3E8A">
                  <w:pPr>
                    <w:pStyle w:val="34"/>
                    <w:autoSpaceDE w:val="0"/>
                    <w:autoSpaceDN w:val="0"/>
                    <w:ind w:firstLineChars="0"/>
                    <w:rPr>
                      <w:color w:val="auto"/>
                    </w:rPr>
                  </w:pPr>
                  <w:r>
                    <w:rPr>
                      <w:rFonts w:hint="eastAsia"/>
                      <w:color w:val="auto"/>
                    </w:rPr>
                    <w:t>64</w:t>
                  </w:r>
                </w:p>
              </w:tc>
              <w:tc>
                <w:tcPr>
                  <w:tcW w:w="600" w:type="dxa"/>
                  <w:tcBorders>
                    <w:tl2br w:val="nil"/>
                    <w:tr2bl w:val="nil"/>
                  </w:tcBorders>
                  <w:shd w:val="clear" w:color="auto" w:fill="auto"/>
                  <w:vAlign w:val="center"/>
                </w:tcPr>
                <w:p w14:paraId="1FEF08A7">
                  <w:pPr>
                    <w:pStyle w:val="34"/>
                    <w:autoSpaceDE w:val="0"/>
                    <w:autoSpaceDN w:val="0"/>
                    <w:ind w:firstLineChars="0"/>
                    <w:rPr>
                      <w:color w:val="auto"/>
                    </w:rPr>
                  </w:pPr>
                  <w:r>
                    <w:rPr>
                      <w:rFonts w:hint="eastAsia"/>
                      <w:color w:val="auto"/>
                    </w:rPr>
                    <w:t>60</w:t>
                  </w:r>
                </w:p>
              </w:tc>
              <w:tc>
                <w:tcPr>
                  <w:tcW w:w="683" w:type="dxa"/>
                  <w:tcBorders>
                    <w:tl2br w:val="nil"/>
                    <w:tr2bl w:val="nil"/>
                  </w:tcBorders>
                  <w:shd w:val="clear" w:color="auto" w:fill="auto"/>
                  <w:vAlign w:val="center"/>
                </w:tcPr>
                <w:p w14:paraId="302BC450">
                  <w:pPr>
                    <w:pStyle w:val="34"/>
                    <w:autoSpaceDE w:val="0"/>
                    <w:autoSpaceDN w:val="0"/>
                    <w:ind w:firstLineChars="0"/>
                    <w:rPr>
                      <w:color w:val="auto"/>
                    </w:rPr>
                  </w:pPr>
                  <w:r>
                    <w:rPr>
                      <w:rFonts w:hint="eastAsia"/>
                      <w:color w:val="auto"/>
                    </w:rPr>
                    <w:t>54</w:t>
                  </w:r>
                </w:p>
              </w:tc>
              <w:tc>
                <w:tcPr>
                  <w:tcW w:w="667" w:type="dxa"/>
                  <w:tcBorders>
                    <w:tl2br w:val="nil"/>
                    <w:tr2bl w:val="nil"/>
                  </w:tcBorders>
                  <w:shd w:val="clear" w:color="auto" w:fill="auto"/>
                  <w:vAlign w:val="center"/>
                </w:tcPr>
                <w:p w14:paraId="1A16FC25">
                  <w:pPr>
                    <w:pStyle w:val="34"/>
                    <w:autoSpaceDE w:val="0"/>
                    <w:autoSpaceDN w:val="0"/>
                    <w:ind w:firstLineChars="0"/>
                    <w:rPr>
                      <w:color w:val="auto"/>
                    </w:rPr>
                  </w:pPr>
                  <w:r>
                    <w:rPr>
                      <w:rFonts w:hint="eastAsia"/>
                      <w:color w:val="auto"/>
                    </w:rPr>
                    <w:t>51</w:t>
                  </w:r>
                </w:p>
              </w:tc>
              <w:tc>
                <w:tcPr>
                  <w:tcW w:w="666" w:type="dxa"/>
                  <w:tcBorders>
                    <w:tl2br w:val="nil"/>
                    <w:tr2bl w:val="nil"/>
                  </w:tcBorders>
                  <w:shd w:val="clear" w:color="auto" w:fill="auto"/>
                  <w:vAlign w:val="center"/>
                </w:tcPr>
                <w:p w14:paraId="7ED3CB10">
                  <w:pPr>
                    <w:pStyle w:val="34"/>
                    <w:autoSpaceDE w:val="0"/>
                    <w:autoSpaceDN w:val="0"/>
                    <w:ind w:firstLineChars="0"/>
                    <w:rPr>
                      <w:color w:val="auto"/>
                    </w:rPr>
                  </w:pPr>
                  <w:r>
                    <w:rPr>
                      <w:rFonts w:hint="eastAsia"/>
                      <w:color w:val="auto"/>
                    </w:rPr>
                    <w:t>48</w:t>
                  </w:r>
                </w:p>
              </w:tc>
              <w:tc>
                <w:tcPr>
                  <w:tcW w:w="734" w:type="dxa"/>
                  <w:tcBorders>
                    <w:tl2br w:val="nil"/>
                    <w:tr2bl w:val="nil"/>
                  </w:tcBorders>
                  <w:shd w:val="clear" w:color="auto" w:fill="auto"/>
                  <w:vAlign w:val="center"/>
                </w:tcPr>
                <w:p w14:paraId="1E222AC9">
                  <w:pPr>
                    <w:pStyle w:val="34"/>
                    <w:autoSpaceDE w:val="0"/>
                    <w:autoSpaceDN w:val="0"/>
                    <w:ind w:firstLineChars="0"/>
                    <w:rPr>
                      <w:color w:val="auto"/>
                    </w:rPr>
                  </w:pPr>
                  <w:r>
                    <w:rPr>
                      <w:rFonts w:hint="eastAsia"/>
                      <w:color w:val="auto"/>
                    </w:rPr>
                    <w:t>46</w:t>
                  </w:r>
                </w:p>
              </w:tc>
              <w:tc>
                <w:tcPr>
                  <w:tcW w:w="833" w:type="dxa"/>
                  <w:tcBorders>
                    <w:tl2br w:val="nil"/>
                    <w:tr2bl w:val="nil"/>
                  </w:tcBorders>
                  <w:shd w:val="clear" w:color="auto" w:fill="auto"/>
                  <w:vAlign w:val="center"/>
                </w:tcPr>
                <w:p w14:paraId="1FD0322B">
                  <w:pPr>
                    <w:pStyle w:val="34"/>
                    <w:autoSpaceDE w:val="0"/>
                    <w:autoSpaceDN w:val="0"/>
                    <w:ind w:firstLineChars="0"/>
                    <w:rPr>
                      <w:color w:val="auto"/>
                    </w:rPr>
                  </w:pPr>
                  <w:r>
                    <w:rPr>
                      <w:rFonts w:hint="eastAsia"/>
                      <w:color w:val="auto"/>
                    </w:rPr>
                    <w:t>45</w:t>
                  </w:r>
                </w:p>
              </w:tc>
              <w:tc>
                <w:tcPr>
                  <w:tcW w:w="863" w:type="dxa"/>
                  <w:tcBorders>
                    <w:tl2br w:val="nil"/>
                    <w:tr2bl w:val="nil"/>
                  </w:tcBorders>
                  <w:shd w:val="clear" w:color="auto" w:fill="auto"/>
                  <w:vAlign w:val="center"/>
                </w:tcPr>
                <w:p w14:paraId="11216A99">
                  <w:pPr>
                    <w:pStyle w:val="34"/>
                    <w:autoSpaceDE w:val="0"/>
                    <w:autoSpaceDN w:val="0"/>
                    <w:ind w:firstLineChars="0"/>
                    <w:rPr>
                      <w:color w:val="auto"/>
                    </w:rPr>
                  </w:pPr>
                  <w:r>
                    <w:rPr>
                      <w:rFonts w:hint="eastAsia"/>
                      <w:color w:val="auto"/>
                    </w:rPr>
                    <w:t>43</w:t>
                  </w:r>
                </w:p>
              </w:tc>
              <w:tc>
                <w:tcPr>
                  <w:tcW w:w="770" w:type="dxa"/>
                  <w:tcBorders>
                    <w:tl2br w:val="nil"/>
                    <w:tr2bl w:val="nil"/>
                  </w:tcBorders>
                  <w:shd w:val="clear" w:color="auto" w:fill="auto"/>
                  <w:vAlign w:val="center"/>
                </w:tcPr>
                <w:p w14:paraId="4A03344A">
                  <w:pPr>
                    <w:pStyle w:val="34"/>
                    <w:autoSpaceDE w:val="0"/>
                    <w:autoSpaceDN w:val="0"/>
                    <w:ind w:firstLineChars="0"/>
                    <w:rPr>
                      <w:color w:val="auto"/>
                    </w:rPr>
                  </w:pPr>
                  <w:r>
                    <w:rPr>
                      <w:rFonts w:hint="eastAsia"/>
                      <w:color w:val="auto"/>
                    </w:rPr>
                    <w:t>42</w:t>
                  </w:r>
                </w:p>
              </w:tc>
            </w:tr>
            <w:tr w14:paraId="16FD03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49A14981">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4B8DB19B">
                  <w:pPr>
                    <w:pStyle w:val="34"/>
                    <w:autoSpaceDE w:val="0"/>
                    <w:autoSpaceDN w:val="0"/>
                    <w:ind w:firstLineChars="0"/>
                    <w:rPr>
                      <w:color w:val="auto"/>
                    </w:rPr>
                  </w:pPr>
                  <w:r>
                    <w:rPr>
                      <w:rFonts w:hint="eastAsia"/>
                      <w:color w:val="auto"/>
                    </w:rPr>
                    <w:t>砼泵</w:t>
                  </w:r>
                </w:p>
              </w:tc>
              <w:tc>
                <w:tcPr>
                  <w:tcW w:w="566" w:type="dxa"/>
                  <w:tcBorders>
                    <w:tl2br w:val="nil"/>
                    <w:tr2bl w:val="nil"/>
                  </w:tcBorders>
                  <w:shd w:val="clear" w:color="auto" w:fill="auto"/>
                  <w:vAlign w:val="center"/>
                </w:tcPr>
                <w:p w14:paraId="15E355B0">
                  <w:pPr>
                    <w:pStyle w:val="34"/>
                    <w:autoSpaceDE w:val="0"/>
                    <w:autoSpaceDN w:val="0"/>
                    <w:ind w:firstLineChars="0"/>
                    <w:rPr>
                      <w:color w:val="auto"/>
                    </w:rPr>
                  </w:pPr>
                  <w:r>
                    <w:rPr>
                      <w:rFonts w:hint="eastAsia"/>
                      <w:color w:val="auto"/>
                    </w:rPr>
                    <w:t>80</w:t>
                  </w:r>
                </w:p>
              </w:tc>
              <w:tc>
                <w:tcPr>
                  <w:tcW w:w="634" w:type="dxa"/>
                  <w:tcBorders>
                    <w:tl2br w:val="nil"/>
                    <w:tr2bl w:val="nil"/>
                  </w:tcBorders>
                  <w:shd w:val="clear" w:color="auto" w:fill="auto"/>
                  <w:vAlign w:val="center"/>
                </w:tcPr>
                <w:p w14:paraId="4D5AF443">
                  <w:pPr>
                    <w:pStyle w:val="34"/>
                    <w:autoSpaceDE w:val="0"/>
                    <w:autoSpaceDN w:val="0"/>
                    <w:ind w:firstLineChars="0"/>
                    <w:rPr>
                      <w:color w:val="auto"/>
                    </w:rPr>
                  </w:pPr>
                  <w:r>
                    <w:rPr>
                      <w:rFonts w:hint="eastAsia"/>
                      <w:color w:val="auto"/>
                    </w:rPr>
                    <w:t>74</w:t>
                  </w:r>
                </w:p>
              </w:tc>
              <w:tc>
                <w:tcPr>
                  <w:tcW w:w="600" w:type="dxa"/>
                  <w:tcBorders>
                    <w:tl2br w:val="nil"/>
                    <w:tr2bl w:val="nil"/>
                  </w:tcBorders>
                  <w:shd w:val="clear" w:color="auto" w:fill="auto"/>
                  <w:vAlign w:val="center"/>
                </w:tcPr>
                <w:p w14:paraId="35599870">
                  <w:pPr>
                    <w:pStyle w:val="34"/>
                    <w:autoSpaceDE w:val="0"/>
                    <w:autoSpaceDN w:val="0"/>
                    <w:ind w:firstLineChars="0"/>
                    <w:rPr>
                      <w:color w:val="auto"/>
                    </w:rPr>
                  </w:pPr>
                  <w:r>
                    <w:rPr>
                      <w:rFonts w:hint="eastAsia"/>
                      <w:color w:val="auto"/>
                    </w:rPr>
                    <w:t>68</w:t>
                  </w:r>
                </w:p>
              </w:tc>
              <w:tc>
                <w:tcPr>
                  <w:tcW w:w="683" w:type="dxa"/>
                  <w:tcBorders>
                    <w:tl2br w:val="nil"/>
                    <w:tr2bl w:val="nil"/>
                  </w:tcBorders>
                  <w:shd w:val="clear" w:color="auto" w:fill="auto"/>
                  <w:vAlign w:val="center"/>
                </w:tcPr>
                <w:p w14:paraId="4939E252">
                  <w:pPr>
                    <w:pStyle w:val="34"/>
                    <w:autoSpaceDE w:val="0"/>
                    <w:autoSpaceDN w:val="0"/>
                    <w:ind w:firstLineChars="0"/>
                    <w:rPr>
                      <w:color w:val="auto"/>
                    </w:rPr>
                  </w:pPr>
                  <w:r>
                    <w:rPr>
                      <w:rFonts w:hint="eastAsia"/>
                      <w:color w:val="auto"/>
                    </w:rPr>
                    <w:t>64</w:t>
                  </w:r>
                </w:p>
              </w:tc>
              <w:tc>
                <w:tcPr>
                  <w:tcW w:w="667" w:type="dxa"/>
                  <w:tcBorders>
                    <w:tl2br w:val="nil"/>
                    <w:tr2bl w:val="nil"/>
                  </w:tcBorders>
                  <w:shd w:val="clear" w:color="auto" w:fill="auto"/>
                  <w:vAlign w:val="center"/>
                </w:tcPr>
                <w:p w14:paraId="4CAC3144">
                  <w:pPr>
                    <w:pStyle w:val="34"/>
                    <w:autoSpaceDE w:val="0"/>
                    <w:autoSpaceDN w:val="0"/>
                    <w:ind w:firstLineChars="0"/>
                    <w:rPr>
                      <w:color w:val="auto"/>
                    </w:rPr>
                  </w:pPr>
                  <w:r>
                    <w:rPr>
                      <w:rFonts w:hint="eastAsia"/>
                      <w:color w:val="auto"/>
                    </w:rPr>
                    <w:t>62</w:t>
                  </w:r>
                </w:p>
              </w:tc>
              <w:tc>
                <w:tcPr>
                  <w:tcW w:w="666" w:type="dxa"/>
                  <w:tcBorders>
                    <w:tl2br w:val="nil"/>
                    <w:tr2bl w:val="nil"/>
                  </w:tcBorders>
                  <w:shd w:val="clear" w:color="auto" w:fill="auto"/>
                  <w:vAlign w:val="center"/>
                </w:tcPr>
                <w:p w14:paraId="04EAD081">
                  <w:pPr>
                    <w:pStyle w:val="34"/>
                    <w:autoSpaceDE w:val="0"/>
                    <w:autoSpaceDN w:val="0"/>
                    <w:ind w:firstLineChars="0"/>
                    <w:rPr>
                      <w:color w:val="auto"/>
                    </w:rPr>
                  </w:pPr>
                  <w:r>
                    <w:rPr>
                      <w:rFonts w:hint="eastAsia"/>
                      <w:color w:val="auto"/>
                    </w:rPr>
                    <w:t>60</w:t>
                  </w:r>
                </w:p>
              </w:tc>
              <w:tc>
                <w:tcPr>
                  <w:tcW w:w="734" w:type="dxa"/>
                  <w:tcBorders>
                    <w:tl2br w:val="nil"/>
                    <w:tr2bl w:val="nil"/>
                  </w:tcBorders>
                  <w:shd w:val="clear" w:color="auto" w:fill="auto"/>
                  <w:vAlign w:val="center"/>
                </w:tcPr>
                <w:p w14:paraId="3F4D8D53">
                  <w:pPr>
                    <w:pStyle w:val="34"/>
                    <w:autoSpaceDE w:val="0"/>
                    <w:autoSpaceDN w:val="0"/>
                    <w:ind w:firstLineChars="0"/>
                    <w:rPr>
                      <w:color w:val="auto"/>
                    </w:rPr>
                  </w:pPr>
                  <w:r>
                    <w:rPr>
                      <w:rFonts w:hint="eastAsia"/>
                      <w:color w:val="auto"/>
                    </w:rPr>
                    <w:t>54</w:t>
                  </w:r>
                </w:p>
              </w:tc>
              <w:tc>
                <w:tcPr>
                  <w:tcW w:w="833" w:type="dxa"/>
                  <w:tcBorders>
                    <w:tl2br w:val="nil"/>
                    <w:tr2bl w:val="nil"/>
                  </w:tcBorders>
                  <w:shd w:val="clear" w:color="auto" w:fill="auto"/>
                  <w:vAlign w:val="center"/>
                </w:tcPr>
                <w:p w14:paraId="1D33864A">
                  <w:pPr>
                    <w:pStyle w:val="34"/>
                    <w:autoSpaceDE w:val="0"/>
                    <w:autoSpaceDN w:val="0"/>
                    <w:ind w:firstLineChars="0"/>
                    <w:rPr>
                      <w:color w:val="auto"/>
                    </w:rPr>
                  </w:pPr>
                  <w:r>
                    <w:rPr>
                      <w:rFonts w:hint="eastAsia"/>
                      <w:color w:val="auto"/>
                    </w:rPr>
                    <w:t>50</w:t>
                  </w:r>
                </w:p>
              </w:tc>
              <w:tc>
                <w:tcPr>
                  <w:tcW w:w="863" w:type="dxa"/>
                  <w:tcBorders>
                    <w:tl2br w:val="nil"/>
                    <w:tr2bl w:val="nil"/>
                  </w:tcBorders>
                  <w:shd w:val="clear" w:color="auto" w:fill="auto"/>
                  <w:vAlign w:val="center"/>
                </w:tcPr>
                <w:p w14:paraId="5CB39641">
                  <w:pPr>
                    <w:pStyle w:val="34"/>
                    <w:autoSpaceDE w:val="0"/>
                    <w:autoSpaceDN w:val="0"/>
                    <w:ind w:firstLineChars="0"/>
                    <w:rPr>
                      <w:color w:val="auto"/>
                    </w:rPr>
                  </w:pPr>
                  <w:r>
                    <w:rPr>
                      <w:rFonts w:hint="eastAsia"/>
                      <w:color w:val="auto"/>
                    </w:rPr>
                    <w:t>48</w:t>
                  </w:r>
                </w:p>
              </w:tc>
              <w:tc>
                <w:tcPr>
                  <w:tcW w:w="770" w:type="dxa"/>
                  <w:tcBorders>
                    <w:tl2br w:val="nil"/>
                    <w:tr2bl w:val="nil"/>
                  </w:tcBorders>
                  <w:shd w:val="clear" w:color="auto" w:fill="auto"/>
                  <w:vAlign w:val="center"/>
                </w:tcPr>
                <w:p w14:paraId="70981F7D">
                  <w:pPr>
                    <w:pStyle w:val="34"/>
                    <w:autoSpaceDE w:val="0"/>
                    <w:autoSpaceDN w:val="0"/>
                    <w:ind w:firstLineChars="0"/>
                    <w:rPr>
                      <w:color w:val="auto"/>
                    </w:rPr>
                  </w:pPr>
                  <w:r>
                    <w:rPr>
                      <w:rFonts w:hint="eastAsia"/>
                      <w:color w:val="auto"/>
                    </w:rPr>
                    <w:t>46</w:t>
                  </w:r>
                </w:p>
              </w:tc>
            </w:tr>
            <w:tr w14:paraId="66907A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037B764E">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3276420A">
                  <w:pPr>
                    <w:pStyle w:val="34"/>
                    <w:autoSpaceDE w:val="0"/>
                    <w:autoSpaceDN w:val="0"/>
                    <w:ind w:firstLineChars="0"/>
                    <w:rPr>
                      <w:color w:val="auto"/>
                    </w:rPr>
                  </w:pPr>
                  <w:r>
                    <w:rPr>
                      <w:rFonts w:hint="eastAsia"/>
                      <w:color w:val="auto"/>
                    </w:rPr>
                    <w:t>砼振捣器</w:t>
                  </w:r>
                </w:p>
              </w:tc>
              <w:tc>
                <w:tcPr>
                  <w:tcW w:w="566" w:type="dxa"/>
                  <w:tcBorders>
                    <w:tl2br w:val="nil"/>
                    <w:tr2bl w:val="nil"/>
                  </w:tcBorders>
                  <w:shd w:val="clear" w:color="auto" w:fill="auto"/>
                  <w:vAlign w:val="center"/>
                </w:tcPr>
                <w:p w14:paraId="7DD039D8">
                  <w:pPr>
                    <w:pStyle w:val="34"/>
                    <w:autoSpaceDE w:val="0"/>
                    <w:autoSpaceDN w:val="0"/>
                    <w:ind w:firstLineChars="0"/>
                    <w:rPr>
                      <w:color w:val="auto"/>
                    </w:rPr>
                  </w:pPr>
                  <w:r>
                    <w:rPr>
                      <w:rFonts w:hint="eastAsia"/>
                      <w:color w:val="auto"/>
                    </w:rPr>
                    <w:t>85</w:t>
                  </w:r>
                </w:p>
              </w:tc>
              <w:tc>
                <w:tcPr>
                  <w:tcW w:w="634" w:type="dxa"/>
                  <w:tcBorders>
                    <w:tl2br w:val="nil"/>
                    <w:tr2bl w:val="nil"/>
                  </w:tcBorders>
                  <w:shd w:val="clear" w:color="auto" w:fill="auto"/>
                  <w:vAlign w:val="center"/>
                </w:tcPr>
                <w:p w14:paraId="384806DC">
                  <w:pPr>
                    <w:pStyle w:val="34"/>
                    <w:autoSpaceDE w:val="0"/>
                    <w:autoSpaceDN w:val="0"/>
                    <w:ind w:firstLineChars="0"/>
                    <w:rPr>
                      <w:color w:val="auto"/>
                    </w:rPr>
                  </w:pPr>
                  <w:r>
                    <w:rPr>
                      <w:rFonts w:hint="eastAsia"/>
                      <w:color w:val="auto"/>
                    </w:rPr>
                    <w:t>79</w:t>
                  </w:r>
                </w:p>
              </w:tc>
              <w:tc>
                <w:tcPr>
                  <w:tcW w:w="600" w:type="dxa"/>
                  <w:tcBorders>
                    <w:tl2br w:val="nil"/>
                    <w:tr2bl w:val="nil"/>
                  </w:tcBorders>
                  <w:shd w:val="clear" w:color="auto" w:fill="auto"/>
                  <w:vAlign w:val="center"/>
                </w:tcPr>
                <w:p w14:paraId="3E3BF545">
                  <w:pPr>
                    <w:pStyle w:val="34"/>
                    <w:autoSpaceDE w:val="0"/>
                    <w:autoSpaceDN w:val="0"/>
                    <w:ind w:firstLineChars="0"/>
                    <w:rPr>
                      <w:color w:val="auto"/>
                    </w:rPr>
                  </w:pPr>
                  <w:r>
                    <w:rPr>
                      <w:rFonts w:hint="eastAsia"/>
                      <w:color w:val="auto"/>
                    </w:rPr>
                    <w:t>73</w:t>
                  </w:r>
                </w:p>
              </w:tc>
              <w:tc>
                <w:tcPr>
                  <w:tcW w:w="683" w:type="dxa"/>
                  <w:tcBorders>
                    <w:tl2br w:val="nil"/>
                    <w:tr2bl w:val="nil"/>
                  </w:tcBorders>
                  <w:shd w:val="clear" w:color="auto" w:fill="auto"/>
                  <w:vAlign w:val="center"/>
                </w:tcPr>
                <w:p w14:paraId="1D3D3F9F">
                  <w:pPr>
                    <w:pStyle w:val="34"/>
                    <w:autoSpaceDE w:val="0"/>
                    <w:autoSpaceDN w:val="0"/>
                    <w:ind w:firstLineChars="0"/>
                    <w:rPr>
                      <w:color w:val="auto"/>
                    </w:rPr>
                  </w:pPr>
                  <w:r>
                    <w:rPr>
                      <w:rFonts w:hint="eastAsia"/>
                      <w:color w:val="auto"/>
                    </w:rPr>
                    <w:t>69</w:t>
                  </w:r>
                </w:p>
              </w:tc>
              <w:tc>
                <w:tcPr>
                  <w:tcW w:w="667" w:type="dxa"/>
                  <w:tcBorders>
                    <w:tl2br w:val="nil"/>
                    <w:tr2bl w:val="nil"/>
                  </w:tcBorders>
                  <w:shd w:val="clear" w:color="auto" w:fill="auto"/>
                  <w:vAlign w:val="center"/>
                </w:tcPr>
                <w:p w14:paraId="51BE6B49">
                  <w:pPr>
                    <w:pStyle w:val="34"/>
                    <w:autoSpaceDE w:val="0"/>
                    <w:autoSpaceDN w:val="0"/>
                    <w:ind w:firstLineChars="0"/>
                    <w:rPr>
                      <w:color w:val="auto"/>
                    </w:rPr>
                  </w:pPr>
                  <w:r>
                    <w:rPr>
                      <w:rFonts w:hint="eastAsia"/>
                      <w:color w:val="auto"/>
                    </w:rPr>
                    <w:t>67</w:t>
                  </w:r>
                </w:p>
              </w:tc>
              <w:tc>
                <w:tcPr>
                  <w:tcW w:w="666" w:type="dxa"/>
                  <w:tcBorders>
                    <w:tl2br w:val="nil"/>
                    <w:tr2bl w:val="nil"/>
                  </w:tcBorders>
                  <w:shd w:val="clear" w:color="auto" w:fill="auto"/>
                  <w:vAlign w:val="center"/>
                </w:tcPr>
                <w:p w14:paraId="1126B606">
                  <w:pPr>
                    <w:pStyle w:val="34"/>
                    <w:autoSpaceDE w:val="0"/>
                    <w:autoSpaceDN w:val="0"/>
                    <w:ind w:firstLineChars="0"/>
                    <w:rPr>
                      <w:color w:val="auto"/>
                    </w:rPr>
                  </w:pPr>
                  <w:r>
                    <w:rPr>
                      <w:rFonts w:hint="eastAsia"/>
                      <w:color w:val="auto"/>
                    </w:rPr>
                    <w:t>65</w:t>
                  </w:r>
                </w:p>
              </w:tc>
              <w:tc>
                <w:tcPr>
                  <w:tcW w:w="734" w:type="dxa"/>
                  <w:tcBorders>
                    <w:tl2br w:val="nil"/>
                    <w:tr2bl w:val="nil"/>
                  </w:tcBorders>
                  <w:shd w:val="clear" w:color="auto" w:fill="auto"/>
                  <w:vAlign w:val="center"/>
                </w:tcPr>
                <w:p w14:paraId="1521CA3E">
                  <w:pPr>
                    <w:pStyle w:val="34"/>
                    <w:autoSpaceDE w:val="0"/>
                    <w:autoSpaceDN w:val="0"/>
                    <w:ind w:firstLineChars="0"/>
                    <w:rPr>
                      <w:color w:val="auto"/>
                    </w:rPr>
                  </w:pPr>
                  <w:r>
                    <w:rPr>
                      <w:rFonts w:hint="eastAsia"/>
                      <w:color w:val="auto"/>
                    </w:rPr>
                    <w:t>59</w:t>
                  </w:r>
                </w:p>
              </w:tc>
              <w:tc>
                <w:tcPr>
                  <w:tcW w:w="833" w:type="dxa"/>
                  <w:tcBorders>
                    <w:tl2br w:val="nil"/>
                    <w:tr2bl w:val="nil"/>
                  </w:tcBorders>
                  <w:shd w:val="clear" w:color="auto" w:fill="auto"/>
                  <w:vAlign w:val="center"/>
                </w:tcPr>
                <w:p w14:paraId="4C5859A1">
                  <w:pPr>
                    <w:pStyle w:val="34"/>
                    <w:autoSpaceDE w:val="0"/>
                    <w:autoSpaceDN w:val="0"/>
                    <w:ind w:firstLineChars="0"/>
                    <w:rPr>
                      <w:color w:val="auto"/>
                    </w:rPr>
                  </w:pPr>
                  <w:r>
                    <w:rPr>
                      <w:rFonts w:hint="eastAsia"/>
                      <w:color w:val="auto"/>
                    </w:rPr>
                    <w:t>55</w:t>
                  </w:r>
                </w:p>
              </w:tc>
              <w:tc>
                <w:tcPr>
                  <w:tcW w:w="863" w:type="dxa"/>
                  <w:tcBorders>
                    <w:tl2br w:val="nil"/>
                    <w:tr2bl w:val="nil"/>
                  </w:tcBorders>
                  <w:shd w:val="clear" w:color="auto" w:fill="auto"/>
                  <w:vAlign w:val="center"/>
                </w:tcPr>
                <w:p w14:paraId="74735CA9">
                  <w:pPr>
                    <w:pStyle w:val="34"/>
                    <w:autoSpaceDE w:val="0"/>
                    <w:autoSpaceDN w:val="0"/>
                    <w:ind w:firstLineChars="0"/>
                    <w:rPr>
                      <w:color w:val="auto"/>
                    </w:rPr>
                  </w:pPr>
                  <w:r>
                    <w:rPr>
                      <w:rFonts w:hint="eastAsia"/>
                      <w:color w:val="auto"/>
                    </w:rPr>
                    <w:t>53</w:t>
                  </w:r>
                </w:p>
              </w:tc>
              <w:tc>
                <w:tcPr>
                  <w:tcW w:w="770" w:type="dxa"/>
                  <w:tcBorders>
                    <w:tl2br w:val="nil"/>
                    <w:tr2bl w:val="nil"/>
                  </w:tcBorders>
                  <w:shd w:val="clear" w:color="auto" w:fill="auto"/>
                  <w:vAlign w:val="center"/>
                </w:tcPr>
                <w:p w14:paraId="08B6C42C">
                  <w:pPr>
                    <w:pStyle w:val="34"/>
                    <w:autoSpaceDE w:val="0"/>
                    <w:autoSpaceDN w:val="0"/>
                    <w:ind w:firstLineChars="0"/>
                    <w:rPr>
                      <w:color w:val="auto"/>
                    </w:rPr>
                  </w:pPr>
                  <w:r>
                    <w:rPr>
                      <w:rFonts w:hint="eastAsia"/>
                      <w:color w:val="auto"/>
                    </w:rPr>
                    <w:t>51</w:t>
                  </w:r>
                </w:p>
              </w:tc>
            </w:tr>
            <w:tr w14:paraId="11FD0F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4FB32C55">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27B89DF5">
                  <w:pPr>
                    <w:pStyle w:val="34"/>
                    <w:autoSpaceDE w:val="0"/>
                    <w:autoSpaceDN w:val="0"/>
                    <w:ind w:firstLineChars="0"/>
                    <w:rPr>
                      <w:color w:val="auto"/>
                    </w:rPr>
                  </w:pPr>
                  <w:r>
                    <w:rPr>
                      <w:rFonts w:hint="eastAsia"/>
                      <w:color w:val="auto"/>
                    </w:rPr>
                    <w:t>变压器</w:t>
                  </w:r>
                </w:p>
              </w:tc>
              <w:tc>
                <w:tcPr>
                  <w:tcW w:w="566" w:type="dxa"/>
                  <w:tcBorders>
                    <w:tl2br w:val="nil"/>
                    <w:tr2bl w:val="nil"/>
                  </w:tcBorders>
                  <w:shd w:val="clear" w:color="auto" w:fill="auto"/>
                  <w:vAlign w:val="center"/>
                </w:tcPr>
                <w:p w14:paraId="70909B1D">
                  <w:pPr>
                    <w:pStyle w:val="34"/>
                    <w:autoSpaceDE w:val="0"/>
                    <w:autoSpaceDN w:val="0"/>
                    <w:ind w:firstLineChars="0"/>
                    <w:rPr>
                      <w:color w:val="auto"/>
                    </w:rPr>
                  </w:pPr>
                  <w:r>
                    <w:rPr>
                      <w:rFonts w:hint="eastAsia"/>
                      <w:color w:val="auto"/>
                    </w:rPr>
                    <w:t>80</w:t>
                  </w:r>
                </w:p>
              </w:tc>
              <w:tc>
                <w:tcPr>
                  <w:tcW w:w="634" w:type="dxa"/>
                  <w:tcBorders>
                    <w:tl2br w:val="nil"/>
                    <w:tr2bl w:val="nil"/>
                  </w:tcBorders>
                  <w:shd w:val="clear" w:color="auto" w:fill="auto"/>
                  <w:vAlign w:val="center"/>
                </w:tcPr>
                <w:p w14:paraId="769BA2F0">
                  <w:pPr>
                    <w:pStyle w:val="34"/>
                    <w:autoSpaceDE w:val="0"/>
                    <w:autoSpaceDN w:val="0"/>
                    <w:ind w:firstLineChars="0"/>
                    <w:rPr>
                      <w:color w:val="auto"/>
                    </w:rPr>
                  </w:pPr>
                  <w:r>
                    <w:rPr>
                      <w:rFonts w:hint="eastAsia"/>
                      <w:color w:val="auto"/>
                    </w:rPr>
                    <w:t>74</w:t>
                  </w:r>
                </w:p>
              </w:tc>
              <w:tc>
                <w:tcPr>
                  <w:tcW w:w="600" w:type="dxa"/>
                  <w:tcBorders>
                    <w:tl2br w:val="nil"/>
                    <w:tr2bl w:val="nil"/>
                  </w:tcBorders>
                  <w:shd w:val="clear" w:color="auto" w:fill="auto"/>
                  <w:vAlign w:val="center"/>
                </w:tcPr>
                <w:p w14:paraId="4BC6D7AF">
                  <w:pPr>
                    <w:pStyle w:val="34"/>
                    <w:autoSpaceDE w:val="0"/>
                    <w:autoSpaceDN w:val="0"/>
                    <w:ind w:firstLineChars="0"/>
                    <w:rPr>
                      <w:color w:val="auto"/>
                    </w:rPr>
                  </w:pPr>
                  <w:r>
                    <w:rPr>
                      <w:rFonts w:hint="eastAsia"/>
                      <w:color w:val="auto"/>
                    </w:rPr>
                    <w:t>68</w:t>
                  </w:r>
                </w:p>
              </w:tc>
              <w:tc>
                <w:tcPr>
                  <w:tcW w:w="683" w:type="dxa"/>
                  <w:tcBorders>
                    <w:tl2br w:val="nil"/>
                    <w:tr2bl w:val="nil"/>
                  </w:tcBorders>
                  <w:shd w:val="clear" w:color="auto" w:fill="auto"/>
                  <w:vAlign w:val="center"/>
                </w:tcPr>
                <w:p w14:paraId="264D3037">
                  <w:pPr>
                    <w:pStyle w:val="34"/>
                    <w:autoSpaceDE w:val="0"/>
                    <w:autoSpaceDN w:val="0"/>
                    <w:ind w:firstLineChars="0"/>
                    <w:rPr>
                      <w:color w:val="auto"/>
                    </w:rPr>
                  </w:pPr>
                  <w:r>
                    <w:rPr>
                      <w:rFonts w:hint="eastAsia"/>
                      <w:color w:val="auto"/>
                    </w:rPr>
                    <w:t>64</w:t>
                  </w:r>
                </w:p>
              </w:tc>
              <w:tc>
                <w:tcPr>
                  <w:tcW w:w="667" w:type="dxa"/>
                  <w:tcBorders>
                    <w:tl2br w:val="nil"/>
                    <w:tr2bl w:val="nil"/>
                  </w:tcBorders>
                  <w:shd w:val="clear" w:color="auto" w:fill="auto"/>
                  <w:vAlign w:val="center"/>
                </w:tcPr>
                <w:p w14:paraId="7A3F6713">
                  <w:pPr>
                    <w:pStyle w:val="34"/>
                    <w:autoSpaceDE w:val="0"/>
                    <w:autoSpaceDN w:val="0"/>
                    <w:ind w:firstLineChars="0"/>
                    <w:rPr>
                      <w:color w:val="auto"/>
                    </w:rPr>
                  </w:pPr>
                  <w:r>
                    <w:rPr>
                      <w:rFonts w:hint="eastAsia"/>
                      <w:color w:val="auto"/>
                    </w:rPr>
                    <w:t>62</w:t>
                  </w:r>
                </w:p>
              </w:tc>
              <w:tc>
                <w:tcPr>
                  <w:tcW w:w="666" w:type="dxa"/>
                  <w:tcBorders>
                    <w:tl2br w:val="nil"/>
                    <w:tr2bl w:val="nil"/>
                  </w:tcBorders>
                  <w:shd w:val="clear" w:color="auto" w:fill="auto"/>
                  <w:vAlign w:val="center"/>
                </w:tcPr>
                <w:p w14:paraId="6D622D79">
                  <w:pPr>
                    <w:pStyle w:val="34"/>
                    <w:autoSpaceDE w:val="0"/>
                    <w:autoSpaceDN w:val="0"/>
                    <w:ind w:firstLineChars="0"/>
                    <w:rPr>
                      <w:color w:val="auto"/>
                    </w:rPr>
                  </w:pPr>
                  <w:r>
                    <w:rPr>
                      <w:rFonts w:hint="eastAsia"/>
                      <w:color w:val="auto"/>
                    </w:rPr>
                    <w:t>60</w:t>
                  </w:r>
                </w:p>
              </w:tc>
              <w:tc>
                <w:tcPr>
                  <w:tcW w:w="734" w:type="dxa"/>
                  <w:tcBorders>
                    <w:tl2br w:val="nil"/>
                    <w:tr2bl w:val="nil"/>
                  </w:tcBorders>
                  <w:shd w:val="clear" w:color="auto" w:fill="auto"/>
                  <w:vAlign w:val="center"/>
                </w:tcPr>
                <w:p w14:paraId="6A77789C">
                  <w:pPr>
                    <w:pStyle w:val="34"/>
                    <w:autoSpaceDE w:val="0"/>
                    <w:autoSpaceDN w:val="0"/>
                    <w:ind w:firstLineChars="0"/>
                    <w:rPr>
                      <w:color w:val="auto"/>
                    </w:rPr>
                  </w:pPr>
                  <w:r>
                    <w:rPr>
                      <w:rFonts w:hint="eastAsia"/>
                      <w:color w:val="auto"/>
                    </w:rPr>
                    <w:t>54</w:t>
                  </w:r>
                </w:p>
              </w:tc>
              <w:tc>
                <w:tcPr>
                  <w:tcW w:w="833" w:type="dxa"/>
                  <w:tcBorders>
                    <w:tl2br w:val="nil"/>
                    <w:tr2bl w:val="nil"/>
                  </w:tcBorders>
                  <w:shd w:val="clear" w:color="auto" w:fill="auto"/>
                  <w:vAlign w:val="center"/>
                </w:tcPr>
                <w:p w14:paraId="045AEA0B">
                  <w:pPr>
                    <w:pStyle w:val="34"/>
                    <w:autoSpaceDE w:val="0"/>
                    <w:autoSpaceDN w:val="0"/>
                    <w:ind w:firstLineChars="0"/>
                    <w:rPr>
                      <w:color w:val="auto"/>
                    </w:rPr>
                  </w:pPr>
                  <w:r>
                    <w:rPr>
                      <w:rFonts w:hint="eastAsia"/>
                      <w:color w:val="auto"/>
                    </w:rPr>
                    <w:t>50</w:t>
                  </w:r>
                </w:p>
              </w:tc>
              <w:tc>
                <w:tcPr>
                  <w:tcW w:w="863" w:type="dxa"/>
                  <w:tcBorders>
                    <w:tl2br w:val="nil"/>
                    <w:tr2bl w:val="nil"/>
                  </w:tcBorders>
                  <w:shd w:val="clear" w:color="auto" w:fill="auto"/>
                  <w:vAlign w:val="center"/>
                </w:tcPr>
                <w:p w14:paraId="2ED154A8">
                  <w:pPr>
                    <w:pStyle w:val="34"/>
                    <w:autoSpaceDE w:val="0"/>
                    <w:autoSpaceDN w:val="0"/>
                    <w:ind w:firstLineChars="0"/>
                    <w:rPr>
                      <w:color w:val="auto"/>
                    </w:rPr>
                  </w:pPr>
                  <w:r>
                    <w:rPr>
                      <w:rFonts w:hint="eastAsia"/>
                      <w:color w:val="auto"/>
                    </w:rPr>
                    <w:t>48</w:t>
                  </w:r>
                </w:p>
              </w:tc>
              <w:tc>
                <w:tcPr>
                  <w:tcW w:w="770" w:type="dxa"/>
                  <w:tcBorders>
                    <w:tl2br w:val="nil"/>
                    <w:tr2bl w:val="nil"/>
                  </w:tcBorders>
                  <w:shd w:val="clear" w:color="auto" w:fill="auto"/>
                  <w:vAlign w:val="center"/>
                </w:tcPr>
                <w:p w14:paraId="2FA96E66">
                  <w:pPr>
                    <w:pStyle w:val="34"/>
                    <w:autoSpaceDE w:val="0"/>
                    <w:autoSpaceDN w:val="0"/>
                    <w:ind w:firstLineChars="0"/>
                    <w:rPr>
                      <w:color w:val="auto"/>
                    </w:rPr>
                  </w:pPr>
                  <w:r>
                    <w:rPr>
                      <w:rFonts w:hint="eastAsia"/>
                      <w:color w:val="auto"/>
                    </w:rPr>
                    <w:t>46</w:t>
                  </w:r>
                </w:p>
              </w:tc>
            </w:tr>
            <w:tr w14:paraId="26EC44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34550A83">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3D811CE8">
                  <w:pPr>
                    <w:pStyle w:val="34"/>
                    <w:autoSpaceDE w:val="0"/>
                    <w:autoSpaceDN w:val="0"/>
                    <w:ind w:firstLineChars="0"/>
                    <w:rPr>
                      <w:color w:val="auto"/>
                    </w:rPr>
                  </w:pPr>
                  <w:r>
                    <w:rPr>
                      <w:rFonts w:hint="eastAsia"/>
                      <w:color w:val="auto"/>
                    </w:rPr>
                    <w:t>柴油发电机</w:t>
                  </w:r>
                </w:p>
              </w:tc>
              <w:tc>
                <w:tcPr>
                  <w:tcW w:w="566" w:type="dxa"/>
                  <w:tcBorders>
                    <w:tl2br w:val="nil"/>
                    <w:tr2bl w:val="nil"/>
                  </w:tcBorders>
                  <w:shd w:val="clear" w:color="auto" w:fill="auto"/>
                  <w:vAlign w:val="center"/>
                </w:tcPr>
                <w:p w14:paraId="1D3EB78A">
                  <w:pPr>
                    <w:pStyle w:val="34"/>
                    <w:autoSpaceDE w:val="0"/>
                    <w:autoSpaceDN w:val="0"/>
                    <w:ind w:firstLineChars="0"/>
                    <w:rPr>
                      <w:color w:val="auto"/>
                    </w:rPr>
                  </w:pPr>
                  <w:r>
                    <w:rPr>
                      <w:rFonts w:hint="eastAsia"/>
                      <w:color w:val="auto"/>
                    </w:rPr>
                    <w:t>70</w:t>
                  </w:r>
                </w:p>
              </w:tc>
              <w:tc>
                <w:tcPr>
                  <w:tcW w:w="634" w:type="dxa"/>
                  <w:tcBorders>
                    <w:tl2br w:val="nil"/>
                    <w:tr2bl w:val="nil"/>
                  </w:tcBorders>
                  <w:shd w:val="clear" w:color="auto" w:fill="auto"/>
                  <w:vAlign w:val="center"/>
                </w:tcPr>
                <w:p w14:paraId="0A13F903">
                  <w:pPr>
                    <w:pStyle w:val="34"/>
                    <w:autoSpaceDE w:val="0"/>
                    <w:autoSpaceDN w:val="0"/>
                    <w:ind w:firstLineChars="0"/>
                    <w:rPr>
                      <w:color w:val="auto"/>
                    </w:rPr>
                  </w:pPr>
                  <w:r>
                    <w:rPr>
                      <w:rFonts w:hint="eastAsia"/>
                      <w:color w:val="auto"/>
                    </w:rPr>
                    <w:t>64</w:t>
                  </w:r>
                </w:p>
              </w:tc>
              <w:tc>
                <w:tcPr>
                  <w:tcW w:w="600" w:type="dxa"/>
                  <w:tcBorders>
                    <w:tl2br w:val="nil"/>
                    <w:tr2bl w:val="nil"/>
                  </w:tcBorders>
                  <w:shd w:val="clear" w:color="auto" w:fill="auto"/>
                  <w:vAlign w:val="center"/>
                </w:tcPr>
                <w:p w14:paraId="3B448D54">
                  <w:pPr>
                    <w:pStyle w:val="34"/>
                    <w:autoSpaceDE w:val="0"/>
                    <w:autoSpaceDN w:val="0"/>
                    <w:ind w:firstLineChars="0"/>
                    <w:rPr>
                      <w:color w:val="auto"/>
                    </w:rPr>
                  </w:pPr>
                  <w:r>
                    <w:rPr>
                      <w:rFonts w:hint="eastAsia"/>
                      <w:color w:val="auto"/>
                    </w:rPr>
                    <w:t>60</w:t>
                  </w:r>
                </w:p>
              </w:tc>
              <w:tc>
                <w:tcPr>
                  <w:tcW w:w="683" w:type="dxa"/>
                  <w:tcBorders>
                    <w:tl2br w:val="nil"/>
                    <w:tr2bl w:val="nil"/>
                  </w:tcBorders>
                  <w:shd w:val="clear" w:color="auto" w:fill="auto"/>
                  <w:vAlign w:val="center"/>
                </w:tcPr>
                <w:p w14:paraId="4FEEB3EB">
                  <w:pPr>
                    <w:pStyle w:val="34"/>
                    <w:autoSpaceDE w:val="0"/>
                    <w:autoSpaceDN w:val="0"/>
                    <w:ind w:firstLineChars="0"/>
                    <w:rPr>
                      <w:color w:val="auto"/>
                    </w:rPr>
                  </w:pPr>
                  <w:r>
                    <w:rPr>
                      <w:rFonts w:hint="eastAsia"/>
                      <w:color w:val="auto"/>
                    </w:rPr>
                    <w:t>54</w:t>
                  </w:r>
                </w:p>
              </w:tc>
              <w:tc>
                <w:tcPr>
                  <w:tcW w:w="667" w:type="dxa"/>
                  <w:tcBorders>
                    <w:tl2br w:val="nil"/>
                    <w:tr2bl w:val="nil"/>
                  </w:tcBorders>
                  <w:shd w:val="clear" w:color="auto" w:fill="auto"/>
                  <w:vAlign w:val="center"/>
                </w:tcPr>
                <w:p w14:paraId="13792780">
                  <w:pPr>
                    <w:pStyle w:val="34"/>
                    <w:autoSpaceDE w:val="0"/>
                    <w:autoSpaceDN w:val="0"/>
                    <w:ind w:firstLineChars="0"/>
                    <w:rPr>
                      <w:color w:val="auto"/>
                    </w:rPr>
                  </w:pPr>
                  <w:r>
                    <w:rPr>
                      <w:rFonts w:hint="eastAsia"/>
                      <w:color w:val="auto"/>
                    </w:rPr>
                    <w:t>51</w:t>
                  </w:r>
                </w:p>
              </w:tc>
              <w:tc>
                <w:tcPr>
                  <w:tcW w:w="666" w:type="dxa"/>
                  <w:tcBorders>
                    <w:tl2br w:val="nil"/>
                    <w:tr2bl w:val="nil"/>
                  </w:tcBorders>
                  <w:shd w:val="clear" w:color="auto" w:fill="auto"/>
                  <w:vAlign w:val="center"/>
                </w:tcPr>
                <w:p w14:paraId="29ED06E9">
                  <w:pPr>
                    <w:pStyle w:val="34"/>
                    <w:autoSpaceDE w:val="0"/>
                    <w:autoSpaceDN w:val="0"/>
                    <w:ind w:firstLineChars="0"/>
                    <w:rPr>
                      <w:color w:val="auto"/>
                    </w:rPr>
                  </w:pPr>
                  <w:r>
                    <w:rPr>
                      <w:rFonts w:hint="eastAsia"/>
                      <w:color w:val="auto"/>
                    </w:rPr>
                    <w:t>48</w:t>
                  </w:r>
                </w:p>
              </w:tc>
              <w:tc>
                <w:tcPr>
                  <w:tcW w:w="734" w:type="dxa"/>
                  <w:tcBorders>
                    <w:tl2br w:val="nil"/>
                    <w:tr2bl w:val="nil"/>
                  </w:tcBorders>
                  <w:shd w:val="clear" w:color="auto" w:fill="auto"/>
                  <w:vAlign w:val="center"/>
                </w:tcPr>
                <w:p w14:paraId="052ECEF9">
                  <w:pPr>
                    <w:pStyle w:val="34"/>
                    <w:autoSpaceDE w:val="0"/>
                    <w:autoSpaceDN w:val="0"/>
                    <w:ind w:firstLineChars="0"/>
                    <w:rPr>
                      <w:color w:val="auto"/>
                    </w:rPr>
                  </w:pPr>
                  <w:r>
                    <w:rPr>
                      <w:rFonts w:hint="eastAsia"/>
                      <w:color w:val="auto"/>
                    </w:rPr>
                    <w:t>46</w:t>
                  </w:r>
                </w:p>
              </w:tc>
              <w:tc>
                <w:tcPr>
                  <w:tcW w:w="833" w:type="dxa"/>
                  <w:tcBorders>
                    <w:tl2br w:val="nil"/>
                    <w:tr2bl w:val="nil"/>
                  </w:tcBorders>
                  <w:shd w:val="clear" w:color="auto" w:fill="auto"/>
                  <w:vAlign w:val="center"/>
                </w:tcPr>
                <w:p w14:paraId="6FC6CE04">
                  <w:pPr>
                    <w:pStyle w:val="34"/>
                    <w:autoSpaceDE w:val="0"/>
                    <w:autoSpaceDN w:val="0"/>
                    <w:ind w:firstLineChars="0"/>
                    <w:rPr>
                      <w:color w:val="auto"/>
                    </w:rPr>
                  </w:pPr>
                  <w:r>
                    <w:rPr>
                      <w:rFonts w:hint="eastAsia"/>
                      <w:color w:val="auto"/>
                    </w:rPr>
                    <w:t>45</w:t>
                  </w:r>
                </w:p>
              </w:tc>
              <w:tc>
                <w:tcPr>
                  <w:tcW w:w="863" w:type="dxa"/>
                  <w:tcBorders>
                    <w:tl2br w:val="nil"/>
                    <w:tr2bl w:val="nil"/>
                  </w:tcBorders>
                  <w:shd w:val="clear" w:color="auto" w:fill="auto"/>
                  <w:vAlign w:val="center"/>
                </w:tcPr>
                <w:p w14:paraId="38DA6C0F">
                  <w:pPr>
                    <w:pStyle w:val="34"/>
                    <w:autoSpaceDE w:val="0"/>
                    <w:autoSpaceDN w:val="0"/>
                    <w:ind w:firstLineChars="0"/>
                    <w:rPr>
                      <w:color w:val="auto"/>
                    </w:rPr>
                  </w:pPr>
                  <w:r>
                    <w:rPr>
                      <w:rFonts w:hint="eastAsia"/>
                      <w:color w:val="auto"/>
                    </w:rPr>
                    <w:t>43</w:t>
                  </w:r>
                </w:p>
              </w:tc>
              <w:tc>
                <w:tcPr>
                  <w:tcW w:w="770" w:type="dxa"/>
                  <w:tcBorders>
                    <w:tl2br w:val="nil"/>
                    <w:tr2bl w:val="nil"/>
                  </w:tcBorders>
                  <w:shd w:val="clear" w:color="auto" w:fill="auto"/>
                  <w:vAlign w:val="center"/>
                </w:tcPr>
                <w:p w14:paraId="2E7057FD">
                  <w:pPr>
                    <w:pStyle w:val="34"/>
                    <w:autoSpaceDE w:val="0"/>
                    <w:autoSpaceDN w:val="0"/>
                    <w:ind w:firstLineChars="0"/>
                    <w:rPr>
                      <w:color w:val="auto"/>
                    </w:rPr>
                  </w:pPr>
                  <w:r>
                    <w:rPr>
                      <w:rFonts w:hint="eastAsia"/>
                      <w:color w:val="auto"/>
                    </w:rPr>
                    <w:t>42</w:t>
                  </w:r>
                </w:p>
              </w:tc>
            </w:tr>
            <w:tr w14:paraId="7E5576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511C0A0A">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3BB9FD58">
                  <w:pPr>
                    <w:pStyle w:val="34"/>
                    <w:autoSpaceDE w:val="0"/>
                    <w:autoSpaceDN w:val="0"/>
                    <w:ind w:firstLineChars="0"/>
                    <w:rPr>
                      <w:color w:val="auto"/>
                    </w:rPr>
                  </w:pPr>
                  <w:r>
                    <w:rPr>
                      <w:rFonts w:hint="eastAsia"/>
                      <w:color w:val="auto"/>
                    </w:rPr>
                    <w:t>抽水泵</w:t>
                  </w:r>
                </w:p>
              </w:tc>
              <w:tc>
                <w:tcPr>
                  <w:tcW w:w="566" w:type="dxa"/>
                  <w:tcBorders>
                    <w:tl2br w:val="nil"/>
                    <w:tr2bl w:val="nil"/>
                  </w:tcBorders>
                  <w:shd w:val="clear" w:color="auto" w:fill="auto"/>
                  <w:vAlign w:val="center"/>
                </w:tcPr>
                <w:p w14:paraId="6938FF65">
                  <w:pPr>
                    <w:pStyle w:val="34"/>
                    <w:autoSpaceDE w:val="0"/>
                    <w:autoSpaceDN w:val="0"/>
                    <w:ind w:firstLineChars="0"/>
                    <w:rPr>
                      <w:color w:val="auto"/>
                    </w:rPr>
                  </w:pPr>
                  <w:r>
                    <w:rPr>
                      <w:rFonts w:hint="eastAsia"/>
                      <w:color w:val="auto"/>
                    </w:rPr>
                    <w:t>80</w:t>
                  </w:r>
                </w:p>
              </w:tc>
              <w:tc>
                <w:tcPr>
                  <w:tcW w:w="634" w:type="dxa"/>
                  <w:tcBorders>
                    <w:tl2br w:val="nil"/>
                    <w:tr2bl w:val="nil"/>
                  </w:tcBorders>
                  <w:shd w:val="clear" w:color="auto" w:fill="auto"/>
                  <w:vAlign w:val="center"/>
                </w:tcPr>
                <w:p w14:paraId="4AAAAB25">
                  <w:pPr>
                    <w:pStyle w:val="34"/>
                    <w:autoSpaceDE w:val="0"/>
                    <w:autoSpaceDN w:val="0"/>
                    <w:ind w:firstLineChars="0"/>
                    <w:rPr>
                      <w:color w:val="auto"/>
                    </w:rPr>
                  </w:pPr>
                  <w:r>
                    <w:rPr>
                      <w:rFonts w:hint="eastAsia"/>
                      <w:color w:val="auto"/>
                    </w:rPr>
                    <w:t>74</w:t>
                  </w:r>
                </w:p>
              </w:tc>
              <w:tc>
                <w:tcPr>
                  <w:tcW w:w="600" w:type="dxa"/>
                  <w:tcBorders>
                    <w:tl2br w:val="nil"/>
                    <w:tr2bl w:val="nil"/>
                  </w:tcBorders>
                  <w:shd w:val="clear" w:color="auto" w:fill="auto"/>
                  <w:vAlign w:val="center"/>
                </w:tcPr>
                <w:p w14:paraId="10748209">
                  <w:pPr>
                    <w:pStyle w:val="34"/>
                    <w:autoSpaceDE w:val="0"/>
                    <w:autoSpaceDN w:val="0"/>
                    <w:ind w:firstLineChars="0"/>
                    <w:rPr>
                      <w:color w:val="auto"/>
                    </w:rPr>
                  </w:pPr>
                  <w:r>
                    <w:rPr>
                      <w:rFonts w:hint="eastAsia"/>
                      <w:color w:val="auto"/>
                    </w:rPr>
                    <w:t>68</w:t>
                  </w:r>
                </w:p>
              </w:tc>
              <w:tc>
                <w:tcPr>
                  <w:tcW w:w="683" w:type="dxa"/>
                  <w:tcBorders>
                    <w:tl2br w:val="nil"/>
                    <w:tr2bl w:val="nil"/>
                  </w:tcBorders>
                  <w:shd w:val="clear" w:color="auto" w:fill="auto"/>
                  <w:vAlign w:val="center"/>
                </w:tcPr>
                <w:p w14:paraId="60AD53B5">
                  <w:pPr>
                    <w:pStyle w:val="34"/>
                    <w:autoSpaceDE w:val="0"/>
                    <w:autoSpaceDN w:val="0"/>
                    <w:ind w:firstLineChars="0"/>
                    <w:rPr>
                      <w:color w:val="auto"/>
                    </w:rPr>
                  </w:pPr>
                  <w:r>
                    <w:rPr>
                      <w:rFonts w:hint="eastAsia"/>
                      <w:color w:val="auto"/>
                    </w:rPr>
                    <w:t>64</w:t>
                  </w:r>
                </w:p>
              </w:tc>
              <w:tc>
                <w:tcPr>
                  <w:tcW w:w="667" w:type="dxa"/>
                  <w:tcBorders>
                    <w:tl2br w:val="nil"/>
                    <w:tr2bl w:val="nil"/>
                  </w:tcBorders>
                  <w:shd w:val="clear" w:color="auto" w:fill="auto"/>
                  <w:vAlign w:val="center"/>
                </w:tcPr>
                <w:p w14:paraId="747128AF">
                  <w:pPr>
                    <w:pStyle w:val="34"/>
                    <w:autoSpaceDE w:val="0"/>
                    <w:autoSpaceDN w:val="0"/>
                    <w:ind w:firstLineChars="0"/>
                    <w:rPr>
                      <w:color w:val="auto"/>
                    </w:rPr>
                  </w:pPr>
                  <w:r>
                    <w:rPr>
                      <w:rFonts w:hint="eastAsia"/>
                      <w:color w:val="auto"/>
                    </w:rPr>
                    <w:t>62</w:t>
                  </w:r>
                </w:p>
              </w:tc>
              <w:tc>
                <w:tcPr>
                  <w:tcW w:w="666" w:type="dxa"/>
                  <w:tcBorders>
                    <w:tl2br w:val="nil"/>
                    <w:tr2bl w:val="nil"/>
                  </w:tcBorders>
                  <w:shd w:val="clear" w:color="auto" w:fill="auto"/>
                  <w:vAlign w:val="center"/>
                </w:tcPr>
                <w:p w14:paraId="3432AAED">
                  <w:pPr>
                    <w:pStyle w:val="34"/>
                    <w:autoSpaceDE w:val="0"/>
                    <w:autoSpaceDN w:val="0"/>
                    <w:ind w:firstLineChars="0"/>
                    <w:rPr>
                      <w:color w:val="auto"/>
                    </w:rPr>
                  </w:pPr>
                  <w:r>
                    <w:rPr>
                      <w:rFonts w:hint="eastAsia"/>
                      <w:color w:val="auto"/>
                    </w:rPr>
                    <w:t>60</w:t>
                  </w:r>
                </w:p>
              </w:tc>
              <w:tc>
                <w:tcPr>
                  <w:tcW w:w="734" w:type="dxa"/>
                  <w:tcBorders>
                    <w:tl2br w:val="nil"/>
                    <w:tr2bl w:val="nil"/>
                  </w:tcBorders>
                  <w:shd w:val="clear" w:color="auto" w:fill="auto"/>
                  <w:vAlign w:val="center"/>
                </w:tcPr>
                <w:p w14:paraId="16D40890">
                  <w:pPr>
                    <w:pStyle w:val="34"/>
                    <w:autoSpaceDE w:val="0"/>
                    <w:autoSpaceDN w:val="0"/>
                    <w:ind w:firstLineChars="0"/>
                    <w:rPr>
                      <w:color w:val="auto"/>
                    </w:rPr>
                  </w:pPr>
                  <w:r>
                    <w:rPr>
                      <w:rFonts w:hint="eastAsia"/>
                      <w:color w:val="auto"/>
                    </w:rPr>
                    <w:t>54</w:t>
                  </w:r>
                </w:p>
              </w:tc>
              <w:tc>
                <w:tcPr>
                  <w:tcW w:w="833" w:type="dxa"/>
                  <w:tcBorders>
                    <w:tl2br w:val="nil"/>
                    <w:tr2bl w:val="nil"/>
                  </w:tcBorders>
                  <w:shd w:val="clear" w:color="auto" w:fill="auto"/>
                  <w:vAlign w:val="center"/>
                </w:tcPr>
                <w:p w14:paraId="5F593435">
                  <w:pPr>
                    <w:pStyle w:val="34"/>
                    <w:autoSpaceDE w:val="0"/>
                    <w:autoSpaceDN w:val="0"/>
                    <w:ind w:firstLineChars="0"/>
                    <w:rPr>
                      <w:color w:val="auto"/>
                    </w:rPr>
                  </w:pPr>
                  <w:r>
                    <w:rPr>
                      <w:rFonts w:hint="eastAsia"/>
                      <w:color w:val="auto"/>
                    </w:rPr>
                    <w:t>50</w:t>
                  </w:r>
                </w:p>
              </w:tc>
              <w:tc>
                <w:tcPr>
                  <w:tcW w:w="863" w:type="dxa"/>
                  <w:tcBorders>
                    <w:tl2br w:val="nil"/>
                    <w:tr2bl w:val="nil"/>
                  </w:tcBorders>
                  <w:shd w:val="clear" w:color="auto" w:fill="auto"/>
                  <w:vAlign w:val="center"/>
                </w:tcPr>
                <w:p w14:paraId="7C34C26C">
                  <w:pPr>
                    <w:pStyle w:val="34"/>
                    <w:autoSpaceDE w:val="0"/>
                    <w:autoSpaceDN w:val="0"/>
                    <w:ind w:firstLineChars="0"/>
                    <w:rPr>
                      <w:color w:val="auto"/>
                    </w:rPr>
                  </w:pPr>
                  <w:r>
                    <w:rPr>
                      <w:rFonts w:hint="eastAsia"/>
                      <w:color w:val="auto"/>
                    </w:rPr>
                    <w:t>48</w:t>
                  </w:r>
                </w:p>
              </w:tc>
              <w:tc>
                <w:tcPr>
                  <w:tcW w:w="770" w:type="dxa"/>
                  <w:tcBorders>
                    <w:tl2br w:val="nil"/>
                    <w:tr2bl w:val="nil"/>
                  </w:tcBorders>
                  <w:shd w:val="clear" w:color="auto" w:fill="auto"/>
                  <w:vAlign w:val="center"/>
                </w:tcPr>
                <w:p w14:paraId="0F139C07">
                  <w:pPr>
                    <w:pStyle w:val="34"/>
                    <w:autoSpaceDE w:val="0"/>
                    <w:autoSpaceDN w:val="0"/>
                    <w:ind w:firstLineChars="0"/>
                    <w:rPr>
                      <w:color w:val="auto"/>
                    </w:rPr>
                  </w:pPr>
                  <w:r>
                    <w:rPr>
                      <w:rFonts w:hint="eastAsia"/>
                      <w:color w:val="auto"/>
                    </w:rPr>
                    <w:t>46</w:t>
                  </w:r>
                </w:p>
              </w:tc>
            </w:tr>
            <w:tr w14:paraId="003A96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2FB03B62">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16E2F6A5">
                  <w:pPr>
                    <w:pStyle w:val="34"/>
                    <w:autoSpaceDE w:val="0"/>
                    <w:autoSpaceDN w:val="0"/>
                    <w:ind w:firstLineChars="0"/>
                    <w:rPr>
                      <w:color w:val="auto"/>
                    </w:rPr>
                  </w:pPr>
                  <w:r>
                    <w:rPr>
                      <w:rFonts w:hint="eastAsia"/>
                      <w:color w:val="auto"/>
                    </w:rPr>
                    <w:t>空压机</w:t>
                  </w:r>
                </w:p>
              </w:tc>
              <w:tc>
                <w:tcPr>
                  <w:tcW w:w="566" w:type="dxa"/>
                  <w:tcBorders>
                    <w:tl2br w:val="nil"/>
                    <w:tr2bl w:val="nil"/>
                  </w:tcBorders>
                  <w:shd w:val="clear" w:color="auto" w:fill="auto"/>
                  <w:vAlign w:val="center"/>
                </w:tcPr>
                <w:p w14:paraId="1C1CDBD4">
                  <w:pPr>
                    <w:pStyle w:val="34"/>
                    <w:autoSpaceDE w:val="0"/>
                    <w:autoSpaceDN w:val="0"/>
                    <w:ind w:firstLineChars="0"/>
                    <w:rPr>
                      <w:color w:val="auto"/>
                    </w:rPr>
                  </w:pPr>
                  <w:r>
                    <w:rPr>
                      <w:rFonts w:hint="eastAsia"/>
                      <w:color w:val="auto"/>
                    </w:rPr>
                    <w:t>85</w:t>
                  </w:r>
                </w:p>
              </w:tc>
              <w:tc>
                <w:tcPr>
                  <w:tcW w:w="634" w:type="dxa"/>
                  <w:tcBorders>
                    <w:tl2br w:val="nil"/>
                    <w:tr2bl w:val="nil"/>
                  </w:tcBorders>
                  <w:shd w:val="clear" w:color="auto" w:fill="auto"/>
                  <w:vAlign w:val="center"/>
                </w:tcPr>
                <w:p w14:paraId="1A2A1D39">
                  <w:pPr>
                    <w:pStyle w:val="34"/>
                    <w:autoSpaceDE w:val="0"/>
                    <w:autoSpaceDN w:val="0"/>
                    <w:ind w:firstLineChars="0"/>
                    <w:rPr>
                      <w:color w:val="auto"/>
                    </w:rPr>
                  </w:pPr>
                  <w:r>
                    <w:rPr>
                      <w:rFonts w:hint="eastAsia"/>
                      <w:color w:val="auto"/>
                    </w:rPr>
                    <w:t>79</w:t>
                  </w:r>
                </w:p>
              </w:tc>
              <w:tc>
                <w:tcPr>
                  <w:tcW w:w="600" w:type="dxa"/>
                  <w:tcBorders>
                    <w:tl2br w:val="nil"/>
                    <w:tr2bl w:val="nil"/>
                  </w:tcBorders>
                  <w:shd w:val="clear" w:color="auto" w:fill="auto"/>
                  <w:vAlign w:val="center"/>
                </w:tcPr>
                <w:p w14:paraId="5CAFD8F0">
                  <w:pPr>
                    <w:pStyle w:val="34"/>
                    <w:autoSpaceDE w:val="0"/>
                    <w:autoSpaceDN w:val="0"/>
                    <w:ind w:firstLineChars="0"/>
                    <w:rPr>
                      <w:color w:val="auto"/>
                    </w:rPr>
                  </w:pPr>
                  <w:r>
                    <w:rPr>
                      <w:rFonts w:hint="eastAsia"/>
                      <w:color w:val="auto"/>
                    </w:rPr>
                    <w:t>73</w:t>
                  </w:r>
                </w:p>
              </w:tc>
              <w:tc>
                <w:tcPr>
                  <w:tcW w:w="683" w:type="dxa"/>
                  <w:tcBorders>
                    <w:tl2br w:val="nil"/>
                    <w:tr2bl w:val="nil"/>
                  </w:tcBorders>
                  <w:shd w:val="clear" w:color="auto" w:fill="auto"/>
                  <w:vAlign w:val="center"/>
                </w:tcPr>
                <w:p w14:paraId="61226918">
                  <w:pPr>
                    <w:pStyle w:val="34"/>
                    <w:autoSpaceDE w:val="0"/>
                    <w:autoSpaceDN w:val="0"/>
                    <w:ind w:firstLineChars="0"/>
                    <w:rPr>
                      <w:color w:val="auto"/>
                    </w:rPr>
                  </w:pPr>
                  <w:r>
                    <w:rPr>
                      <w:rFonts w:hint="eastAsia"/>
                      <w:color w:val="auto"/>
                    </w:rPr>
                    <w:t>69</w:t>
                  </w:r>
                </w:p>
              </w:tc>
              <w:tc>
                <w:tcPr>
                  <w:tcW w:w="667" w:type="dxa"/>
                  <w:tcBorders>
                    <w:tl2br w:val="nil"/>
                    <w:tr2bl w:val="nil"/>
                  </w:tcBorders>
                  <w:shd w:val="clear" w:color="auto" w:fill="auto"/>
                  <w:vAlign w:val="center"/>
                </w:tcPr>
                <w:p w14:paraId="0026ABDE">
                  <w:pPr>
                    <w:pStyle w:val="34"/>
                    <w:autoSpaceDE w:val="0"/>
                    <w:autoSpaceDN w:val="0"/>
                    <w:ind w:firstLineChars="0"/>
                    <w:rPr>
                      <w:color w:val="auto"/>
                    </w:rPr>
                  </w:pPr>
                  <w:r>
                    <w:rPr>
                      <w:rFonts w:hint="eastAsia"/>
                      <w:color w:val="auto"/>
                    </w:rPr>
                    <w:t>67</w:t>
                  </w:r>
                </w:p>
              </w:tc>
              <w:tc>
                <w:tcPr>
                  <w:tcW w:w="666" w:type="dxa"/>
                  <w:tcBorders>
                    <w:tl2br w:val="nil"/>
                    <w:tr2bl w:val="nil"/>
                  </w:tcBorders>
                  <w:shd w:val="clear" w:color="auto" w:fill="auto"/>
                  <w:vAlign w:val="center"/>
                </w:tcPr>
                <w:p w14:paraId="669C1792">
                  <w:pPr>
                    <w:pStyle w:val="34"/>
                    <w:autoSpaceDE w:val="0"/>
                    <w:autoSpaceDN w:val="0"/>
                    <w:ind w:firstLineChars="0"/>
                    <w:rPr>
                      <w:color w:val="auto"/>
                    </w:rPr>
                  </w:pPr>
                  <w:r>
                    <w:rPr>
                      <w:rFonts w:hint="eastAsia"/>
                      <w:color w:val="auto"/>
                    </w:rPr>
                    <w:t>65</w:t>
                  </w:r>
                </w:p>
              </w:tc>
              <w:tc>
                <w:tcPr>
                  <w:tcW w:w="734" w:type="dxa"/>
                  <w:tcBorders>
                    <w:tl2br w:val="nil"/>
                    <w:tr2bl w:val="nil"/>
                  </w:tcBorders>
                  <w:shd w:val="clear" w:color="auto" w:fill="auto"/>
                  <w:vAlign w:val="center"/>
                </w:tcPr>
                <w:p w14:paraId="0D413787">
                  <w:pPr>
                    <w:pStyle w:val="34"/>
                    <w:autoSpaceDE w:val="0"/>
                    <w:autoSpaceDN w:val="0"/>
                    <w:ind w:firstLineChars="0"/>
                    <w:rPr>
                      <w:color w:val="auto"/>
                    </w:rPr>
                  </w:pPr>
                  <w:r>
                    <w:rPr>
                      <w:rFonts w:hint="eastAsia"/>
                      <w:color w:val="auto"/>
                    </w:rPr>
                    <w:t>59</w:t>
                  </w:r>
                </w:p>
              </w:tc>
              <w:tc>
                <w:tcPr>
                  <w:tcW w:w="833" w:type="dxa"/>
                  <w:tcBorders>
                    <w:tl2br w:val="nil"/>
                    <w:tr2bl w:val="nil"/>
                  </w:tcBorders>
                  <w:shd w:val="clear" w:color="auto" w:fill="auto"/>
                  <w:vAlign w:val="center"/>
                </w:tcPr>
                <w:p w14:paraId="19FBDEBB">
                  <w:pPr>
                    <w:pStyle w:val="34"/>
                    <w:autoSpaceDE w:val="0"/>
                    <w:autoSpaceDN w:val="0"/>
                    <w:ind w:firstLineChars="0"/>
                    <w:rPr>
                      <w:color w:val="auto"/>
                    </w:rPr>
                  </w:pPr>
                  <w:r>
                    <w:rPr>
                      <w:rFonts w:hint="eastAsia"/>
                      <w:color w:val="auto"/>
                    </w:rPr>
                    <w:t>55</w:t>
                  </w:r>
                </w:p>
              </w:tc>
              <w:tc>
                <w:tcPr>
                  <w:tcW w:w="863" w:type="dxa"/>
                  <w:tcBorders>
                    <w:tl2br w:val="nil"/>
                    <w:tr2bl w:val="nil"/>
                  </w:tcBorders>
                  <w:shd w:val="clear" w:color="auto" w:fill="auto"/>
                  <w:vAlign w:val="center"/>
                </w:tcPr>
                <w:p w14:paraId="6E9C779C">
                  <w:pPr>
                    <w:pStyle w:val="34"/>
                    <w:autoSpaceDE w:val="0"/>
                    <w:autoSpaceDN w:val="0"/>
                    <w:ind w:firstLineChars="0"/>
                    <w:rPr>
                      <w:color w:val="auto"/>
                    </w:rPr>
                  </w:pPr>
                  <w:r>
                    <w:rPr>
                      <w:rFonts w:hint="eastAsia"/>
                      <w:color w:val="auto"/>
                    </w:rPr>
                    <w:t>53</w:t>
                  </w:r>
                </w:p>
              </w:tc>
              <w:tc>
                <w:tcPr>
                  <w:tcW w:w="770" w:type="dxa"/>
                  <w:tcBorders>
                    <w:tl2br w:val="nil"/>
                    <w:tr2bl w:val="nil"/>
                  </w:tcBorders>
                  <w:shd w:val="clear" w:color="auto" w:fill="auto"/>
                  <w:vAlign w:val="center"/>
                </w:tcPr>
                <w:p w14:paraId="03A5870C">
                  <w:pPr>
                    <w:pStyle w:val="34"/>
                    <w:autoSpaceDE w:val="0"/>
                    <w:autoSpaceDN w:val="0"/>
                    <w:ind w:firstLineChars="0"/>
                    <w:rPr>
                      <w:color w:val="auto"/>
                    </w:rPr>
                  </w:pPr>
                  <w:r>
                    <w:rPr>
                      <w:rFonts w:hint="eastAsia"/>
                      <w:color w:val="auto"/>
                    </w:rPr>
                    <w:t>51</w:t>
                  </w:r>
                </w:p>
              </w:tc>
            </w:tr>
            <w:tr w14:paraId="70D7AC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629C3203">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1D379880">
                  <w:pPr>
                    <w:pStyle w:val="34"/>
                    <w:autoSpaceDE w:val="0"/>
                    <w:autoSpaceDN w:val="0"/>
                    <w:ind w:firstLineChars="0"/>
                    <w:rPr>
                      <w:color w:val="auto"/>
                    </w:rPr>
                  </w:pPr>
                  <w:r>
                    <w:rPr>
                      <w:rFonts w:hint="eastAsia"/>
                      <w:color w:val="auto"/>
                    </w:rPr>
                    <w:t>电焊机</w:t>
                  </w:r>
                </w:p>
              </w:tc>
              <w:tc>
                <w:tcPr>
                  <w:tcW w:w="566" w:type="dxa"/>
                  <w:tcBorders>
                    <w:tl2br w:val="nil"/>
                    <w:tr2bl w:val="nil"/>
                  </w:tcBorders>
                  <w:shd w:val="clear" w:color="auto" w:fill="auto"/>
                  <w:vAlign w:val="center"/>
                </w:tcPr>
                <w:p w14:paraId="78E22E94">
                  <w:pPr>
                    <w:pStyle w:val="34"/>
                    <w:autoSpaceDE w:val="0"/>
                    <w:autoSpaceDN w:val="0"/>
                    <w:ind w:firstLineChars="0"/>
                    <w:rPr>
                      <w:color w:val="auto"/>
                    </w:rPr>
                  </w:pPr>
                  <w:r>
                    <w:rPr>
                      <w:rFonts w:hint="eastAsia"/>
                      <w:color w:val="auto"/>
                    </w:rPr>
                    <w:t>85</w:t>
                  </w:r>
                </w:p>
              </w:tc>
              <w:tc>
                <w:tcPr>
                  <w:tcW w:w="634" w:type="dxa"/>
                  <w:tcBorders>
                    <w:tl2br w:val="nil"/>
                    <w:tr2bl w:val="nil"/>
                  </w:tcBorders>
                  <w:shd w:val="clear" w:color="auto" w:fill="auto"/>
                  <w:vAlign w:val="center"/>
                </w:tcPr>
                <w:p w14:paraId="1821D9EE">
                  <w:pPr>
                    <w:pStyle w:val="34"/>
                    <w:autoSpaceDE w:val="0"/>
                    <w:autoSpaceDN w:val="0"/>
                    <w:ind w:firstLineChars="0"/>
                    <w:rPr>
                      <w:color w:val="auto"/>
                    </w:rPr>
                  </w:pPr>
                  <w:r>
                    <w:rPr>
                      <w:rFonts w:hint="eastAsia"/>
                      <w:color w:val="auto"/>
                    </w:rPr>
                    <w:t>79</w:t>
                  </w:r>
                </w:p>
              </w:tc>
              <w:tc>
                <w:tcPr>
                  <w:tcW w:w="600" w:type="dxa"/>
                  <w:tcBorders>
                    <w:tl2br w:val="nil"/>
                    <w:tr2bl w:val="nil"/>
                  </w:tcBorders>
                  <w:shd w:val="clear" w:color="auto" w:fill="auto"/>
                  <w:vAlign w:val="center"/>
                </w:tcPr>
                <w:p w14:paraId="65B2442B">
                  <w:pPr>
                    <w:pStyle w:val="34"/>
                    <w:autoSpaceDE w:val="0"/>
                    <w:autoSpaceDN w:val="0"/>
                    <w:ind w:firstLineChars="0"/>
                    <w:rPr>
                      <w:color w:val="auto"/>
                    </w:rPr>
                  </w:pPr>
                  <w:r>
                    <w:rPr>
                      <w:rFonts w:hint="eastAsia"/>
                      <w:color w:val="auto"/>
                    </w:rPr>
                    <w:t>73</w:t>
                  </w:r>
                </w:p>
              </w:tc>
              <w:tc>
                <w:tcPr>
                  <w:tcW w:w="683" w:type="dxa"/>
                  <w:tcBorders>
                    <w:tl2br w:val="nil"/>
                    <w:tr2bl w:val="nil"/>
                  </w:tcBorders>
                  <w:shd w:val="clear" w:color="auto" w:fill="auto"/>
                  <w:vAlign w:val="center"/>
                </w:tcPr>
                <w:p w14:paraId="02EE151E">
                  <w:pPr>
                    <w:pStyle w:val="34"/>
                    <w:autoSpaceDE w:val="0"/>
                    <w:autoSpaceDN w:val="0"/>
                    <w:ind w:firstLineChars="0"/>
                    <w:rPr>
                      <w:color w:val="auto"/>
                    </w:rPr>
                  </w:pPr>
                  <w:r>
                    <w:rPr>
                      <w:rFonts w:hint="eastAsia"/>
                      <w:color w:val="auto"/>
                    </w:rPr>
                    <w:t>69</w:t>
                  </w:r>
                </w:p>
              </w:tc>
              <w:tc>
                <w:tcPr>
                  <w:tcW w:w="667" w:type="dxa"/>
                  <w:tcBorders>
                    <w:tl2br w:val="nil"/>
                    <w:tr2bl w:val="nil"/>
                  </w:tcBorders>
                  <w:shd w:val="clear" w:color="auto" w:fill="auto"/>
                  <w:vAlign w:val="center"/>
                </w:tcPr>
                <w:p w14:paraId="02ACDE2B">
                  <w:pPr>
                    <w:pStyle w:val="34"/>
                    <w:autoSpaceDE w:val="0"/>
                    <w:autoSpaceDN w:val="0"/>
                    <w:ind w:firstLineChars="0"/>
                    <w:rPr>
                      <w:color w:val="auto"/>
                    </w:rPr>
                  </w:pPr>
                  <w:r>
                    <w:rPr>
                      <w:rFonts w:hint="eastAsia"/>
                      <w:color w:val="auto"/>
                    </w:rPr>
                    <w:t>67</w:t>
                  </w:r>
                </w:p>
              </w:tc>
              <w:tc>
                <w:tcPr>
                  <w:tcW w:w="666" w:type="dxa"/>
                  <w:tcBorders>
                    <w:tl2br w:val="nil"/>
                    <w:tr2bl w:val="nil"/>
                  </w:tcBorders>
                  <w:shd w:val="clear" w:color="auto" w:fill="auto"/>
                  <w:vAlign w:val="center"/>
                </w:tcPr>
                <w:p w14:paraId="3CD3C8ED">
                  <w:pPr>
                    <w:pStyle w:val="34"/>
                    <w:autoSpaceDE w:val="0"/>
                    <w:autoSpaceDN w:val="0"/>
                    <w:ind w:firstLineChars="0"/>
                    <w:rPr>
                      <w:color w:val="auto"/>
                    </w:rPr>
                  </w:pPr>
                  <w:r>
                    <w:rPr>
                      <w:rFonts w:hint="eastAsia"/>
                      <w:color w:val="auto"/>
                    </w:rPr>
                    <w:t>65</w:t>
                  </w:r>
                </w:p>
              </w:tc>
              <w:tc>
                <w:tcPr>
                  <w:tcW w:w="734" w:type="dxa"/>
                  <w:tcBorders>
                    <w:tl2br w:val="nil"/>
                    <w:tr2bl w:val="nil"/>
                  </w:tcBorders>
                  <w:shd w:val="clear" w:color="auto" w:fill="auto"/>
                  <w:vAlign w:val="center"/>
                </w:tcPr>
                <w:p w14:paraId="23D00A81">
                  <w:pPr>
                    <w:pStyle w:val="34"/>
                    <w:autoSpaceDE w:val="0"/>
                    <w:autoSpaceDN w:val="0"/>
                    <w:ind w:firstLineChars="0"/>
                    <w:rPr>
                      <w:color w:val="auto"/>
                    </w:rPr>
                  </w:pPr>
                  <w:r>
                    <w:rPr>
                      <w:rFonts w:hint="eastAsia"/>
                      <w:color w:val="auto"/>
                    </w:rPr>
                    <w:t>59</w:t>
                  </w:r>
                </w:p>
              </w:tc>
              <w:tc>
                <w:tcPr>
                  <w:tcW w:w="833" w:type="dxa"/>
                  <w:tcBorders>
                    <w:tl2br w:val="nil"/>
                    <w:tr2bl w:val="nil"/>
                  </w:tcBorders>
                  <w:shd w:val="clear" w:color="auto" w:fill="auto"/>
                  <w:vAlign w:val="center"/>
                </w:tcPr>
                <w:p w14:paraId="7F2FC3F6">
                  <w:pPr>
                    <w:pStyle w:val="34"/>
                    <w:autoSpaceDE w:val="0"/>
                    <w:autoSpaceDN w:val="0"/>
                    <w:ind w:firstLineChars="0"/>
                    <w:rPr>
                      <w:color w:val="auto"/>
                    </w:rPr>
                  </w:pPr>
                  <w:r>
                    <w:rPr>
                      <w:rFonts w:hint="eastAsia"/>
                      <w:color w:val="auto"/>
                    </w:rPr>
                    <w:t>55</w:t>
                  </w:r>
                </w:p>
              </w:tc>
              <w:tc>
                <w:tcPr>
                  <w:tcW w:w="863" w:type="dxa"/>
                  <w:tcBorders>
                    <w:tl2br w:val="nil"/>
                    <w:tr2bl w:val="nil"/>
                  </w:tcBorders>
                  <w:shd w:val="clear" w:color="auto" w:fill="auto"/>
                  <w:vAlign w:val="center"/>
                </w:tcPr>
                <w:p w14:paraId="667DB10C">
                  <w:pPr>
                    <w:pStyle w:val="34"/>
                    <w:autoSpaceDE w:val="0"/>
                    <w:autoSpaceDN w:val="0"/>
                    <w:ind w:firstLineChars="0"/>
                    <w:rPr>
                      <w:color w:val="auto"/>
                    </w:rPr>
                  </w:pPr>
                  <w:r>
                    <w:rPr>
                      <w:rFonts w:hint="eastAsia"/>
                      <w:color w:val="auto"/>
                    </w:rPr>
                    <w:t>53</w:t>
                  </w:r>
                </w:p>
              </w:tc>
              <w:tc>
                <w:tcPr>
                  <w:tcW w:w="770" w:type="dxa"/>
                  <w:tcBorders>
                    <w:tl2br w:val="nil"/>
                    <w:tr2bl w:val="nil"/>
                  </w:tcBorders>
                  <w:shd w:val="clear" w:color="auto" w:fill="auto"/>
                  <w:vAlign w:val="center"/>
                </w:tcPr>
                <w:p w14:paraId="7EFDFCC9">
                  <w:pPr>
                    <w:pStyle w:val="34"/>
                    <w:autoSpaceDE w:val="0"/>
                    <w:autoSpaceDN w:val="0"/>
                    <w:ind w:firstLineChars="0"/>
                    <w:rPr>
                      <w:color w:val="auto"/>
                    </w:rPr>
                  </w:pPr>
                  <w:r>
                    <w:rPr>
                      <w:rFonts w:hint="eastAsia"/>
                      <w:color w:val="auto"/>
                    </w:rPr>
                    <w:t>51</w:t>
                  </w:r>
                </w:p>
              </w:tc>
            </w:tr>
            <w:tr w14:paraId="564FA8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8" w:type="dxa"/>
                  <w:tcBorders>
                    <w:tl2br w:val="nil"/>
                    <w:tr2bl w:val="nil"/>
                  </w:tcBorders>
                  <w:vAlign w:val="center"/>
                </w:tcPr>
                <w:p w14:paraId="1D071913">
                  <w:pPr>
                    <w:pStyle w:val="34"/>
                    <w:numPr>
                      <w:ilvl w:val="0"/>
                      <w:numId w:val="11"/>
                    </w:numPr>
                    <w:autoSpaceDE w:val="0"/>
                    <w:autoSpaceDN w:val="0"/>
                    <w:ind w:firstLineChars="0"/>
                    <w:rPr>
                      <w:color w:val="auto"/>
                    </w:rPr>
                  </w:pPr>
                </w:p>
              </w:tc>
              <w:tc>
                <w:tcPr>
                  <w:tcW w:w="1184" w:type="dxa"/>
                  <w:tcBorders>
                    <w:tl2br w:val="nil"/>
                    <w:tr2bl w:val="nil"/>
                  </w:tcBorders>
                  <w:shd w:val="clear" w:color="auto" w:fill="auto"/>
                  <w:vAlign w:val="center"/>
                </w:tcPr>
                <w:p w14:paraId="3459AD5E">
                  <w:pPr>
                    <w:pStyle w:val="34"/>
                    <w:autoSpaceDE w:val="0"/>
                    <w:autoSpaceDN w:val="0"/>
                    <w:ind w:firstLineChars="0"/>
                    <w:rPr>
                      <w:color w:val="auto"/>
                    </w:rPr>
                  </w:pPr>
                  <w:r>
                    <w:rPr>
                      <w:rFonts w:hint="eastAsia"/>
                      <w:color w:val="auto"/>
                    </w:rPr>
                    <w:t>对焊机</w:t>
                  </w:r>
                </w:p>
              </w:tc>
              <w:tc>
                <w:tcPr>
                  <w:tcW w:w="566" w:type="dxa"/>
                  <w:tcBorders>
                    <w:tl2br w:val="nil"/>
                    <w:tr2bl w:val="nil"/>
                  </w:tcBorders>
                  <w:shd w:val="clear" w:color="auto" w:fill="auto"/>
                  <w:vAlign w:val="center"/>
                </w:tcPr>
                <w:p w14:paraId="6F5CC337">
                  <w:pPr>
                    <w:pStyle w:val="34"/>
                    <w:autoSpaceDE w:val="0"/>
                    <w:autoSpaceDN w:val="0"/>
                    <w:ind w:firstLineChars="0"/>
                    <w:rPr>
                      <w:color w:val="auto"/>
                    </w:rPr>
                  </w:pPr>
                  <w:r>
                    <w:rPr>
                      <w:rFonts w:hint="eastAsia"/>
                      <w:color w:val="auto"/>
                    </w:rPr>
                    <w:t>85</w:t>
                  </w:r>
                </w:p>
              </w:tc>
              <w:tc>
                <w:tcPr>
                  <w:tcW w:w="634" w:type="dxa"/>
                  <w:tcBorders>
                    <w:tl2br w:val="nil"/>
                    <w:tr2bl w:val="nil"/>
                  </w:tcBorders>
                  <w:shd w:val="clear" w:color="auto" w:fill="auto"/>
                  <w:vAlign w:val="center"/>
                </w:tcPr>
                <w:p w14:paraId="54BA0D8A">
                  <w:pPr>
                    <w:pStyle w:val="34"/>
                    <w:autoSpaceDE w:val="0"/>
                    <w:autoSpaceDN w:val="0"/>
                    <w:ind w:firstLineChars="0"/>
                    <w:rPr>
                      <w:color w:val="auto"/>
                    </w:rPr>
                  </w:pPr>
                  <w:r>
                    <w:rPr>
                      <w:rFonts w:hint="eastAsia"/>
                      <w:color w:val="auto"/>
                    </w:rPr>
                    <w:t>79</w:t>
                  </w:r>
                </w:p>
              </w:tc>
              <w:tc>
                <w:tcPr>
                  <w:tcW w:w="600" w:type="dxa"/>
                  <w:tcBorders>
                    <w:tl2br w:val="nil"/>
                    <w:tr2bl w:val="nil"/>
                  </w:tcBorders>
                  <w:shd w:val="clear" w:color="auto" w:fill="auto"/>
                  <w:vAlign w:val="center"/>
                </w:tcPr>
                <w:p w14:paraId="00A64B04">
                  <w:pPr>
                    <w:pStyle w:val="34"/>
                    <w:autoSpaceDE w:val="0"/>
                    <w:autoSpaceDN w:val="0"/>
                    <w:ind w:firstLineChars="0"/>
                    <w:rPr>
                      <w:color w:val="auto"/>
                    </w:rPr>
                  </w:pPr>
                  <w:r>
                    <w:rPr>
                      <w:rFonts w:hint="eastAsia"/>
                      <w:color w:val="auto"/>
                    </w:rPr>
                    <w:t>73</w:t>
                  </w:r>
                </w:p>
              </w:tc>
              <w:tc>
                <w:tcPr>
                  <w:tcW w:w="683" w:type="dxa"/>
                  <w:tcBorders>
                    <w:tl2br w:val="nil"/>
                    <w:tr2bl w:val="nil"/>
                  </w:tcBorders>
                  <w:shd w:val="clear" w:color="auto" w:fill="auto"/>
                  <w:vAlign w:val="center"/>
                </w:tcPr>
                <w:p w14:paraId="069890CE">
                  <w:pPr>
                    <w:pStyle w:val="34"/>
                    <w:autoSpaceDE w:val="0"/>
                    <w:autoSpaceDN w:val="0"/>
                    <w:ind w:firstLineChars="0"/>
                    <w:rPr>
                      <w:color w:val="auto"/>
                    </w:rPr>
                  </w:pPr>
                  <w:r>
                    <w:rPr>
                      <w:rFonts w:hint="eastAsia"/>
                      <w:color w:val="auto"/>
                    </w:rPr>
                    <w:t>69</w:t>
                  </w:r>
                </w:p>
              </w:tc>
              <w:tc>
                <w:tcPr>
                  <w:tcW w:w="667" w:type="dxa"/>
                  <w:tcBorders>
                    <w:tl2br w:val="nil"/>
                    <w:tr2bl w:val="nil"/>
                  </w:tcBorders>
                  <w:shd w:val="clear" w:color="auto" w:fill="auto"/>
                  <w:vAlign w:val="center"/>
                </w:tcPr>
                <w:p w14:paraId="25F7D2BB">
                  <w:pPr>
                    <w:pStyle w:val="34"/>
                    <w:autoSpaceDE w:val="0"/>
                    <w:autoSpaceDN w:val="0"/>
                    <w:ind w:firstLineChars="0"/>
                    <w:rPr>
                      <w:color w:val="auto"/>
                    </w:rPr>
                  </w:pPr>
                  <w:r>
                    <w:rPr>
                      <w:rFonts w:hint="eastAsia"/>
                      <w:color w:val="auto"/>
                    </w:rPr>
                    <w:t>67</w:t>
                  </w:r>
                </w:p>
              </w:tc>
              <w:tc>
                <w:tcPr>
                  <w:tcW w:w="666" w:type="dxa"/>
                  <w:tcBorders>
                    <w:tl2br w:val="nil"/>
                    <w:tr2bl w:val="nil"/>
                  </w:tcBorders>
                  <w:shd w:val="clear" w:color="auto" w:fill="auto"/>
                  <w:vAlign w:val="center"/>
                </w:tcPr>
                <w:p w14:paraId="2F5C0F22">
                  <w:pPr>
                    <w:pStyle w:val="34"/>
                    <w:autoSpaceDE w:val="0"/>
                    <w:autoSpaceDN w:val="0"/>
                    <w:ind w:firstLineChars="0"/>
                    <w:rPr>
                      <w:color w:val="auto"/>
                    </w:rPr>
                  </w:pPr>
                  <w:r>
                    <w:rPr>
                      <w:rFonts w:hint="eastAsia"/>
                      <w:color w:val="auto"/>
                    </w:rPr>
                    <w:t>65</w:t>
                  </w:r>
                </w:p>
              </w:tc>
              <w:tc>
                <w:tcPr>
                  <w:tcW w:w="734" w:type="dxa"/>
                  <w:tcBorders>
                    <w:tl2br w:val="nil"/>
                    <w:tr2bl w:val="nil"/>
                  </w:tcBorders>
                  <w:shd w:val="clear" w:color="auto" w:fill="auto"/>
                  <w:vAlign w:val="center"/>
                </w:tcPr>
                <w:p w14:paraId="79BD5291">
                  <w:pPr>
                    <w:pStyle w:val="34"/>
                    <w:autoSpaceDE w:val="0"/>
                    <w:autoSpaceDN w:val="0"/>
                    <w:ind w:firstLineChars="0"/>
                    <w:rPr>
                      <w:color w:val="auto"/>
                    </w:rPr>
                  </w:pPr>
                  <w:r>
                    <w:rPr>
                      <w:rFonts w:hint="eastAsia"/>
                      <w:color w:val="auto"/>
                    </w:rPr>
                    <w:t>59</w:t>
                  </w:r>
                </w:p>
              </w:tc>
              <w:tc>
                <w:tcPr>
                  <w:tcW w:w="833" w:type="dxa"/>
                  <w:tcBorders>
                    <w:tl2br w:val="nil"/>
                    <w:tr2bl w:val="nil"/>
                  </w:tcBorders>
                  <w:shd w:val="clear" w:color="auto" w:fill="auto"/>
                  <w:vAlign w:val="center"/>
                </w:tcPr>
                <w:p w14:paraId="6F158A9C">
                  <w:pPr>
                    <w:pStyle w:val="34"/>
                    <w:autoSpaceDE w:val="0"/>
                    <w:autoSpaceDN w:val="0"/>
                    <w:ind w:firstLineChars="0"/>
                    <w:rPr>
                      <w:color w:val="auto"/>
                    </w:rPr>
                  </w:pPr>
                  <w:r>
                    <w:rPr>
                      <w:rFonts w:hint="eastAsia"/>
                      <w:color w:val="auto"/>
                    </w:rPr>
                    <w:t>55</w:t>
                  </w:r>
                </w:p>
              </w:tc>
              <w:tc>
                <w:tcPr>
                  <w:tcW w:w="863" w:type="dxa"/>
                  <w:tcBorders>
                    <w:tl2br w:val="nil"/>
                    <w:tr2bl w:val="nil"/>
                  </w:tcBorders>
                  <w:shd w:val="clear" w:color="auto" w:fill="auto"/>
                  <w:vAlign w:val="center"/>
                </w:tcPr>
                <w:p w14:paraId="2873638E">
                  <w:pPr>
                    <w:pStyle w:val="34"/>
                    <w:autoSpaceDE w:val="0"/>
                    <w:autoSpaceDN w:val="0"/>
                    <w:ind w:firstLineChars="0"/>
                    <w:rPr>
                      <w:color w:val="auto"/>
                    </w:rPr>
                  </w:pPr>
                  <w:r>
                    <w:rPr>
                      <w:rFonts w:hint="eastAsia"/>
                      <w:color w:val="auto"/>
                    </w:rPr>
                    <w:t>53</w:t>
                  </w:r>
                </w:p>
              </w:tc>
              <w:tc>
                <w:tcPr>
                  <w:tcW w:w="770" w:type="dxa"/>
                  <w:tcBorders>
                    <w:tl2br w:val="nil"/>
                    <w:tr2bl w:val="nil"/>
                  </w:tcBorders>
                  <w:shd w:val="clear" w:color="auto" w:fill="auto"/>
                  <w:vAlign w:val="center"/>
                </w:tcPr>
                <w:p w14:paraId="6DBF132D">
                  <w:pPr>
                    <w:pStyle w:val="34"/>
                    <w:autoSpaceDE w:val="0"/>
                    <w:autoSpaceDN w:val="0"/>
                    <w:ind w:firstLineChars="0"/>
                    <w:rPr>
                      <w:color w:val="auto"/>
                    </w:rPr>
                  </w:pPr>
                  <w:r>
                    <w:rPr>
                      <w:rFonts w:hint="eastAsia"/>
                      <w:color w:val="auto"/>
                    </w:rPr>
                    <w:t>51</w:t>
                  </w:r>
                </w:p>
              </w:tc>
            </w:tr>
          </w:tbl>
          <w:p w14:paraId="48F93F1C">
            <w:pPr>
              <w:ind w:firstLine="480"/>
            </w:pPr>
            <w:r>
              <w:rPr>
                <w:rFonts w:hint="eastAsia"/>
              </w:rPr>
              <w:t>根据上表的预测结果，施工期各施工机械所产生的噪声在30m处约为54~69dB（A）之间，满足《建筑施工场界环境噪声排放标准》（GB 12523-2011）昼间标准的要求，不满足夜间要求；在150m处约为45~55dB（A）之间，噪声基本满足《建筑施工场界环境噪声排放标准》（GB 12523-2011）昼、夜间标准的要求。</w:t>
            </w:r>
          </w:p>
          <w:p w14:paraId="1CF6EF8A">
            <w:pPr>
              <w:ind w:firstLine="480"/>
            </w:pPr>
            <w:r>
              <w:rPr>
                <w:rFonts w:hint="eastAsia"/>
              </w:rPr>
              <w:t>根据项目外环境调查，本项目施工区域周边分布了较多的居民，为尽量避免施工噪声对附近环境敏感目标产生噪声干扰，建设单位须采取以下噪声污染防治措施：</w:t>
            </w:r>
          </w:p>
          <w:p w14:paraId="485036DB">
            <w:pPr>
              <w:ind w:firstLine="480"/>
            </w:pPr>
            <w:r>
              <w:rPr>
                <w:rFonts w:hint="eastAsia"/>
              </w:rPr>
              <w:t>A.施工前在</w:t>
            </w:r>
            <w:r>
              <w:rPr>
                <w:rFonts w:hint="eastAsia"/>
                <w:lang w:val="en-US" w:eastAsia="zh-CN"/>
              </w:rPr>
              <w:t>施工区域</w:t>
            </w:r>
            <w:r>
              <w:rPr>
                <w:rFonts w:hint="eastAsia"/>
              </w:rPr>
              <w:t>张贴告示，标明施工时段，避开休息时段施工；合理布置施工高噪声源机械，应远离居民点，施工便道、施工作业机械等应控制在红线范围内；同时在工区外布置施工2m高的施工围挡，减少对施工区周边居民的影响。</w:t>
            </w:r>
          </w:p>
          <w:p w14:paraId="48555277">
            <w:pPr>
              <w:ind w:firstLine="480"/>
            </w:pPr>
            <w:r>
              <w:rPr>
                <w:rFonts w:hint="eastAsia"/>
              </w:rPr>
              <w:t>B.根据《建设施工场界环境噪声排放标准》（GB 12523-2011）的规定，合理安排施工时间，强噪声的施工机械禁止夜间（22:00~6:00）施工。若因特殊需要连续施工的，施工单位应首先征得当地住建和城管等主管部门同意，按规定申领夜间施工证，同时发布公告最大限度地争取民众支持。</w:t>
            </w:r>
          </w:p>
          <w:p w14:paraId="0C497015">
            <w:pPr>
              <w:ind w:firstLine="480"/>
            </w:pPr>
            <w:r>
              <w:rPr>
                <w:rFonts w:hint="eastAsia"/>
              </w:rPr>
              <w:t>C.合理安排施工物料运输时间，合理规划运输路线，尽量避免周围敏感点，并严格控制运输车辆车速，经过集中居民点处禁止鸣喇叭，尽量降低车辆运输对沿线敏感点的影响。</w:t>
            </w:r>
          </w:p>
          <w:p w14:paraId="785D88BA">
            <w:pPr>
              <w:ind w:firstLine="480"/>
            </w:pPr>
            <w:r>
              <w:rPr>
                <w:rFonts w:hint="eastAsia"/>
              </w:rPr>
              <w:t>D.选用低噪声机械设备，并加强对设备进行维修保养，避免由于设备性能差而使噪声增强现象的发生；在敏感点附近施工时，和周边居民做好沟通工作，对高噪声设备采取临时性隔声措施，设置隔声屏障；设置施工围挡。</w:t>
            </w:r>
          </w:p>
          <w:p w14:paraId="37534321">
            <w:pPr>
              <w:ind w:firstLine="480"/>
            </w:pPr>
            <w:r>
              <w:rPr>
                <w:rFonts w:hint="eastAsia"/>
              </w:rPr>
              <w:t>E.施工期间由施工单位和业主单位组成环境管理部门，加强施工期环境管理，对环保设施、设备进行日常的监控和维护工作，以确保各类设备，特别是环保设备正常运行。</w:t>
            </w:r>
          </w:p>
          <w:p w14:paraId="104310B3">
            <w:pPr>
              <w:ind w:firstLine="480"/>
            </w:pPr>
            <w:r>
              <w:rPr>
                <w:rFonts w:hint="eastAsia"/>
              </w:rPr>
              <w:t>F.施工现场提倡文明施工，杜绝人为敲打、叫嚷、野蛮装卸噪声等现象，增强全体施工人员防噪声扰民的自觉意识。</w:t>
            </w:r>
          </w:p>
          <w:p w14:paraId="77E44FFB">
            <w:pPr>
              <w:ind w:firstLine="480"/>
            </w:pPr>
            <w:r>
              <w:rPr>
                <w:rFonts w:hint="eastAsia"/>
              </w:rPr>
              <w:t>综上，由于项目工程量小，施工期对周围环境的影响是短期的、暂时性，但由于施工段距离各声环境保护目标比较近，项目应按照规范和环评要求严格落实施工期噪声防治措施，特别是噪声敏感点周围施工时，必须采取积极降噪措施，确保施工噪声满足达标排放，避免噪声扰民。采取上述措施后，施工期间的场界噪声能够满足《建筑施工环境噪声排放标准》（GB 12523-2025）标准要求。</w:t>
            </w:r>
          </w:p>
          <w:p w14:paraId="0CDD4FCA">
            <w:pPr>
              <w:ind w:firstLine="482"/>
              <w:rPr>
                <w:b/>
                <w:bCs/>
              </w:rPr>
            </w:pPr>
            <w:r>
              <w:rPr>
                <w:rFonts w:hint="eastAsia"/>
                <w:b/>
                <w:bCs/>
              </w:rPr>
              <w:t>5、固体废物影响分析</w:t>
            </w:r>
          </w:p>
          <w:p w14:paraId="214AB8C0">
            <w:pPr>
              <w:ind w:firstLine="480"/>
            </w:pPr>
            <w:r>
              <w:rPr>
                <w:rFonts w:hint="eastAsia"/>
              </w:rPr>
              <w:t>（1）弃方</w:t>
            </w:r>
          </w:p>
          <w:p w14:paraId="4A9E5259">
            <w:pPr>
              <w:ind w:firstLine="480"/>
            </w:pPr>
            <w:r>
              <w:t>本项目一般土石方挖方总量19.0万m³（含表土剥离0.2万m³），填方总量19.0万m³（含表土回覆0.2万m³），挖填平衡，无一般土石方弃方。</w:t>
            </w:r>
          </w:p>
          <w:p w14:paraId="36CA0DCE">
            <w:pPr>
              <w:ind w:firstLine="480"/>
            </w:pPr>
            <w:r>
              <w:rPr>
                <w:rFonts w:hint="eastAsia"/>
              </w:rPr>
              <w:t>（2）建筑垃圾</w:t>
            </w:r>
          </w:p>
          <w:p w14:paraId="008059C7">
            <w:pPr>
              <w:ind w:firstLine="480"/>
            </w:pPr>
            <w:r>
              <w:rPr>
                <w:rFonts w:hint="eastAsia"/>
              </w:rPr>
              <w:t>施工期产生的建筑废料主要包括废木、废钢筋、废弃围堰、废包装袋等杂物，根据《固体废物分类与代码目录》（2024年第4号），建筑垃圾属于“SW72工程垃圾 非特定行业900-001-S72工程垃圾。各类建筑物、构筑物等建设过程中产生的弃料”。施工阶段产生的废木、废钢筋、废弃围堰、废包装袋等可作为资源回收的材料被回收利用，不能回收的弃渣料则统一运至建筑垃圾填埋场处理。</w:t>
            </w:r>
          </w:p>
          <w:p w14:paraId="5700D4C6">
            <w:pPr>
              <w:ind w:firstLine="480"/>
            </w:pPr>
            <w:r>
              <w:rPr>
                <w:rFonts w:hint="eastAsia"/>
              </w:rPr>
              <w:t>（3）沉淀池泥沙</w:t>
            </w:r>
          </w:p>
          <w:p w14:paraId="55EF9396">
            <w:pPr>
              <w:ind w:firstLine="480"/>
            </w:pPr>
            <w:r>
              <w:rPr>
                <w:rFonts w:hint="eastAsia"/>
              </w:rPr>
              <w:t>本项目处理施工废水的隔油沉淀池、处理围堰内废水的沉淀池均会产生的泥沙，根据《固体废物分类与代码目录》（2024年第4号），泥沙属于“SW59其他工业固体废物 非特定行业900-099-S59 其他工业生产过程中产生的固体废物”，定期清掏后用于堤后低洼地段回填。</w:t>
            </w:r>
          </w:p>
          <w:p w14:paraId="62FDB6C2">
            <w:pPr>
              <w:ind w:firstLine="480"/>
            </w:pPr>
            <w:r>
              <w:rPr>
                <w:rFonts w:hint="eastAsia"/>
              </w:rPr>
              <w:t>（4）隔油池浮油</w:t>
            </w:r>
          </w:p>
          <w:p w14:paraId="3A592571">
            <w:pPr>
              <w:ind w:firstLine="480"/>
            </w:pPr>
            <w:r>
              <w:rPr>
                <w:rFonts w:hint="eastAsia"/>
              </w:rPr>
              <w:t>车辆冲洗隔油池产生的油污收集后作为危废处置，根据《国家危险废物名录（2025年版）》分类，隔油池油污属于危险废物，危废代码为HW08废矿物油与含矿物油废物（代码：900-210-08 含油废水处理中隔油、气浮、沉淀等处理过程中产生的浮油、浮渣和污泥（不包括废水生化处理污泥）），浮油委托有资质的危险废物处置单位进行清运处置。</w:t>
            </w:r>
          </w:p>
          <w:p w14:paraId="08FE2849">
            <w:pPr>
              <w:ind w:firstLine="480"/>
            </w:pPr>
            <w:r>
              <w:rPr>
                <w:rFonts w:hint="eastAsia"/>
              </w:rPr>
              <w:t>（5）生活垃圾</w:t>
            </w:r>
          </w:p>
          <w:p w14:paraId="195C2FE5">
            <w:pPr>
              <w:ind w:firstLine="480"/>
            </w:pPr>
            <w:r>
              <w:rPr>
                <w:rFonts w:hint="eastAsia"/>
              </w:rPr>
              <w:t>本项目施工高峰期人数为80人，生活垃圾按照每人每天产生量为0.64kg，则生活垃圾的产生量为51.2kg/d 。根据《固体废物分类与代码目录》（2024年第4号），生活垃圾属于“SW64 其他垃圾 900-099-S64 园林垃圾、清扫垃圾以外的生活垃圾”，施工期间现场设置垃圾桶，生活垃圾经垃圾袋封装后交由市政环卫部门统一清运，严禁生活垃圾就地掩埋、焚烧和倾倒进入周边地表水体内。</w:t>
            </w:r>
          </w:p>
          <w:p w14:paraId="00A62096">
            <w:pPr>
              <w:ind w:firstLine="482"/>
            </w:pPr>
            <w:r>
              <w:rPr>
                <w:rFonts w:hint="eastAsia"/>
                <w:b/>
                <w:bCs/>
              </w:rPr>
              <w:t>6、社会环境影响分析</w:t>
            </w:r>
          </w:p>
          <w:p w14:paraId="003CDD68">
            <w:pPr>
              <w:ind w:firstLine="480"/>
            </w:pPr>
            <w:r>
              <w:rPr>
                <w:rFonts w:hint="eastAsia"/>
              </w:rPr>
              <w:t>（1）施工期交通影响分析</w:t>
            </w:r>
          </w:p>
          <w:p w14:paraId="3A069A20">
            <w:pPr>
              <w:ind w:firstLine="480"/>
            </w:pPr>
            <w:r>
              <w:rPr>
                <w:rFonts w:hint="eastAsia"/>
              </w:rPr>
              <w:t>工程施工过程中，将会妨碍施工区域及附近的正常通行，还可能在一定施工阶段短时间阻断交通，或因施工现场交通指挥调度不当，导致临近施工路段路口交通堵塞，甚至可能会引发一定范围的暂时的交通堵塞。</w:t>
            </w:r>
          </w:p>
          <w:p w14:paraId="2A539D92">
            <w:pPr>
              <w:ind w:firstLine="480"/>
            </w:pPr>
            <w:r>
              <w:rPr>
                <w:rFonts w:hint="eastAsia"/>
              </w:rPr>
              <w:t>项目应合理组织施工，提高管理效率、缩短施工工期，合理有效进行施工期的交通组织，制定切实可行的交通应急预案，积极配合交管部门加强施工路段的交通管理，确保交通畅通，将项目施工对当地居民出行和交通运输造成的影响降到最低。</w:t>
            </w:r>
          </w:p>
          <w:p w14:paraId="64D0B33E">
            <w:pPr>
              <w:ind w:firstLine="480"/>
            </w:pPr>
            <w:r>
              <w:rPr>
                <w:rFonts w:hint="eastAsia"/>
              </w:rPr>
              <w:t>评价认为，只要采取了切实可行的预防措施，科学合理地安排工期及进行交通疏通，项目施工对区域交通的影响较小。</w:t>
            </w:r>
          </w:p>
          <w:p w14:paraId="35793D1F">
            <w:pPr>
              <w:ind w:firstLine="480"/>
            </w:pPr>
            <w:r>
              <w:rPr>
                <w:rFonts w:hint="eastAsia"/>
              </w:rPr>
              <w:t>（2）施工对沿线居民生活质量的影响</w:t>
            </w:r>
          </w:p>
          <w:p w14:paraId="072AA1D0">
            <w:pPr>
              <w:ind w:firstLine="480"/>
            </w:pPr>
            <w:r>
              <w:rPr>
                <w:rFonts w:hint="eastAsia"/>
              </w:rPr>
              <w:t>项目施工噪声、扬尘将对周边环境产生影响，影响邻近住户的生活质量。但项目采取严格的污染防治及减缓措施，可将对沿线住户的上述影响将减至最低程度，总的来说项目施工期对沿线居民生活的影响可以接受。</w:t>
            </w:r>
          </w:p>
          <w:p w14:paraId="098E49FC">
            <w:pPr>
              <w:ind w:firstLine="482"/>
            </w:pPr>
            <w:r>
              <w:rPr>
                <w:rFonts w:hint="eastAsia"/>
                <w:b/>
                <w:bCs/>
              </w:rPr>
              <w:t>7、环境风险影响分析</w:t>
            </w:r>
          </w:p>
          <w:p w14:paraId="32B8FC79">
            <w:pPr>
              <w:ind w:firstLine="480"/>
            </w:pPr>
            <w:r>
              <w:rPr>
                <w:rFonts w:hint="eastAsia"/>
              </w:rPr>
              <w:t>（1）水质恶化风险</w:t>
            </w:r>
          </w:p>
          <w:p w14:paraId="7DBA8312">
            <w:pPr>
              <w:ind w:firstLine="480"/>
            </w:pPr>
            <w:r>
              <w:rPr>
                <w:rFonts w:hint="eastAsia"/>
              </w:rPr>
              <w:t>施工期间若不注意严格采取水环境保护措施，冲洗废水、含油废水以及建筑垃圾等随意排入河流，会造成檬子河水质的恶化，从而对檬子河中水生生物产生影响。</w:t>
            </w:r>
          </w:p>
          <w:p w14:paraId="774356ED">
            <w:pPr>
              <w:ind w:firstLine="480"/>
            </w:pPr>
            <w:r>
              <w:rPr>
                <w:rFonts w:hint="eastAsia"/>
              </w:rPr>
              <w:t>（2）油类物质运输、使用风险</w:t>
            </w:r>
          </w:p>
          <w:p w14:paraId="6D6AB902">
            <w:pPr>
              <w:ind w:firstLine="480"/>
            </w:pPr>
            <w:r>
              <w:rPr>
                <w:rFonts w:hint="eastAsia"/>
              </w:rPr>
              <w:t>油类物质的运输事故和施工设备事故可能引起油类物质泄漏、污水事故排放，在雨水等冲刷作用下，油类物质流入排水沟，最终流入区域地表水体，对其造成污染；若遇火或发生事故，可能引发火灾、爆炸风险。</w:t>
            </w:r>
          </w:p>
          <w:p w14:paraId="324865C2">
            <w:pPr>
              <w:ind w:firstLine="480"/>
            </w:pPr>
            <w:r>
              <w:rPr>
                <w:rFonts w:hint="eastAsia"/>
              </w:rPr>
              <w:t>①对水质的影响</w:t>
            </w:r>
          </w:p>
          <w:p w14:paraId="1E7489D6">
            <w:pPr>
              <w:ind w:firstLine="480"/>
            </w:pPr>
            <w:r>
              <w:rPr>
                <w:rFonts w:hint="eastAsia"/>
              </w:rPr>
              <w:t>油品密度较小且不溶于水，石油进入水体后，将漂浮在水面上并在重力的作用下迅速扩散，形成油膜，在水流及风联合作用下输移和扩散。同时，使下覆水体中的石油类、挥发酚等特征因子浓度升高。此外，油膜阻碍水汽交换与阳光照射，抑制水中浮游植物的光合作用，致使水中溶解氧逐渐减少，使河道水质进一步恶化。</w:t>
            </w:r>
          </w:p>
          <w:p w14:paraId="77D89FB8">
            <w:pPr>
              <w:ind w:firstLine="480"/>
            </w:pPr>
            <w:r>
              <w:rPr>
                <w:rFonts w:hint="eastAsia"/>
              </w:rPr>
              <w:t>②对浮游生物的影响</w:t>
            </w:r>
          </w:p>
          <w:p w14:paraId="4C7452E6">
            <w:pPr>
              <w:ind w:firstLine="480"/>
            </w:pPr>
            <w:r>
              <w:rPr>
                <w:rFonts w:hint="eastAsia"/>
              </w:rPr>
              <w:t>油类物质会破坏浮游植物细胞，损坏叶绿素及干扰气体交换，妨碍其光合作用。国内外众多毒性试验结果表明，浮游植物作为鱼虾类饵料的基础，对各类油类的耐受能力均很低，浮游植物油类物质急性中毒致死浓度为0.1～10mg/L，一般为1mg/L。对于更敏感的生物种类，即使油浓度低于0.1mg/L也会妨碍其细胞分裂和生长速度。</w:t>
            </w:r>
          </w:p>
          <w:p w14:paraId="259D218A">
            <w:pPr>
              <w:ind w:firstLine="480"/>
            </w:pPr>
            <w:r>
              <w:rPr>
                <w:rFonts w:hint="eastAsia"/>
              </w:rPr>
              <w:t>③对底栖生物的影响</w:t>
            </w:r>
          </w:p>
          <w:p w14:paraId="181C78C3">
            <w:pPr>
              <w:ind w:firstLine="480"/>
            </w:pPr>
            <w:r>
              <w:rPr>
                <w:rFonts w:hint="eastAsia"/>
              </w:rPr>
              <w:t>泄漏事件对影响范围内鱼类的影响是多方面的。油类物质通过鱼鳃呼吸、代谢、体表渗透和生物链传输富集于生物体内，而导致对鱼类的毒性，其症状主要表现为致死性、神经性、对造血功能的损失和酶活性的抑制；慢性中毒影响，即在小剂量、低浓度之下，仍表现代谢毒性、生活毒性以及“致癌、致畸、致突变”的三致毒理效应。此外，水体中一旦发生油污染，扩散的油分子会迅速随风及水的流动而扩散，鱼类等水产资源一旦与其接触，即会在短时间内发生油臭，从而影响其食用价值。</w:t>
            </w:r>
          </w:p>
          <w:p w14:paraId="17518B36">
            <w:pPr>
              <w:ind w:firstLine="480"/>
            </w:pPr>
            <w:r>
              <w:rPr>
                <w:rFonts w:hint="eastAsia"/>
              </w:rPr>
              <w:t>⑤火灾、爆炸的影响</w:t>
            </w:r>
          </w:p>
          <w:p w14:paraId="2E565D33">
            <w:pPr>
              <w:ind w:firstLine="480"/>
            </w:pPr>
            <w:r>
              <w:rPr>
                <w:rFonts w:hint="eastAsia"/>
              </w:rPr>
              <w:t>一旦发生火灾爆炸事故时，对周围人民群众的生命安全及周围环境带来一定的影响。火灾事故主要的危害是热量、燃气和缺氧这三种因素的作用。发生火灾事故释放出的大量热量可将人体灼伤，燃气和缺氧均会对人体产生危害，造成财产损失。同时，火灾和爆炸事故发生后产生大量烟气污染环境空气；消防废水若未经处理，可能对水体和土壤造成危害。</w:t>
            </w:r>
          </w:p>
          <w:p w14:paraId="42424B6A">
            <w:pPr>
              <w:ind w:firstLine="482"/>
            </w:pPr>
            <w:r>
              <w:rPr>
                <w:rFonts w:hint="eastAsia"/>
                <w:b/>
                <w:bCs/>
              </w:rPr>
              <w:t>环境风险防范措施：</w:t>
            </w:r>
          </w:p>
          <w:p w14:paraId="0453EBD7">
            <w:pPr>
              <w:ind w:firstLine="480"/>
            </w:pPr>
            <w:r>
              <w:rPr>
                <w:rFonts w:hint="eastAsia"/>
              </w:rPr>
              <w:t>（1）施工单位应定期检查和维护施工机械，使机械维持良好的工作状态。</w:t>
            </w:r>
          </w:p>
          <w:p w14:paraId="228B51C7">
            <w:pPr>
              <w:ind w:firstLine="480"/>
            </w:pPr>
            <w:r>
              <w:rPr>
                <w:rFonts w:hint="eastAsia"/>
              </w:rPr>
              <w:t>（2）加强对施工人员的技术培训，增强施工人员的安全意识和环境保护意识，严格操作规程，避免人为操作失误引起油类物质运输、使用事故。</w:t>
            </w:r>
          </w:p>
          <w:p w14:paraId="55CCFB62">
            <w:pPr>
              <w:ind w:firstLine="480"/>
            </w:pPr>
            <w:r>
              <w:rPr>
                <w:rFonts w:hint="eastAsia"/>
              </w:rPr>
              <w:t>（3）建立防汛、避台等应急预案，施工期间如遇恶劣天气必须暂停施工，保证机械安全。</w:t>
            </w:r>
          </w:p>
          <w:p w14:paraId="33D4D25E">
            <w:pPr>
              <w:ind w:firstLine="480"/>
            </w:pPr>
            <w:r>
              <w:rPr>
                <w:rFonts w:hint="eastAsia"/>
              </w:rPr>
              <w:t>（4）做好相关的环境保护及水土保持措施，采取临时拦挡、完善排水设施等减轻水土流失给河道带来的环境影响；施工期间的施工废水隔油沉淀后用于洒水降尘，严禁排入河道污染河道水质；加强施工管理，杜绝出现废水事故性排放。政府有关部门及管理机构应加大执法力度，加强监督管理。</w:t>
            </w:r>
          </w:p>
          <w:p w14:paraId="06972BFB">
            <w:pPr>
              <w:ind w:firstLine="480"/>
            </w:pPr>
            <w:r>
              <w:rPr>
                <w:rFonts w:hint="eastAsia"/>
              </w:rPr>
              <w:t>（5）制订施工期油类物质风险事故应急预案，预案应包括应急事故组织机构、应急救援队伍、应急设施及物资的配备、应急报警系统、应急处理措施、应急培训计划等内容；施工场所应张贴应急报警电话。</w:t>
            </w:r>
          </w:p>
          <w:p w14:paraId="707EE8C3">
            <w:pPr>
              <w:ind w:firstLine="482"/>
            </w:pPr>
            <w:r>
              <w:rPr>
                <w:rFonts w:hint="eastAsia"/>
                <w:b/>
                <w:bCs/>
              </w:rPr>
              <w:t>应急要求：</w:t>
            </w:r>
          </w:p>
          <w:p w14:paraId="4FB483F7">
            <w:pPr>
              <w:ind w:firstLine="480"/>
            </w:pPr>
            <w:r>
              <w:rPr>
                <w:rFonts w:hint="eastAsia"/>
              </w:rPr>
              <w:t>针对本工程施工期可能发生的事故，通过对事故的风险评价，制定突发性事故应急处理预案等，对事故快速做出反应，最大限度地减少事故污染对水环境的危害，建立应对突发性事故的抢险指挥系统，组织制定一套可操作的风险应急预案是非常必要的。一旦出现重大事故，能有效地组织救援，及时控制污染、减少污染损失。采取以上风险环境影响防范措施后，本项目风险环境影响在可控制范围内。</w:t>
            </w:r>
          </w:p>
          <w:p w14:paraId="5B376FC6">
            <w:pPr>
              <w:ind w:firstLine="480"/>
            </w:pPr>
            <w:r>
              <w:rPr>
                <w:rFonts w:hint="eastAsia"/>
              </w:rPr>
              <w:t>综上，施工单位合理安排施工计划、严格实施环评提出的各项环保措施、尽可能缩短施工周期、形成良好的施工环境。施工中产生少量不利影响，都是局部的、暂时的，施工期结束影响随即消失。因此，本项目施工期间对生态环境影响较小。</w:t>
            </w:r>
          </w:p>
        </w:tc>
      </w:tr>
      <w:tr w14:paraId="77D1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 w:type="dxa"/>
            <w:vAlign w:val="center"/>
          </w:tcPr>
          <w:p w14:paraId="26C26482">
            <w:pPr>
              <w:spacing w:line="240" w:lineRule="auto"/>
              <w:ind w:firstLine="0" w:firstLineChars="0"/>
              <w:jc w:val="center"/>
            </w:pPr>
            <w:r>
              <w:rPr>
                <w:rFonts w:hint="eastAsia"/>
              </w:rPr>
              <w:t>运营期生态环境影响分析</w:t>
            </w:r>
          </w:p>
        </w:tc>
        <w:tc>
          <w:tcPr>
            <w:tcW w:w="8771" w:type="dxa"/>
          </w:tcPr>
          <w:p w14:paraId="0A96858E">
            <w:pPr>
              <w:ind w:firstLine="0" w:firstLineChars="0"/>
              <w:rPr>
                <w:b/>
                <w:bCs/>
              </w:rPr>
            </w:pPr>
            <w:r>
              <w:rPr>
                <w:rFonts w:hint="eastAsia"/>
                <w:b/>
                <w:bCs/>
              </w:rPr>
              <w:t>一、水环境影响分析</w:t>
            </w:r>
          </w:p>
          <w:p w14:paraId="4B8E4026">
            <w:pPr>
              <w:ind w:firstLine="476"/>
              <w:rPr>
                <w:spacing w:val="-1"/>
              </w:rPr>
            </w:pPr>
            <w:r>
              <w:rPr>
                <w:rFonts w:hint="eastAsia"/>
                <w:spacing w:val="-1"/>
              </w:rPr>
              <w:t>项目运营期废水主要来源于运动广场以及河湾剧场公共卫生间产生的生活污水，项目区域污水收集系统较完善，产生的生活污水由市政管网进入城市污水处理厂处理达标后排放，对外环境影响较小。</w:t>
            </w:r>
          </w:p>
          <w:p w14:paraId="2B3FC80C">
            <w:pPr>
              <w:ind w:firstLine="0" w:firstLineChars="0"/>
              <w:rPr>
                <w:b/>
                <w:bCs/>
                <w:spacing w:val="-1"/>
              </w:rPr>
            </w:pPr>
            <w:r>
              <w:rPr>
                <w:rFonts w:hint="eastAsia"/>
                <w:b/>
                <w:bCs/>
                <w:spacing w:val="-1"/>
              </w:rPr>
              <w:t>二、大气环境影响分析</w:t>
            </w:r>
          </w:p>
          <w:p w14:paraId="48EA50D2">
            <w:pPr>
              <w:ind w:firstLine="480"/>
            </w:pPr>
            <w:r>
              <w:t>本项目营运期废气污染影响主要为车辆排放的汽车尾气对沿线大气环境的影响，汽车尾气中主要污染物是CO、NO</w:t>
            </w:r>
            <w:r>
              <w:rPr>
                <w:rFonts w:hint="eastAsia"/>
              </w:rPr>
              <w:t>2</w:t>
            </w:r>
            <w:r>
              <w:t>、烟尘、碳氢化合物等，其污染源类型为分散、流动的线源，排放源高度低，污染物扩散范围小。</w:t>
            </w:r>
          </w:p>
          <w:p w14:paraId="602B67AC">
            <w:pPr>
              <w:ind w:firstLine="480"/>
            </w:pPr>
            <w:r>
              <w:rPr>
                <w:rFonts w:hint="eastAsia"/>
              </w:rPr>
              <w:t>本项目主要为运动广场、河湾剧场车辆临停为主，车流规模有限，尾气污染物产生量较小，搭配沿线绿化植被吸附阻滞作用，废气对区域大气环境影响程度较轻。</w:t>
            </w:r>
          </w:p>
          <w:p w14:paraId="7C351416">
            <w:pPr>
              <w:ind w:firstLine="0" w:firstLineChars="0"/>
              <w:rPr>
                <w:b/>
                <w:bCs/>
                <w:spacing w:val="-1"/>
              </w:rPr>
            </w:pPr>
            <w:r>
              <w:rPr>
                <w:rFonts w:hint="eastAsia"/>
                <w:b/>
                <w:bCs/>
                <w:spacing w:val="-1"/>
              </w:rPr>
              <w:t>三、声环境影响分析</w:t>
            </w:r>
          </w:p>
          <w:p w14:paraId="1B5091B2">
            <w:pPr>
              <w:ind w:firstLine="476"/>
            </w:pPr>
            <w:r>
              <w:rPr>
                <w:spacing w:val="-1"/>
              </w:rPr>
              <w:t>项目运营期噪声主要来源于人</w:t>
            </w:r>
            <w:r>
              <w:rPr>
                <w:spacing w:val="-2"/>
              </w:rPr>
              <w:t>群活动噪声，</w:t>
            </w:r>
            <w:r>
              <w:rPr>
                <w:rFonts w:hint="eastAsia"/>
                <w:spacing w:val="-2"/>
              </w:rPr>
              <w:t>人群活动噪 声在加强管理后可以得到有效控制，对外环境影响较小。</w:t>
            </w:r>
          </w:p>
          <w:p w14:paraId="7CF21D52">
            <w:pPr>
              <w:ind w:firstLine="0" w:firstLineChars="0"/>
              <w:rPr>
                <w:b/>
                <w:bCs/>
              </w:rPr>
            </w:pPr>
            <w:r>
              <w:rPr>
                <w:rFonts w:hint="eastAsia"/>
                <w:b/>
                <w:bCs/>
              </w:rPr>
              <w:t>四、固体废物影响分析</w:t>
            </w:r>
          </w:p>
          <w:p w14:paraId="6F5BD3D0">
            <w:pPr>
              <w:ind w:firstLine="480"/>
            </w:pPr>
            <w:r>
              <w:rPr>
                <w:rFonts w:hint="eastAsia"/>
              </w:rPr>
              <w:t>项目运营期固废主要来自人群活动产生的生活垃圾、绿化定期修剪产生的树枝等植物垃圾。本项目设置垃圾桶，生活垃圾交由环卫部门统一清运处理；植物垃圾按要求堆放在暂存点等待环卫部门清运。</w:t>
            </w:r>
          </w:p>
          <w:p w14:paraId="30D9CAAC">
            <w:pPr>
              <w:ind w:firstLine="480"/>
            </w:pPr>
            <w:r>
              <w:rPr>
                <w:rFonts w:hint="eastAsia"/>
              </w:rPr>
              <w:t>本项目运营期固废均能得到妥善处置，不会造成二次污染。</w:t>
            </w:r>
          </w:p>
          <w:p w14:paraId="2E4108EB">
            <w:pPr>
              <w:ind w:firstLine="0" w:firstLineChars="0"/>
              <w:rPr>
                <w:b/>
                <w:bCs/>
              </w:rPr>
            </w:pPr>
            <w:r>
              <w:rPr>
                <w:rFonts w:hint="eastAsia"/>
                <w:b/>
                <w:bCs/>
              </w:rPr>
              <w:t>五、大气环境影响分析</w:t>
            </w:r>
          </w:p>
          <w:p w14:paraId="0FFFF072">
            <w:pPr>
              <w:ind w:firstLine="480"/>
            </w:pPr>
            <w:r>
              <w:rPr>
                <w:rFonts w:hint="eastAsia"/>
              </w:rPr>
              <w:t>本项目属生态影响型项目。在加强河道沿岸排水管理、垃圾堆放管理的情况下，项目运营期间不存在大气污染。</w:t>
            </w:r>
          </w:p>
          <w:p w14:paraId="68B80D6B">
            <w:pPr>
              <w:ind w:firstLine="0" w:firstLineChars="0"/>
              <w:rPr>
                <w:b/>
                <w:bCs/>
              </w:rPr>
            </w:pPr>
            <w:r>
              <w:rPr>
                <w:rFonts w:hint="eastAsia"/>
                <w:b/>
                <w:bCs/>
              </w:rPr>
              <w:t>六、对防洪以及生态景观的影响分析</w:t>
            </w:r>
          </w:p>
          <w:p w14:paraId="77E7B110">
            <w:pPr>
              <w:ind w:firstLine="480"/>
            </w:pPr>
            <w:r>
              <w:rPr>
                <w:rFonts w:hint="eastAsia"/>
              </w:rPr>
              <w:t>项目运营阶段，控流导流设施（生态景观控流闸）可根据汛期实时来水情况灵活开展闸门调度，大洪水工况下全开闸孔实现全断面畅泄，中小洪水期间利用闸前库容短时拦蓄超额来水、实现错峰削峰，有效降低下游河道峰值过流压力，减少沿岸村镇、耕地受淹风险；配套实施的生态护岸工程修整原有凹凸破损、易坍塌的天然岸坡，消除局部岸嘴、崩岸土体形成的阻水点位，理顺河道水流流线，提升河道行洪平顺性。同时格宾石笼、乔灌草复合护坡等柔性生态结构能够牢牢固定岸坡土体，大幅削减汛期雨水冲刷造成的岸坡水土流失，减少大量泥沙冲入主河槽淤积抬高河床，长期稳定维持河道设计行洪断面，避免河床淤塞引发的水位壅高问题，从调洪控流、稳定河道断面、减少淤积多重维度提升流域整体防洪安全保障水平。</w:t>
            </w:r>
          </w:p>
          <w:p w14:paraId="0E80A1EF">
            <w:pPr>
              <w:ind w:firstLine="480"/>
            </w:pPr>
            <w:r>
              <w:rPr>
                <w:rFonts w:hint="eastAsia"/>
              </w:rPr>
              <w:t>控流导流设施（生态景观控流闸）常年调控河道基础生态水位，闸前、闸下维持连贯流动水体，形成浅滩、深潭交替的多样化流水生境，为浮游生物、底栖生物、不同习性鱼类提供繁殖、觅食栖息空间；本项目生态护岸保留岸坡土壤与水体自然交换通道，沿河道构建水下沉水植物、滨岸挺水植被、坡地乡土乔灌草分层搭配的完整水陆缓冲带，打通贯通全线的滨岸生态廊道，为两栖动物、涉水鸟类、小型陆生动物营造连续的觅食、停歇、迁徙栖息环境，有效提升河道生物群落丰富度。稳定可控的河道水位可解决天然河道枯水期河床大面积裸露、水面破碎零散的问题，全年维持连续完整河道水面；护岸植被能够截留沿岸地表径流携带的泥沙、氮磷等面源污染物，流动水体配合岸坡植被协同净化水体杂质，提升水体透明度，改善河道水色观感；工程整治原有杂乱坍塌、风貌破败的自然岸线，打造原生态连续滨水绿化带，兼顾自然生态修复与群众亲水休闲需求，显著优化河道沿线整体景观风貌。</w:t>
            </w:r>
          </w:p>
        </w:tc>
      </w:tr>
      <w:tr w14:paraId="0BE85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 w:type="dxa"/>
            <w:vAlign w:val="center"/>
          </w:tcPr>
          <w:p w14:paraId="2A539FD1">
            <w:pPr>
              <w:spacing w:line="240" w:lineRule="auto"/>
              <w:ind w:firstLine="0" w:firstLineChars="0"/>
              <w:jc w:val="center"/>
            </w:pPr>
            <w:r>
              <w:rPr>
                <w:rFonts w:hint="eastAsia"/>
              </w:rPr>
              <w:t>选址选线环境合理性分析</w:t>
            </w:r>
          </w:p>
        </w:tc>
        <w:tc>
          <w:tcPr>
            <w:tcW w:w="8771" w:type="dxa"/>
          </w:tcPr>
          <w:p w14:paraId="6526D67C">
            <w:pPr>
              <w:ind w:firstLine="0" w:firstLineChars="0"/>
              <w:rPr>
                <w:b/>
                <w:bCs/>
              </w:rPr>
            </w:pPr>
            <w:r>
              <w:rPr>
                <w:rFonts w:hint="eastAsia"/>
                <w:b/>
                <w:bCs/>
              </w:rPr>
              <w:t>一、工程选址合理性分析</w:t>
            </w:r>
          </w:p>
          <w:p w14:paraId="1DFF50C7">
            <w:pPr>
              <w:ind w:firstLine="480"/>
            </w:pPr>
            <w:r>
              <w:rPr>
                <w:rFonts w:hint="eastAsia"/>
              </w:rPr>
              <w:t>本项目位于巴中市巴州区檬子河流域，本工程属于</w:t>
            </w:r>
            <w:r>
              <w:rPr>
                <w:rFonts w:hint="eastAsia"/>
                <w:lang w:eastAsia="zh-CN"/>
              </w:rPr>
              <w:t>防洪除涝</w:t>
            </w:r>
            <w:r>
              <w:rPr>
                <w:rFonts w:hint="eastAsia"/>
              </w:rPr>
              <w:t>工程，工程选址不涉及自然保护区、风景名胜区、重点文物古迹及饮用水源保护区，项目沿线无古木名树分布，不涉及重大生态分割及生态敏感目标的影响，项目工程选址范围内不存在鱼类等水生生物的洄游通道及“三场</w:t>
            </w:r>
            <w:r>
              <w:rPr>
                <w:rFonts w:hint="eastAsia"/>
                <w:lang w:val="en-US" w:eastAsia="zh-CN"/>
              </w:rPr>
              <w:t>一通道</w:t>
            </w:r>
            <w:r>
              <w:rPr>
                <w:rFonts w:hint="eastAsia"/>
              </w:rPr>
              <w:t>”等重要生态环境。因此不会对周边环境造成大的影响，从环境角度可行。</w:t>
            </w:r>
          </w:p>
          <w:p w14:paraId="66CAB430">
            <w:pPr>
              <w:ind w:firstLine="0" w:firstLineChars="0"/>
              <w:rPr>
                <w:b/>
                <w:bCs/>
              </w:rPr>
            </w:pPr>
            <w:r>
              <w:rPr>
                <w:rFonts w:hint="eastAsia"/>
                <w:b/>
                <w:bCs/>
              </w:rPr>
              <w:t>二、临时工程选址合理性分析</w:t>
            </w:r>
          </w:p>
          <w:p w14:paraId="096F83BC">
            <w:pPr>
              <w:ind w:firstLine="480"/>
            </w:pPr>
            <w:r>
              <w:rPr>
                <w:rFonts w:hint="eastAsia"/>
              </w:rPr>
              <w:t>本项目不设置混凝土拌合站、渣场、取土场和设备维修站，设备维修利用周边解决。本项目不设置施工营地，施工人员办公及住宿在周边租赁民房；施工人员就餐可在周边自行解决或是集中配餐的方式解决。为了便于施工，本项目在施工期设置施工便道、施工场地、表土堆场。</w:t>
            </w:r>
          </w:p>
          <w:p w14:paraId="161D8529">
            <w:pPr>
              <w:ind w:firstLine="480"/>
            </w:pPr>
            <w:r>
              <w:rPr>
                <w:rFonts w:hint="eastAsia"/>
              </w:rPr>
              <w:t>（1）施工便道</w:t>
            </w:r>
          </w:p>
          <w:p w14:paraId="058A42C6">
            <w:pPr>
              <w:ind w:firstLine="480"/>
            </w:pPr>
            <w:r>
              <w:rPr>
                <w:rFonts w:hint="eastAsia"/>
              </w:rPr>
              <w:t>根据施工图设计，工程位于巴州区城区，沿线城市道路发达，项目紧邻巴玉路，周边有晏阳初大道、秦巴大道等城市道路，交通便利，能满足项目交通运输条件，位链接施工场地、项目位于控流导流设施工程旁设置了两条施工便道，一处位于河道右侧（1#便道），长50m，一处位于河道左侧（2#便道），长21m。</w:t>
            </w:r>
          </w:p>
          <w:p w14:paraId="24306758">
            <w:pPr>
              <w:ind w:firstLine="480"/>
            </w:pPr>
            <w:r>
              <w:rPr>
                <w:rFonts w:hint="eastAsia"/>
              </w:rPr>
              <w:t>施工便道不涉及永久基本农田、生态红线等环境敏感点，周边环境保护目标主要为周边住户，主要功能为连接工程区和现有道路，布置合理。</w:t>
            </w:r>
          </w:p>
          <w:p w14:paraId="6FF96465">
            <w:pPr>
              <w:ind w:firstLine="480"/>
            </w:pPr>
            <w:r>
              <w:rPr>
                <w:rFonts w:hint="eastAsia"/>
              </w:rPr>
              <w:t>（2）施工场地</w:t>
            </w:r>
          </w:p>
          <w:p w14:paraId="4D8D7731">
            <w:pPr>
              <w:ind w:firstLine="480"/>
            </w:pPr>
            <w:r>
              <w:rPr>
                <w:rFonts w:hint="eastAsia"/>
              </w:rPr>
              <w:t>本项目共设置1处施工</w:t>
            </w:r>
            <w:r>
              <w:rPr>
                <w:rFonts w:hint="eastAsia"/>
                <w:lang w:val="en-US" w:eastAsia="zh-CN"/>
              </w:rPr>
              <w:t>工区</w:t>
            </w:r>
            <w:r>
              <w:rPr>
                <w:rFonts w:hint="eastAsia"/>
              </w:rPr>
              <w:t>，位于控流导流设施左岸，主要用于主要用于工程物资临时堆放和加工以及施工机械设备的临时停放，占地面积0.07hm</w:t>
            </w:r>
            <w:r>
              <w:rPr>
                <w:rFonts w:hint="eastAsia"/>
                <w:vertAlign w:val="superscript"/>
              </w:rPr>
              <w:t>2</w:t>
            </w:r>
            <w:r>
              <w:rPr>
                <w:rFonts w:hint="eastAsia"/>
              </w:rPr>
              <w:t>。</w:t>
            </w:r>
          </w:p>
          <w:p w14:paraId="4722806C">
            <w:pPr>
              <w:ind w:firstLine="480"/>
            </w:pPr>
            <w:r>
              <w:rPr>
                <w:rFonts w:hint="eastAsia"/>
              </w:rPr>
              <w:t>施工场地占地类型现状为水利设施用地，周边200m范围内有居民。施场地工不涉及永久基本农田、生态红线等环境敏感点，施工场地地势较平坦，位于控流导流设施工程区，能较好的满足工程施工，布置合理。</w:t>
            </w:r>
          </w:p>
          <w:p w14:paraId="11A57F1C">
            <w:pPr>
              <w:ind w:firstLine="480"/>
            </w:pPr>
            <w:r>
              <w:rPr>
                <w:rFonts w:hint="eastAsia"/>
              </w:rPr>
              <w:t>综上，本项目临时工程选址合理。</w:t>
            </w:r>
          </w:p>
          <w:p w14:paraId="150A20C7">
            <w:pPr>
              <w:ind w:firstLine="480"/>
            </w:pPr>
          </w:p>
          <w:p w14:paraId="40983055">
            <w:pPr>
              <w:ind w:firstLine="480"/>
            </w:pPr>
          </w:p>
          <w:p w14:paraId="29831601">
            <w:pPr>
              <w:ind w:firstLine="480"/>
            </w:pPr>
          </w:p>
          <w:p w14:paraId="24EFF823">
            <w:pPr>
              <w:ind w:firstLine="480"/>
            </w:pPr>
          </w:p>
          <w:p w14:paraId="250F0D0A">
            <w:pPr>
              <w:ind w:firstLine="480"/>
            </w:pPr>
          </w:p>
          <w:p w14:paraId="4D74068F">
            <w:pPr>
              <w:ind w:firstLine="480"/>
            </w:pPr>
          </w:p>
          <w:p w14:paraId="772C7230">
            <w:pPr>
              <w:ind w:firstLine="480"/>
            </w:pPr>
          </w:p>
          <w:p w14:paraId="7F259E42">
            <w:pPr>
              <w:ind w:firstLine="480"/>
            </w:pPr>
          </w:p>
          <w:p w14:paraId="61354FDF">
            <w:pPr>
              <w:ind w:firstLine="480"/>
            </w:pPr>
          </w:p>
          <w:p w14:paraId="55460EA1">
            <w:pPr>
              <w:ind w:firstLine="480"/>
            </w:pPr>
          </w:p>
          <w:p w14:paraId="7BAC108C">
            <w:pPr>
              <w:ind w:firstLine="480"/>
            </w:pPr>
          </w:p>
          <w:p w14:paraId="1303D7CD">
            <w:pPr>
              <w:ind w:firstLine="480"/>
            </w:pPr>
          </w:p>
          <w:p w14:paraId="157AA094">
            <w:pPr>
              <w:ind w:firstLine="480"/>
            </w:pPr>
          </w:p>
          <w:p w14:paraId="1C6EFDB9">
            <w:pPr>
              <w:ind w:firstLine="480"/>
            </w:pPr>
          </w:p>
          <w:p w14:paraId="69085F45">
            <w:pPr>
              <w:ind w:firstLine="480"/>
            </w:pPr>
          </w:p>
          <w:p w14:paraId="013BDBB2">
            <w:pPr>
              <w:ind w:firstLine="480"/>
            </w:pPr>
          </w:p>
          <w:p w14:paraId="7067F847">
            <w:pPr>
              <w:ind w:firstLine="480"/>
            </w:pPr>
          </w:p>
          <w:p w14:paraId="4268D75E">
            <w:pPr>
              <w:ind w:firstLine="480"/>
            </w:pPr>
          </w:p>
          <w:p w14:paraId="311B90F6">
            <w:pPr>
              <w:ind w:firstLine="480"/>
            </w:pPr>
          </w:p>
          <w:p w14:paraId="09DC9161">
            <w:pPr>
              <w:ind w:firstLine="480"/>
            </w:pPr>
          </w:p>
          <w:p w14:paraId="019D9C44">
            <w:pPr>
              <w:ind w:firstLine="480"/>
            </w:pPr>
          </w:p>
          <w:p w14:paraId="4E87E3BF">
            <w:pPr>
              <w:ind w:firstLine="480"/>
            </w:pPr>
          </w:p>
          <w:p w14:paraId="19CDEC21">
            <w:pPr>
              <w:ind w:left="0" w:leftChars="0" w:firstLine="0" w:firstLineChars="0"/>
            </w:pPr>
          </w:p>
          <w:p w14:paraId="69D3EB30">
            <w:pPr>
              <w:ind w:left="0" w:leftChars="0" w:firstLine="0" w:firstLineChars="0"/>
            </w:pPr>
          </w:p>
        </w:tc>
      </w:tr>
    </w:tbl>
    <w:p w14:paraId="6C4EF982">
      <w:pPr>
        <w:ind w:firstLine="480"/>
        <w:sectPr>
          <w:pgSz w:w="11906" w:h="16838"/>
          <w:pgMar w:top="1800" w:right="1440" w:bottom="1800" w:left="1440" w:header="851" w:footer="992" w:gutter="0"/>
          <w:cols w:space="0" w:num="1"/>
          <w:docGrid w:type="lines" w:linePitch="312" w:charSpace="0"/>
        </w:sectPr>
      </w:pPr>
    </w:p>
    <w:p w14:paraId="2CC6F3A2">
      <w:pPr>
        <w:pStyle w:val="16"/>
        <w:spacing w:before="0" w:beforeAutospacing="0" w:after="0" w:afterAutospacing="0"/>
        <w:ind w:firstLine="600"/>
        <w:jc w:val="center"/>
        <w:outlineLvl w:val="0"/>
        <w:rPr>
          <w:rFonts w:ascii="黑体" w:hAnsi="黑体" w:eastAsia="黑体"/>
          <w:snapToGrid w:val="0"/>
          <w:sz w:val="30"/>
          <w:szCs w:val="30"/>
        </w:rPr>
      </w:pPr>
      <w:bookmarkStart w:id="7" w:name="_Toc6177"/>
      <w:r>
        <w:rPr>
          <w:rFonts w:hint="eastAsia" w:ascii="黑体" w:hAnsi="黑体" w:eastAsia="黑体"/>
          <w:snapToGrid w:val="0"/>
          <w:sz w:val="30"/>
          <w:szCs w:val="30"/>
        </w:rPr>
        <w:t>五、主要生态环境保护措施</w:t>
      </w:r>
      <w:bookmarkEnd w:id="7"/>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
        <w:gridCol w:w="8771"/>
      </w:tblGrid>
      <w:tr w14:paraId="51657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 w:type="dxa"/>
            <w:vAlign w:val="center"/>
          </w:tcPr>
          <w:p w14:paraId="677D6032">
            <w:pPr>
              <w:spacing w:line="240" w:lineRule="auto"/>
              <w:ind w:firstLine="0" w:firstLineChars="0"/>
              <w:jc w:val="center"/>
            </w:pPr>
            <w:r>
              <w:rPr>
                <w:rFonts w:hint="eastAsia"/>
              </w:rPr>
              <w:t>施工期主要生态环境保护措施</w:t>
            </w:r>
          </w:p>
        </w:tc>
        <w:tc>
          <w:tcPr>
            <w:tcW w:w="8771" w:type="dxa"/>
          </w:tcPr>
          <w:p w14:paraId="4FE04FE8">
            <w:pPr>
              <w:ind w:firstLine="0" w:firstLineChars="0"/>
              <w:rPr>
                <w:b/>
                <w:bCs/>
              </w:rPr>
            </w:pPr>
            <w:r>
              <w:rPr>
                <w:rFonts w:hint="eastAsia"/>
                <w:b/>
                <w:bCs/>
              </w:rPr>
              <w:t>一、生态环境保护措施</w:t>
            </w:r>
          </w:p>
          <w:p w14:paraId="6B6646C7">
            <w:pPr>
              <w:ind w:firstLine="482"/>
            </w:pPr>
            <w:r>
              <w:rPr>
                <w:rFonts w:hint="eastAsia"/>
                <w:b/>
                <w:bCs/>
              </w:rPr>
              <w:t>1、工程占地及工程建设生态环境保护措施</w:t>
            </w:r>
          </w:p>
          <w:p w14:paraId="4DB635C8">
            <w:pPr>
              <w:ind w:firstLine="480"/>
            </w:pPr>
            <w:r>
              <w:rPr>
                <w:rFonts w:hint="eastAsia"/>
              </w:rPr>
              <w:t>根据工程布置及施工布置特点，应采取以下保护措施：</w:t>
            </w:r>
          </w:p>
          <w:p w14:paraId="623A0C4D">
            <w:pPr>
              <w:ind w:firstLine="480"/>
            </w:pPr>
            <w:r>
              <w:rPr>
                <w:rFonts w:hint="eastAsia"/>
              </w:rPr>
              <w:t>（1）施工前，先进行表土剥离，本项目表土采用“分层剥离、分层堆放、分层回填 ”的措施，以利于土壤保护及植被恢复，表土堆高不超过3m，堆存期间采取临时遮盖、临时排水、临时拦挡等措施进行防护，施工后表土反序回填，促使自然植被恢复。植被恢复时应在“适地适树、适地适草”的原则下，选择当地优良乡土草、树种进行植被恢复。</w:t>
            </w:r>
          </w:p>
          <w:p w14:paraId="67F6CD39">
            <w:pPr>
              <w:ind w:firstLine="480"/>
            </w:pPr>
            <w:r>
              <w:rPr>
                <w:rFonts w:hint="eastAsia"/>
              </w:rPr>
              <w:t>（2）合理安排施工时间，选择非汛期施工并尽量避开雨天施工，避免降雨冲刷，减少水土流失；优化施工方案，尽量缩短涉水作业时间。河道疏浚施工必须结合该河道功能并严格按照生态设计的疏浚深度实施。</w:t>
            </w:r>
          </w:p>
          <w:p w14:paraId="022BE917">
            <w:pPr>
              <w:ind w:firstLine="480"/>
            </w:pPr>
            <w:r>
              <w:rPr>
                <w:rFonts w:hint="eastAsia"/>
              </w:rPr>
              <w:t>（3）本项目占地类型为耕地、建设用地、其他用地、水域及水利设施用地，不涉及永久基本农田和公益林。施工前对占用林地和耕地表土进行剥离，后用于回覆，回覆厚度保证耕地耕作层厚度在60cm以上，林地土层厚度30cm以上。</w:t>
            </w:r>
          </w:p>
          <w:p w14:paraId="6999C19D">
            <w:pPr>
              <w:ind w:firstLine="480"/>
            </w:pPr>
            <w:r>
              <w:rPr>
                <w:rFonts w:hint="eastAsia"/>
              </w:rPr>
              <w:t>（4）施工期间对现有水体施工时，需做好河道防护，设置围挡，防止挖方及建材进入河道。</w:t>
            </w:r>
          </w:p>
          <w:p w14:paraId="4AA58EF6">
            <w:pPr>
              <w:ind w:firstLine="480"/>
            </w:pPr>
            <w:r>
              <w:rPr>
                <w:rFonts w:hint="eastAsia"/>
              </w:rPr>
              <w:t>（5）施工作业带位于河道红线范围内以及临时占地内， 以压占为主，施工完成后开展绿化工程恢复绿植。</w:t>
            </w:r>
          </w:p>
          <w:p w14:paraId="4C6A4590">
            <w:pPr>
              <w:ind w:firstLine="480"/>
            </w:pPr>
            <w:r>
              <w:rPr>
                <w:rFonts w:hint="eastAsia"/>
              </w:rPr>
              <w:t>（6）严格控制施工范围，合理规划施工布置，尽量减少施工占地面积和扰动范围；施工期间加强管理，在工程施工区设置警示牌，严禁施工人员、施工车辆和机械等在非施工区域活动或停放；开挖裸露面采用防雨布临时遮盖，防止雨水冲刷产生水土流失；施工结束后建设单位应及时进行迹地恢复。</w:t>
            </w:r>
          </w:p>
          <w:p w14:paraId="23FB891E">
            <w:pPr>
              <w:ind w:firstLine="480"/>
            </w:pPr>
            <w:r>
              <w:rPr>
                <w:rFonts w:hint="eastAsia"/>
              </w:rPr>
              <w:t>在认真落实好本报告提出的生态保护措施后，项目工程占地及工程建设造成的植被破坏、水土流失影响能够降到最低。</w:t>
            </w:r>
          </w:p>
          <w:p w14:paraId="03C81BA5">
            <w:pPr>
              <w:ind w:firstLine="482"/>
            </w:pPr>
            <w:r>
              <w:rPr>
                <w:rFonts w:hint="eastAsia"/>
                <w:b/>
                <w:bCs/>
              </w:rPr>
              <w:t>2、对陆生生态的保护措施</w:t>
            </w:r>
          </w:p>
          <w:p w14:paraId="2ED930F4">
            <w:pPr>
              <w:ind w:firstLine="480"/>
            </w:pPr>
            <w:r>
              <w:rPr>
                <w:rFonts w:hint="eastAsia"/>
              </w:rPr>
              <w:t>（1）确定最小施工范围，划定施工红线</w:t>
            </w:r>
          </w:p>
          <w:p w14:paraId="5D37DA54">
            <w:pPr>
              <w:ind w:firstLine="480"/>
            </w:pPr>
            <w:r>
              <w:rPr>
                <w:rFonts w:hint="eastAsia"/>
              </w:rPr>
              <w:t>项目施工红线以工程设计的最小占地范围为基准，尽量降低对项目区域陆生生态环境的影响。施工前做好划线勘查工作，划定施工红线；合理进行施工布局及施工安排，严格控制工程动土范围、严禁越界施工。</w:t>
            </w:r>
          </w:p>
          <w:p w14:paraId="42BFB29D">
            <w:pPr>
              <w:ind w:firstLine="480"/>
            </w:pPr>
            <w:r>
              <w:rPr>
                <w:rFonts w:hint="eastAsia"/>
              </w:rPr>
              <w:t>（2）临时占地迹地恢复</w:t>
            </w:r>
          </w:p>
          <w:p w14:paraId="4F3412AB">
            <w:pPr>
              <w:ind w:firstLine="480"/>
            </w:pPr>
            <w:r>
              <w:rPr>
                <w:rFonts w:hint="eastAsia"/>
              </w:rPr>
              <w:t>场地平整期间地表植被及其附着土壤剥离并妥善管理，在施工结束后，对临时工程全面拆除，及时恢复，根据各处原有植被状况和植物立地条件等具体情况予以及时恢复。植物种类应选择与周围环境相适应的当地常见植物，避免生物入侵。</w:t>
            </w:r>
          </w:p>
          <w:p w14:paraId="1BBCF799">
            <w:pPr>
              <w:ind w:firstLine="480"/>
            </w:pPr>
            <w:r>
              <w:rPr>
                <w:rFonts w:hint="eastAsia"/>
              </w:rPr>
              <w:t>（3）小型啮齿动物</w:t>
            </w:r>
          </w:p>
          <w:p w14:paraId="3B737B61">
            <w:pPr>
              <w:ind w:firstLine="480"/>
            </w:pPr>
            <w:r>
              <w:rPr>
                <w:rFonts w:hint="eastAsia"/>
              </w:rPr>
              <w:t>加大施工人员监管力度，防止捕食动物。对工程建设开挖、 占压和扰动的地表，以及损坏植被，采取针对性的环境保护措施，尽快恢复植被，减少水土流失，促进小型动物栖息地生态环境恢复。</w:t>
            </w:r>
          </w:p>
          <w:p w14:paraId="58510710">
            <w:pPr>
              <w:ind w:firstLine="480"/>
            </w:pPr>
            <w:r>
              <w:rPr>
                <w:rFonts w:hint="eastAsia"/>
              </w:rPr>
              <w:t>（4）鸟类</w:t>
            </w:r>
          </w:p>
          <w:p w14:paraId="3788CDF3">
            <w:pPr>
              <w:ind w:firstLine="480"/>
            </w:pPr>
            <w:r>
              <w:rPr>
                <w:rFonts w:hint="eastAsia"/>
              </w:rPr>
              <w:t>项目施工会驱赶鸟类离开施工区域， 由于鸟类有较强扩散能力，工程完工后鸟类会随着生态环境的改善逐渐迁回。为保护当地鸟类生物多样性，保护对策如下：减少施工对植被的破坏，保护鸟类生境；施工结束后加强植树造林，促进河道周边和其他植物群落的发展，使施工区域鸟类的种群数量得到恢复；另外，加强施工人员保护鸟类的宣传教育，严禁捡拾鸟蛋、捉幼鸟、掏鸟巢或下套捕捉等行为。</w:t>
            </w:r>
          </w:p>
          <w:p w14:paraId="1651B4A7">
            <w:pPr>
              <w:ind w:firstLine="480"/>
            </w:pPr>
            <w:r>
              <w:rPr>
                <w:rFonts w:hint="eastAsia"/>
              </w:rPr>
              <w:t>（5）植被</w:t>
            </w:r>
          </w:p>
          <w:p w14:paraId="578C282F">
            <w:pPr>
              <w:ind w:firstLine="480"/>
            </w:pPr>
            <w:r>
              <w:rPr>
                <w:rFonts w:hint="eastAsia"/>
              </w:rPr>
              <w:t>施工期间可能对附近的植被破坏较严重，需提前做好必要的植物防护措施。场地平整期间地表植被及其附着土壤剥离并妥善管理，待施工结束后用于植被恢复和构建。</w:t>
            </w:r>
          </w:p>
          <w:p w14:paraId="36EE71C9">
            <w:pPr>
              <w:ind w:firstLine="482"/>
            </w:pPr>
            <w:r>
              <w:rPr>
                <w:rFonts w:hint="eastAsia"/>
                <w:b/>
                <w:bCs/>
              </w:rPr>
              <w:t>3、对水生生态的保护措施</w:t>
            </w:r>
          </w:p>
          <w:p w14:paraId="748FF645">
            <w:pPr>
              <w:ind w:firstLine="480"/>
            </w:pPr>
            <w:r>
              <w:rPr>
                <w:rFonts w:hint="eastAsia"/>
              </w:rPr>
              <w:t>（1）避让措施</w:t>
            </w:r>
          </w:p>
          <w:p w14:paraId="51E7B57E">
            <w:pPr>
              <w:ind w:firstLine="480"/>
            </w:pPr>
            <w:r>
              <w:rPr>
                <w:rFonts w:hint="eastAsia"/>
              </w:rPr>
              <w:t>施工前采取驱鱼措施，最大限度的保护鱼类资源不受</w:t>
            </w:r>
            <w:r>
              <w:rPr>
                <w:rFonts w:hint="eastAsia"/>
                <w:lang w:val="en-US" w:eastAsia="zh-CN"/>
              </w:rPr>
              <w:t>工程建设</w:t>
            </w:r>
            <w:r>
              <w:rPr>
                <w:rFonts w:hint="eastAsia"/>
              </w:rPr>
              <w:t>的破坏。涉水施工需尽量避开产粘沉卵鱼类的主要繁殖时间。</w:t>
            </w:r>
          </w:p>
          <w:p w14:paraId="412A8980">
            <w:pPr>
              <w:ind w:firstLine="480"/>
            </w:pPr>
            <w:r>
              <w:rPr>
                <w:rFonts w:hint="eastAsia"/>
              </w:rPr>
              <w:t>①底栖生境保护措施</w:t>
            </w:r>
          </w:p>
          <w:p w14:paraId="17E9CE77">
            <w:pPr>
              <w:ind w:firstLine="480"/>
            </w:pPr>
            <w:r>
              <w:rPr>
                <w:rFonts w:hint="eastAsia"/>
              </w:rPr>
              <w:t>仅对闸室、翼墙、护岸坡脚基础局部开挖底泥，严格划定基坑开挖边界，不额外扰动河道主槽及滩涂原生河床，减少对底栖生物栖息基底的大面积破坏；基础开挖采用小型低扰动设备，减缓作业产生的泥沙扩散。</w:t>
            </w:r>
          </w:p>
          <w:p w14:paraId="7FA27255">
            <w:pPr>
              <w:ind w:firstLine="480"/>
            </w:pPr>
            <w:r>
              <w:rPr>
                <w:rFonts w:hint="eastAsia"/>
              </w:rPr>
              <w:t>施工完成后对基坑开挖区域重塑河床底质，恢复与原生河道接近的泥沙、卵石分层结构；投放生态石、水生植被基底，营造底栖生物附着、觅食环境，修复受损底栖栖息地。</w:t>
            </w:r>
          </w:p>
          <w:p w14:paraId="1609358C">
            <w:pPr>
              <w:ind w:firstLine="480"/>
            </w:pPr>
            <w:r>
              <w:rPr>
                <w:rFonts w:hint="eastAsia"/>
              </w:rPr>
              <w:t>②水生植物补偿</w:t>
            </w:r>
          </w:p>
          <w:p w14:paraId="7A57E956">
            <w:pPr>
              <w:ind w:firstLine="480"/>
            </w:pPr>
            <w:r>
              <w:rPr>
                <w:rFonts w:hint="eastAsia"/>
              </w:rPr>
              <w:t>对施工导致水生植物损失的区域，采取水生植物补偿措施。在水生植物恢复时，需选择适合当地的本地种植物，还需考虑水流的扰动、当地土壤底质、不同种类植被的特性、种植密度、种植宽度、本地植物重建等因素。</w:t>
            </w:r>
          </w:p>
          <w:p w14:paraId="199F9243">
            <w:pPr>
              <w:ind w:firstLine="480"/>
            </w:pPr>
            <w:r>
              <w:rPr>
                <w:rFonts w:hint="eastAsia"/>
              </w:rPr>
              <w:t>同时，建设单位做到：①优化施工方案，加强科学管理，在保证施工质量的前提下尽量缩短施工周期，降低工程施工过程对河道生态环境的影响；②施工过程中确保现状河道水质和导流管水质，落实水土流失防治措施，施工废水、施工固废禁止入河，落实污染控制措施以达到保护河道水质和水生生态环境的目的；③施工中应加强管理，禁止捕捞当地鱼类，施工完成后必要时采用生态修复技术恢复河道内水生植被和底栖生物生态系统。</w:t>
            </w:r>
          </w:p>
          <w:p w14:paraId="19BADE4C">
            <w:pPr>
              <w:ind w:firstLine="480"/>
            </w:pPr>
            <w:r>
              <w:rPr>
                <w:rFonts w:hint="eastAsia"/>
              </w:rPr>
              <w:t>在认真落实好本报告提出的生态保护措施后，项目工程建设造成的水生生态系统影响能够降到最低。</w:t>
            </w:r>
          </w:p>
          <w:p w14:paraId="30EEC7CD">
            <w:pPr>
              <w:ind w:firstLine="482"/>
              <w:rPr>
                <w:b/>
                <w:bCs/>
              </w:rPr>
            </w:pPr>
            <w:r>
              <w:rPr>
                <w:rFonts w:hint="eastAsia"/>
                <w:b/>
                <w:bCs/>
              </w:rPr>
              <w:t>4、水土流失防治措施</w:t>
            </w:r>
          </w:p>
          <w:p w14:paraId="5373D42B">
            <w:pPr>
              <w:ind w:firstLine="480"/>
            </w:pPr>
            <w:r>
              <w:rPr>
                <w:rFonts w:hint="eastAsia"/>
              </w:rPr>
              <w:t>施工过程中的水土流失防治措施包括：</w:t>
            </w:r>
          </w:p>
          <w:p w14:paraId="1D9F6784">
            <w:pPr>
              <w:ind w:firstLine="480"/>
            </w:pPr>
            <w:r>
              <w:rPr>
                <w:rFonts w:hint="eastAsia"/>
              </w:rPr>
              <w:t>（1）运输工程中的散落物要及时处理。</w:t>
            </w:r>
          </w:p>
          <w:p w14:paraId="0752EA07">
            <w:pPr>
              <w:ind w:firstLine="480"/>
            </w:pPr>
            <w:r>
              <w:rPr>
                <w:rFonts w:hint="eastAsia"/>
              </w:rPr>
              <w:t>（2）项目表土清理、开挖作业、土方回填尽量避免在多雨季节进行施工，防止形成二次水土流失；</w:t>
            </w:r>
          </w:p>
          <w:p w14:paraId="12E8D56E">
            <w:pPr>
              <w:ind w:firstLine="480"/>
            </w:pPr>
            <w:r>
              <w:rPr>
                <w:rFonts w:hint="eastAsia"/>
              </w:rPr>
              <w:t>（3）基础开挖的裸露面采取防尘遮盖等措施，尽量缩短暴露时间，减少水土流失。</w:t>
            </w:r>
          </w:p>
          <w:p w14:paraId="095089FF">
            <w:pPr>
              <w:ind w:firstLine="480"/>
            </w:pPr>
            <w:r>
              <w:rPr>
                <w:rFonts w:hint="eastAsia"/>
              </w:rPr>
              <w:t>（4）施工现场应设置专门的雨水导流渠，将雨水引导到雨水沉淀池沉淀后用于施工区洒水降尘，防止因雨水冲刷造成水土流失。</w:t>
            </w:r>
          </w:p>
          <w:p w14:paraId="71CAB57B">
            <w:pPr>
              <w:ind w:firstLine="480"/>
            </w:pPr>
            <w:r>
              <w:rPr>
                <w:rFonts w:hint="eastAsia"/>
              </w:rPr>
              <w:t>（5）做好挖填土方的合理调配工作，避免在降雨期间挖填土方，以防雨水冲刷造成水土流失、污染水体、堵塞排水管道。</w:t>
            </w:r>
          </w:p>
          <w:p w14:paraId="08A11238">
            <w:pPr>
              <w:ind w:firstLine="480"/>
            </w:pPr>
            <w:r>
              <w:rPr>
                <w:rFonts w:hint="eastAsia"/>
              </w:rPr>
              <w:t>施工期结束后的生态恢复措施：</w:t>
            </w:r>
          </w:p>
          <w:p w14:paraId="26449C6D">
            <w:pPr>
              <w:ind w:firstLine="480"/>
            </w:pPr>
            <w:r>
              <w:rPr>
                <w:rFonts w:hint="eastAsia"/>
              </w:rPr>
              <w:t>（1）清理施工场地及周边废料，恢复破坏的少量绿化植被，与后期规划的绿化工程协调进行，对损坏的树木植被进行养护修复。</w:t>
            </w:r>
          </w:p>
          <w:p w14:paraId="3131D046">
            <w:pPr>
              <w:ind w:firstLine="480"/>
            </w:pPr>
            <w:r>
              <w:rPr>
                <w:rFonts w:hint="eastAsia"/>
              </w:rPr>
              <w:t>（2）清理材料堆场及施工废料，搬出设备和设施，恢复原貌景观。</w:t>
            </w:r>
          </w:p>
          <w:p w14:paraId="5F0FDCA1">
            <w:pPr>
              <w:ind w:firstLine="480"/>
            </w:pPr>
            <w:r>
              <w:rPr>
                <w:rFonts w:hint="eastAsia"/>
              </w:rPr>
              <w:t>（3）对项目覆土区临时进行植被恢复，种植普通草本植物，采用本地植物防止外来入侵物种。</w:t>
            </w:r>
          </w:p>
          <w:p w14:paraId="7E8FE619">
            <w:pPr>
              <w:ind w:firstLine="480"/>
            </w:pPr>
            <w:r>
              <w:rPr>
                <w:rFonts w:hint="eastAsia"/>
              </w:rPr>
              <w:t>（4）施工完成后对施工场地内的污染物进行全面清理，临时设施及时拆除并对场地进行生态恢复。</w:t>
            </w:r>
          </w:p>
          <w:p w14:paraId="717B5693">
            <w:pPr>
              <w:ind w:firstLine="480"/>
            </w:pPr>
            <w:r>
              <w:rPr>
                <w:rFonts w:hint="eastAsia"/>
              </w:rPr>
              <w:t>在认真落实好本报告提出的生态环境影响治理措施后，项目建设造成的生态影响和水土流失影响能够降到最低。</w:t>
            </w:r>
          </w:p>
          <w:p w14:paraId="23B52B3B">
            <w:pPr>
              <w:ind w:firstLine="482"/>
            </w:pPr>
            <w:r>
              <w:rPr>
                <w:rFonts w:hint="eastAsia"/>
                <w:b/>
                <w:bCs/>
              </w:rPr>
              <w:t>临时工程迹地恢复措施</w:t>
            </w:r>
          </w:p>
          <w:p w14:paraId="78484A93">
            <w:pPr>
              <w:ind w:firstLine="480"/>
            </w:pPr>
            <w:r>
              <w:rPr>
                <w:rFonts w:hint="eastAsia"/>
              </w:rPr>
              <w:t>在施工期结束后，拆除施工场地，对施工临时建筑物及废弃杂物及时清理，整治施工开挖裸露面，应将原剥离表土进行回填，并在回填表土上进行绿化植物种草。对永久占地进行景观绿化，绿化选用当地种植，然后实现植被的自然恢复。植物措施施工要选择雨季或雨季即将来临之前进行， 以防恶劣天气造成不必要的损失。草籽播撒前，在种草的区域铺填一定厚度的表土。土地平整应按迹地恢复或草籽撒播要求对地形进行整理，注意将埋在土壤内的杂物等清除，同时考虑草地的排水状况，过干过湿均不利于草本植物的生长。</w:t>
            </w:r>
          </w:p>
          <w:p w14:paraId="0861E8EF">
            <w:pPr>
              <w:ind w:firstLine="480"/>
            </w:pPr>
            <w:r>
              <w:rPr>
                <w:rFonts w:hint="eastAsia"/>
              </w:rPr>
              <w:t>环评要求：凡因项目施工破坏植被而裸露的影响范围内的土地应在施工结束后立即整治利用，恢复植被，且合理选择植被类型，严禁引入外来物种，采取上述措施后影响较小。</w:t>
            </w:r>
          </w:p>
          <w:p w14:paraId="2F31D24C">
            <w:pPr>
              <w:ind w:firstLine="0" w:firstLineChars="0"/>
              <w:rPr>
                <w:b/>
                <w:bCs/>
              </w:rPr>
            </w:pPr>
            <w:r>
              <w:rPr>
                <w:rFonts w:hint="eastAsia"/>
                <w:b/>
                <w:bCs/>
              </w:rPr>
              <w:t>二、施工期大气环境保护措施</w:t>
            </w:r>
          </w:p>
          <w:p w14:paraId="255D6D4D">
            <w:pPr>
              <w:ind w:firstLine="480"/>
            </w:pPr>
            <w:r>
              <w:rPr>
                <w:rFonts w:hint="eastAsia"/>
              </w:rPr>
              <w:t>本项目施工期主要的大气污染物为施工扬尘、机械废气等。</w:t>
            </w:r>
          </w:p>
          <w:p w14:paraId="0C36E596">
            <w:pPr>
              <w:ind w:firstLine="480"/>
            </w:pPr>
            <w:r>
              <w:rPr>
                <w:rFonts w:hint="eastAsia"/>
              </w:rPr>
              <w:t>（1）施工扬尘</w:t>
            </w:r>
          </w:p>
          <w:p w14:paraId="31127154">
            <w:pPr>
              <w:ind w:firstLine="480"/>
            </w:pPr>
            <w:r>
              <w:rPr>
                <w:rFonts w:hint="eastAsia"/>
              </w:rPr>
              <w:t>1）设置封闭围挡和洒水降尘系统，且项目段全封闭施工 作业。</w:t>
            </w:r>
          </w:p>
          <w:p w14:paraId="2B926215">
            <w:pPr>
              <w:ind w:firstLine="480"/>
            </w:pPr>
            <w:r>
              <w:rPr>
                <w:rFonts w:hint="eastAsia"/>
              </w:rPr>
              <w:t>2）施工原材料场地堆放整齐，容易产生粉尘的物料在临时存放时采取 防风遮盖措施，本项目覆盖了防尘网。</w:t>
            </w:r>
          </w:p>
          <w:p w14:paraId="29C98CCF">
            <w:pPr>
              <w:ind w:firstLine="480"/>
            </w:pPr>
            <w:r>
              <w:rPr>
                <w:rFonts w:hint="eastAsia"/>
              </w:rPr>
              <w:t>3）施工工序产生的少量建筑渣土及时清运到指定场所，避免造成二次 起尘；施工严格按照正规操作规程进行操作，严禁乱抛、乱卸。</w:t>
            </w:r>
          </w:p>
          <w:p w14:paraId="342B981F">
            <w:pPr>
              <w:ind w:firstLine="480"/>
            </w:pPr>
            <w:r>
              <w:rPr>
                <w:rFonts w:hint="eastAsia"/>
              </w:rPr>
              <w:t>4）施工单位施工期间定期对作业区地面进行了洒水，并对撒落在路面 的渣土及时清除，清理阶段做到先洒水后清扫。</w:t>
            </w:r>
          </w:p>
          <w:p w14:paraId="0777BC93">
            <w:pPr>
              <w:ind w:firstLine="480"/>
            </w:pPr>
            <w:r>
              <w:rPr>
                <w:rFonts w:hint="eastAsia"/>
              </w:rPr>
              <w:t>5）建筑渣土运输车辆采取覆盖上路，以防尘布覆盖，防止了建筑垃圾 的清运对沿途大气环境产生污染。</w:t>
            </w:r>
          </w:p>
          <w:p w14:paraId="178A08AE">
            <w:pPr>
              <w:ind w:firstLine="480"/>
            </w:pPr>
            <w:r>
              <w:rPr>
                <w:rFonts w:hint="eastAsia"/>
              </w:rPr>
              <w:t>6）从工地卸料后对车辆进行冲洗，保持外观清洁，严禁带泥上路、杜绝“跑、冒、滴、漏”现象的发生。严格实施密闭运输，车辆冲洗。</w:t>
            </w:r>
          </w:p>
          <w:p w14:paraId="315A720B">
            <w:pPr>
              <w:ind w:firstLine="480"/>
            </w:pPr>
            <w:r>
              <w:rPr>
                <w:rFonts w:hint="eastAsia"/>
              </w:rPr>
              <w:t>（2）施工机械及运输车辆排放尾气</w:t>
            </w:r>
          </w:p>
          <w:p w14:paraId="15C0FDEA">
            <w:pPr>
              <w:ind w:firstLine="480"/>
            </w:pPr>
            <w:r>
              <w:rPr>
                <w:rFonts w:hint="eastAsia"/>
              </w:rPr>
              <w:t>施工期施工单位在运输原材料、施工设备以及施工机械设备在运行过程中均会排放一定量的CO、NOx以及未完全燃烧的THC等，其特点是排放量小，属间断性排放。加之本项目施工场地开阔，扩散条件良好，因此施工机械废气可实现达标排放。施工单位在施工期内安排专人注意加强施工机械维护，确保机械设备正常运行。</w:t>
            </w:r>
          </w:p>
          <w:p w14:paraId="27D9AADD">
            <w:pPr>
              <w:ind w:firstLine="480"/>
            </w:pPr>
            <w:r>
              <w:rPr>
                <w:rFonts w:hint="eastAsia"/>
              </w:rPr>
              <w:t>治理措施：</w:t>
            </w:r>
          </w:p>
          <w:p w14:paraId="647CA43E">
            <w:pPr>
              <w:ind w:firstLine="480"/>
            </w:pPr>
            <w:r>
              <w:rPr>
                <w:rFonts w:hint="eastAsia"/>
              </w:rPr>
              <w:t>①选用先进的施工机械，减少油耗和燃油废气污染；</w:t>
            </w:r>
          </w:p>
          <w:p w14:paraId="1CB5D510">
            <w:pPr>
              <w:ind w:firstLine="480"/>
            </w:pPr>
            <w:r>
              <w:rPr>
                <w:rFonts w:hint="eastAsia"/>
              </w:rPr>
              <w:t>②尽量使用电气化设备，少使用燃油设备；</w:t>
            </w:r>
          </w:p>
          <w:p w14:paraId="06BB87EE">
            <w:pPr>
              <w:ind w:firstLine="480"/>
            </w:pPr>
            <w:r>
              <w:rPr>
                <w:rFonts w:hint="eastAsia"/>
              </w:rPr>
              <w:t>③做好设备的维修和养护工作，使机械设备处于良好的工作状态，减少油耗，同时降低污染；</w:t>
            </w:r>
          </w:p>
          <w:p w14:paraId="635A6304">
            <w:pPr>
              <w:ind w:firstLine="480"/>
            </w:pPr>
            <w:r>
              <w:rPr>
                <w:rFonts w:hint="eastAsia"/>
              </w:rPr>
              <w:t>④使用节能低耗的运输车辆，减少汽车尾气的产生量，另外对车辆定期检修可减少汽车尾气排放；</w:t>
            </w:r>
          </w:p>
          <w:p w14:paraId="1D957B14">
            <w:pPr>
              <w:ind w:firstLine="480"/>
            </w:pPr>
            <w:r>
              <w:rPr>
                <w:rFonts w:hint="eastAsia"/>
              </w:rPr>
              <w:t>⑤合理施工布局，将燃油设备工作场所移至当地常年主导风下风向和场地开阔的地方，以利于污染物的扩散；</w:t>
            </w:r>
          </w:p>
          <w:p w14:paraId="0A9F73F4">
            <w:pPr>
              <w:ind w:firstLine="480"/>
            </w:pPr>
            <w:r>
              <w:rPr>
                <w:rFonts w:hint="eastAsia"/>
              </w:rPr>
              <w:t>⑥合理安排材料运输时段，减少交通拥挤和堵塞概率，降低汽车尾气对环境产生的污染；</w:t>
            </w:r>
          </w:p>
          <w:p w14:paraId="22300845">
            <w:pPr>
              <w:ind w:firstLine="480"/>
            </w:pPr>
            <w:r>
              <w:rPr>
                <w:rFonts w:hint="eastAsia"/>
              </w:rPr>
              <w:t>⑦施工过程中设置施工围挡，同时安装洒水喷头对施工扬尘进行防控。</w:t>
            </w:r>
          </w:p>
          <w:p w14:paraId="27BA147D">
            <w:pPr>
              <w:ind w:firstLine="480"/>
            </w:pPr>
            <w:r>
              <w:rPr>
                <w:rFonts w:hint="eastAsia"/>
              </w:rPr>
              <w:t>综上，项目施工期将会对施工场地周围的环境空气质量造成一定影响，但这些影响随着施工期的结束也会结束。因此，项目施工期不会造成项目所在地环境空气质量明显恶化。</w:t>
            </w:r>
          </w:p>
          <w:p w14:paraId="28B0B596">
            <w:pPr>
              <w:ind w:firstLine="0" w:firstLineChars="0"/>
              <w:rPr>
                <w:b/>
                <w:bCs/>
              </w:rPr>
            </w:pPr>
            <w:r>
              <w:rPr>
                <w:rFonts w:hint="eastAsia"/>
                <w:b/>
                <w:bCs/>
              </w:rPr>
              <w:t>三、施工期水污染防治措施</w:t>
            </w:r>
          </w:p>
          <w:p w14:paraId="1E32FB7C">
            <w:pPr>
              <w:ind w:firstLine="480"/>
            </w:pPr>
            <w:r>
              <w:rPr>
                <w:rFonts w:hint="eastAsia"/>
              </w:rPr>
              <w:t>（1）生活污水</w:t>
            </w:r>
          </w:p>
          <w:p w14:paraId="24E67C2C">
            <w:pPr>
              <w:ind w:firstLine="480"/>
            </w:pPr>
            <w:r>
              <w:rPr>
                <w:rFonts w:hint="eastAsia"/>
              </w:rPr>
              <w:t>施工人员租赁周边居民的房屋进行住宿，施工生活污水依托民房现有设施处置，收集后经市政管网进入城市污水处理厂处理。</w:t>
            </w:r>
          </w:p>
          <w:p w14:paraId="39365956">
            <w:pPr>
              <w:ind w:firstLine="480"/>
            </w:pPr>
            <w:r>
              <w:rPr>
                <w:rFonts w:hint="eastAsia"/>
              </w:rPr>
              <w:t>（2）围堰内废水</w:t>
            </w:r>
          </w:p>
          <w:p w14:paraId="750DF84E">
            <w:pPr>
              <w:ind w:firstLine="480"/>
            </w:pPr>
            <w:r>
              <w:rPr>
                <w:rFonts w:hint="eastAsia"/>
              </w:rPr>
              <w:t>堤防涉水工程首先实施围堰，利用水泵将围堰内水抽至沉淀池，围堰期间围堰内废水包括渗透水、降水等。围堰内废水经沉淀后上清液回用于洒水抑尘、工程养护、车辆冲洗等，多余上清液引至围堰外河道排放。</w:t>
            </w:r>
          </w:p>
          <w:p w14:paraId="33FBADCA">
            <w:pPr>
              <w:ind w:firstLine="480"/>
            </w:pPr>
            <w:r>
              <w:rPr>
                <w:rFonts w:hint="eastAsia"/>
              </w:rPr>
              <w:t>（3）施工废水</w:t>
            </w:r>
          </w:p>
          <w:p w14:paraId="5946F61F">
            <w:pPr>
              <w:ind w:firstLine="480"/>
            </w:pPr>
            <w:r>
              <w:rPr>
                <w:rFonts w:hint="eastAsia"/>
              </w:rPr>
              <w:t>项目施工期生产废水主要是混凝土养护废水、机械清洗废水、车辆冲洗水等，主要含 SS 和石油类等，SS浓度较高。生产废水经隔油沉淀池处理后全部用于车辆冲洗、洒水降尘等，不外排。禁止在河道内洗车。</w:t>
            </w:r>
          </w:p>
          <w:p w14:paraId="125CF801">
            <w:pPr>
              <w:ind w:firstLine="480"/>
            </w:pPr>
            <w:r>
              <w:rPr>
                <w:rFonts w:hint="eastAsia"/>
              </w:rPr>
              <w:t>（4）基坑废水</w:t>
            </w:r>
          </w:p>
          <w:p w14:paraId="13A2F1B1">
            <w:pPr>
              <w:ind w:firstLine="480"/>
            </w:pPr>
            <w:r>
              <w:rPr>
                <w:rFonts w:hint="eastAsia"/>
              </w:rPr>
              <w:t>本项目基坑排水包括初期排水和经常性排水，采用基坑坡脚排水沟汇集+集水坑/排水井抽排的排水工艺：沿基坑坡脚设置排水沟收集渗水，在围堰接头处布设排水井（井底低于沟底2m）集中汇水，通过水泵抽排外运。</w:t>
            </w:r>
          </w:p>
          <w:p w14:paraId="66E84C77">
            <w:pPr>
              <w:ind w:firstLine="480"/>
            </w:pPr>
            <w:r>
              <w:rPr>
                <w:rFonts w:hint="eastAsia"/>
              </w:rPr>
              <w:t>基坑废水经集水井沉淀处理后全部回用于施工场地洒水降尘和工程回用水，严禁直接排入河道。</w:t>
            </w:r>
          </w:p>
          <w:p w14:paraId="78CA715B">
            <w:pPr>
              <w:ind w:firstLine="480"/>
            </w:pPr>
            <w:r>
              <w:rPr>
                <w:rFonts w:hint="eastAsia"/>
              </w:rPr>
              <w:t>综上所述，经采取以上措施后，本项目施工期废水不会对当地地表水环境产生明显不利影响。</w:t>
            </w:r>
          </w:p>
          <w:p w14:paraId="096BA121">
            <w:pPr>
              <w:ind w:firstLine="0" w:firstLineChars="0"/>
              <w:rPr>
                <w:b/>
                <w:bCs/>
              </w:rPr>
            </w:pPr>
            <w:r>
              <w:rPr>
                <w:rFonts w:hint="eastAsia"/>
                <w:b/>
                <w:bCs/>
              </w:rPr>
              <w:t>三、施工期噪声污染防治措施</w:t>
            </w:r>
          </w:p>
          <w:p w14:paraId="01112637">
            <w:pPr>
              <w:ind w:firstLine="480"/>
            </w:pPr>
            <w:r>
              <w:t>工程施工期噪声源主要来自施工机械设备噪声及交通噪声，根据施工期噪声预测结果，结合本工程实际情况，对施工期声环境保护提出以下对策措施：</w:t>
            </w:r>
          </w:p>
          <w:p w14:paraId="09F3BA71">
            <w:pPr>
              <w:ind w:firstLine="480"/>
            </w:pPr>
            <w:r>
              <w:t>（1）建设单位应责成施工单位在施工现场张贴通告和投诉电话，建设单位在接到报案后及时与当地生态环境部门取得联系，以便及时处理各种环境纠纷。</w:t>
            </w:r>
          </w:p>
          <w:p w14:paraId="664425D7">
            <w:pPr>
              <w:ind w:firstLine="480"/>
            </w:pPr>
            <w:r>
              <w:t>（2）施工期的噪声主要来自施工机械和运输车辆。施工过程中，施工单位必须选用符合国家有关标准的施工机具和运输车辆，尽量选用低噪声的施工机械和工艺。振动较大的固定机械设备应加装减振机座，同时加强各类施工设备的维护和保养。</w:t>
            </w:r>
          </w:p>
          <w:p w14:paraId="5F6C9590">
            <w:pPr>
              <w:ind w:firstLine="480"/>
            </w:pPr>
            <w:r>
              <w:t>（3）施工场地总平面布置时，施工场地周围设置围挡，合理选择高噪声机械施工位置，尽可能将高噪声源安排在远离项目周围的环境敏感点，防止噪声扰民现象的发生。</w:t>
            </w:r>
          </w:p>
          <w:p w14:paraId="63B29F69">
            <w:pPr>
              <w:ind w:firstLine="480"/>
            </w:pPr>
            <w:r>
              <w:t>（4）合理设计运输路线和运输方案，协调好施工车辆通行的时间，夜间运输要采取减速缓行、禁止鸣笛等措施。</w:t>
            </w:r>
          </w:p>
          <w:p w14:paraId="569A60C6">
            <w:pPr>
              <w:ind w:firstLine="480"/>
            </w:pPr>
            <w:r>
              <w:t>（5）合理制定施工计划，按劳动卫生标准，控制高噪声机械施工人员的工作时间，对机械操作者及有关人员采取个人防护措施，如戴耳塞、头盔等。</w:t>
            </w:r>
          </w:p>
          <w:p w14:paraId="7B7F7FC4">
            <w:pPr>
              <w:ind w:firstLine="480"/>
            </w:pPr>
            <w:r>
              <w:t>（6）根据《建筑施工噪声排放标准》（GB12523-20</w:t>
            </w:r>
            <w:r>
              <w:rPr>
                <w:rFonts w:hint="eastAsia"/>
              </w:rPr>
              <w:t>25</w:t>
            </w:r>
            <w:r>
              <w:t>）的规定，合理安排施工时间，夜间不施工，执行建筑施工噪声申报登记制度，在开工15日前填写《建筑施工场地噪声管理审批表》，向当地行政主管部门申报，并于施工前两天公告。</w:t>
            </w:r>
          </w:p>
          <w:p w14:paraId="65557B5C">
            <w:pPr>
              <w:ind w:firstLine="480"/>
            </w:pPr>
            <w:r>
              <w:t>项目施工阶段采取以上噪声防治措施后，场界噪声可达到《建筑施工噪声排放标准》（GB12523-2011）规定的限值，实现达标排放，对周围环境的影响甚微。由于项目施工噪声是短期污染行为，随着施工活动结束，其施工噪声也随之消失，不会对周围环境敏感点造成较大影响。</w:t>
            </w:r>
          </w:p>
          <w:p w14:paraId="1B6A6DB0">
            <w:pPr>
              <w:ind w:firstLine="0" w:firstLineChars="0"/>
              <w:rPr>
                <w:b/>
                <w:bCs/>
              </w:rPr>
            </w:pPr>
            <w:r>
              <w:rPr>
                <w:rFonts w:hint="eastAsia"/>
                <w:b/>
                <w:bCs/>
              </w:rPr>
              <w:t>四、施工期固体废物污染防治措施</w:t>
            </w:r>
          </w:p>
          <w:p w14:paraId="5CFEB6AD">
            <w:pPr>
              <w:ind w:firstLine="480"/>
            </w:pPr>
            <w:r>
              <w:t>施工期固废主要来自施工产生的建筑废料、施工队伍生活产生的生活垃圾、隔油池油污和沉淀池沉渣。固体废弃物是沿着项目特点呈线性分布的，若堆放、处置不当，堆置过久覆盖灰尘后遇风还将产生扬尘对附近居民造成影响。</w:t>
            </w:r>
          </w:p>
          <w:p w14:paraId="32B2FE77">
            <w:pPr>
              <w:ind w:firstLine="480"/>
            </w:pPr>
            <w:r>
              <w:t>（1）建筑废料</w:t>
            </w:r>
          </w:p>
          <w:p w14:paraId="17D8D920">
            <w:pPr>
              <w:ind w:firstLine="480"/>
            </w:pPr>
            <w:r>
              <w:t>建筑垃圾来源于项目建设过程中产生的水泥袋、铁质弃料、木材弃料等，这部分废弃物尽量回收利用或资源化利用。根据《中华人民共和国固体废物污染环境防治法》相关规定：</w:t>
            </w:r>
            <w:r>
              <w:rPr>
                <w:rFonts w:hint="eastAsia"/>
              </w:rPr>
              <w:t>“</w:t>
            </w:r>
            <w:r>
              <w:t>施工现场应设置临时建筑废物堆放场并进行防渗漏、密闭处理</w:t>
            </w:r>
            <w:r>
              <w:rPr>
                <w:rFonts w:hint="eastAsia"/>
              </w:rPr>
              <w:t>”</w:t>
            </w:r>
            <w:r>
              <w:t>，本项目拟将建筑垃圾堆放于施工场地内，除部分用于回收，其余部分及时清运到建筑垃圾场处理。为确保建筑垃圾处置措施落实，建设单位或施工总承包单位在与建筑垃圾清运公司签订清运合同时，应要求承包公司提供车辆运输时间、运输线路及废弃物去向的证明材料，严禁随意倾倒。</w:t>
            </w:r>
          </w:p>
          <w:p w14:paraId="750E5572">
            <w:pPr>
              <w:ind w:firstLine="480"/>
            </w:pPr>
            <w:r>
              <w:t>（</w:t>
            </w:r>
            <w:r>
              <w:rPr>
                <w:rFonts w:hint="eastAsia"/>
              </w:rPr>
              <w:t>2</w:t>
            </w:r>
            <w:r>
              <w:t>）施工人员生活垃圾</w:t>
            </w:r>
          </w:p>
          <w:p w14:paraId="41F0F8CA">
            <w:pPr>
              <w:ind w:firstLine="480"/>
            </w:pPr>
            <w:r>
              <w:t>生活垃圾袋装收集后由市政环卫部门统一清运。</w:t>
            </w:r>
          </w:p>
          <w:p w14:paraId="54853952">
            <w:pPr>
              <w:ind w:firstLine="480"/>
            </w:pPr>
            <w:r>
              <w:t>（</w:t>
            </w:r>
            <w:r>
              <w:rPr>
                <w:rFonts w:hint="eastAsia"/>
              </w:rPr>
              <w:t>3</w:t>
            </w:r>
            <w:r>
              <w:t>）隔油沉淀池浮油、沉渣</w:t>
            </w:r>
          </w:p>
          <w:p w14:paraId="15F4D3C3">
            <w:pPr>
              <w:ind w:firstLine="480"/>
            </w:pPr>
            <w:r>
              <w:t>交由有资质处置单位定期进行清掏、转运处置。</w:t>
            </w:r>
          </w:p>
          <w:p w14:paraId="6C6C9290">
            <w:pPr>
              <w:ind w:firstLine="0" w:firstLineChars="0"/>
              <w:rPr>
                <w:b/>
                <w:bCs/>
              </w:rPr>
            </w:pPr>
            <w:r>
              <w:rPr>
                <w:rFonts w:hint="eastAsia"/>
                <w:b/>
                <w:bCs/>
              </w:rPr>
              <w:t>五、社会环境影响减缓措施</w:t>
            </w:r>
          </w:p>
          <w:p w14:paraId="1C3F9D65">
            <w:pPr>
              <w:ind w:firstLine="480"/>
            </w:pPr>
            <w:r>
              <w:rPr>
                <w:rFonts w:hint="eastAsia"/>
              </w:rPr>
              <w:t>（1）</w:t>
            </w:r>
            <w:r>
              <w:t>在项目周边布设宣传专栏进行宣传，设立告示牌，在与既有道路的平交口做好施工期间的交通疏导和运输安全工作，减少对既有道路的交通运输工作影响。</w:t>
            </w:r>
          </w:p>
          <w:p w14:paraId="4F85E190">
            <w:pPr>
              <w:ind w:firstLine="480"/>
            </w:pPr>
            <w:r>
              <w:rPr>
                <w:rFonts w:hint="eastAsia"/>
              </w:rPr>
              <w:t>（2）</w:t>
            </w:r>
            <w:r>
              <w:t>施工现场的入口设置广告牌，写明工程承包商、施工监理单位以及当地生态环境局的热线电话号码和联系人姓名，以便群众受到施工带来的噪声、大气污染、交通以及其他不利影响时与有关部门进行联系并得到解决。</w:t>
            </w:r>
          </w:p>
          <w:p w14:paraId="5E2B4227">
            <w:pPr>
              <w:ind w:firstLine="480"/>
            </w:pPr>
            <w:r>
              <w:rPr>
                <w:rFonts w:hint="eastAsia"/>
              </w:rPr>
              <w:t>（3）</w:t>
            </w:r>
            <w:r>
              <w:t>对施工车辆车速进行严格管理，避免事故发生。</w:t>
            </w:r>
          </w:p>
          <w:p w14:paraId="3C95C123">
            <w:pPr>
              <w:ind w:firstLine="480"/>
            </w:pPr>
            <w:r>
              <w:rPr>
                <w:rFonts w:hint="eastAsia"/>
              </w:rPr>
              <w:t>（4）</w:t>
            </w:r>
            <w:r>
              <w:t>在夜间应尽量不进行施工或安排低噪声施工作业，强噪声的施工机械在夜间（22：00－6：00）应停止施工，施工场地外围设围栏等措施。</w:t>
            </w:r>
          </w:p>
          <w:p w14:paraId="581F35ED">
            <w:pPr>
              <w:ind w:firstLine="480"/>
            </w:pPr>
            <w:r>
              <w:rPr>
                <w:rFonts w:hint="eastAsia"/>
              </w:rPr>
              <w:t>（5）</w:t>
            </w:r>
            <w:r>
              <w:t>加强与当地交通管理部门的合作，对运输路线进行合理规划，施工运输应尽量减少从居民区附近经过。</w:t>
            </w:r>
          </w:p>
          <w:p w14:paraId="4064B99D">
            <w:pPr>
              <w:ind w:firstLine="0" w:firstLineChars="0"/>
              <w:rPr>
                <w:b/>
                <w:bCs/>
              </w:rPr>
            </w:pPr>
            <w:r>
              <w:rPr>
                <w:rFonts w:hint="eastAsia"/>
                <w:b/>
                <w:bCs/>
              </w:rPr>
              <w:t>六、环境风险防范措施</w:t>
            </w:r>
          </w:p>
          <w:p w14:paraId="733180D1">
            <w:pPr>
              <w:ind w:firstLine="480"/>
            </w:pPr>
            <w:r>
              <w:t>工程施工过程中可能存在的危险、有害因素主要包括：建筑物布置及自然条件可能对安全卫生产生的影响、开挖边坡失稳、沉降、环境水腐蚀、物体打击、机械伤害、车辆伤害、作业环境不良等因素。主要风险在于施工期突发事故污染水体水质风险、河道边坡开挖塌方、施工期施工人员人身安全、施工设备机油泄漏等风险。</w:t>
            </w:r>
          </w:p>
          <w:p w14:paraId="4D27C863">
            <w:pPr>
              <w:ind w:firstLine="480"/>
            </w:pPr>
            <w:r>
              <w:rPr>
                <w:rFonts w:hint="eastAsia"/>
              </w:rPr>
              <w:t>（1）施工过程中，加强对设备的检修，定期对施工设备进行维护，防止设备漏油的情况产生。施工单位应备有浮子式围油栏、无纺布聚丙烯吸油毡、收油机、浓缩型溢油分散剂等，一旦发生油品泄漏事故，首先立即切断泄漏源，并及时布设围油栏防治溢油扩散，并尽可能地利用吸油材料等将油收回。对于逸散到水面的油，使用收油机或其他吸油材料回收溢油，残余溢油尽量回收，无法回收的采用喷洒装置喷洒消油剂去除，处置过程中产生的废油、含油废水委托有资质的单位进行处置。</w:t>
            </w:r>
          </w:p>
          <w:p w14:paraId="0A3F5E8D">
            <w:pPr>
              <w:ind w:firstLine="480"/>
            </w:pPr>
            <w:r>
              <w:rPr>
                <w:rFonts w:hint="eastAsia"/>
              </w:rPr>
              <w:t>（2）政府有关部门水利管理机构应加强对项目区的执法力度，彻底清理水体周边污染源，加强监督管理，发现污染源，及时采取相应措施进行处理。</w:t>
            </w:r>
          </w:p>
          <w:p w14:paraId="3C1AFFDE">
            <w:pPr>
              <w:ind w:firstLine="480"/>
            </w:pPr>
            <w:r>
              <w:rPr>
                <w:rFonts w:hint="eastAsia"/>
              </w:rPr>
              <w:t>（3）加强水质安全宣传，防止人为污染水质。</w:t>
            </w:r>
          </w:p>
          <w:p w14:paraId="72D6CDC6">
            <w:pPr>
              <w:ind w:firstLine="480"/>
            </w:pPr>
            <w:r>
              <w:rPr>
                <w:rFonts w:hint="eastAsia"/>
              </w:rPr>
              <w:t>（4）为避免对河道水质产生影响，需按主体工程设计，并在沿线道路与河流交叉路段和桥梁跨越区段设置警示标志，提示车辆减速行驶，严禁超车、超速。严禁居民随意开挖，集中居民点生活污水及生活垃圾禁止随意排放进入河道，影响河道水质。</w:t>
            </w:r>
          </w:p>
          <w:p w14:paraId="35A114E0">
            <w:pPr>
              <w:ind w:firstLine="482"/>
              <w:rPr>
                <w:b/>
                <w:bCs/>
              </w:rPr>
            </w:pPr>
            <w:r>
              <w:rPr>
                <w:rFonts w:hint="eastAsia"/>
                <w:b/>
                <w:bCs/>
              </w:rPr>
              <w:t>应急措施</w:t>
            </w:r>
          </w:p>
          <w:p w14:paraId="7FAA973C">
            <w:pPr>
              <w:ind w:firstLine="480"/>
            </w:pPr>
            <w:r>
              <w:rPr>
                <w:rFonts w:hint="eastAsia"/>
              </w:rPr>
              <w:t>（1）组织体系</w:t>
            </w:r>
          </w:p>
          <w:p w14:paraId="4E78CC09">
            <w:pPr>
              <w:ind w:firstLine="480"/>
            </w:pPr>
            <w:r>
              <w:rPr>
                <w:rFonts w:hint="eastAsia"/>
              </w:rPr>
              <w:t>工程在施工期应成立应急指挥部，明确职责，对事故应急处理工作进行统一指挥和协调，负责制定应急预案的实施方案，在遇到突发性污染事故等情况下及时作出反应；成立应急支持部门，根据事故情况需要，确定应急支持部门的成员和职责分工，如安全监控中心、救援队伍、物资保障中心等。</w:t>
            </w:r>
          </w:p>
          <w:p w14:paraId="0B385D33">
            <w:pPr>
              <w:ind w:firstLine="480"/>
            </w:pPr>
            <w:r>
              <w:rPr>
                <w:rFonts w:hint="eastAsia"/>
              </w:rPr>
              <w:t>（2）通讯联络</w:t>
            </w:r>
          </w:p>
          <w:p w14:paraId="0C5C1E89">
            <w:pPr>
              <w:ind w:firstLine="480"/>
            </w:pPr>
            <w:r>
              <w:rPr>
                <w:rFonts w:hint="eastAsia"/>
              </w:rPr>
              <w:t>建立事故预警系统，及时采集、分析和传递有关的预警信息，做好现场监测和应急处理；建立工程管理机构、社会各救援机构和地方政府之间的通讯网络，保证信息畅通，以提高事故发生时的快速反应能力。</w:t>
            </w:r>
          </w:p>
          <w:p w14:paraId="450C194E">
            <w:pPr>
              <w:ind w:firstLine="480"/>
            </w:pPr>
            <w:r>
              <w:rPr>
                <w:rFonts w:hint="eastAsia"/>
              </w:rPr>
              <w:t>（3）人员救护和事故处理</w:t>
            </w:r>
          </w:p>
          <w:p w14:paraId="7C338D44">
            <w:pPr>
              <w:ind w:firstLine="480"/>
            </w:pPr>
            <w:r>
              <w:rPr>
                <w:rFonts w:hint="eastAsia"/>
              </w:rPr>
              <w:t>在遭遇突发事件时，应急指挥部需要与当地政府有关部门密切合作，第一时间进行应急响应，确定现场指挥、求医救治和现场保护等措施，及时组织力量进行抢救、救护和安全转移。针对重大事故和人员伤亡情况，要做好疏散撤离工作，要安排相关支持部门及时进行物资保障；同时需要加强现场宣传和事故信息发布，保证周边群众的安全和心理需求。</w:t>
            </w:r>
          </w:p>
          <w:p w14:paraId="60BF51ED">
            <w:pPr>
              <w:ind w:firstLine="480"/>
            </w:pPr>
            <w:r>
              <w:rPr>
                <w:rFonts w:hint="eastAsia"/>
              </w:rPr>
              <w:t>（4）安全管理</w:t>
            </w:r>
          </w:p>
          <w:p w14:paraId="26B6E46A">
            <w:pPr>
              <w:ind w:firstLine="480"/>
            </w:pPr>
            <w:r>
              <w:rPr>
                <w:rFonts w:hint="eastAsia"/>
              </w:rPr>
              <w:t>河道管理部门负责做好消防安全工作，做好对火源的控制，负责消防安全教育，组织培训内部消防人员。针对不同类型的突发事件，如突发性污染事故等，需要制定相应的应急演练计划和方案，并确保应急预案的可行性和实际效果。应急演练需要结合实际工程施工情况、临时用地情况，根据突发事件的实际情况进行模拟演练。</w:t>
            </w:r>
          </w:p>
        </w:tc>
      </w:tr>
      <w:tr w14:paraId="7427B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 w:type="dxa"/>
            <w:vAlign w:val="center"/>
          </w:tcPr>
          <w:p w14:paraId="3DC1B623">
            <w:pPr>
              <w:spacing w:line="240" w:lineRule="auto"/>
              <w:ind w:firstLine="0" w:firstLineChars="0"/>
              <w:jc w:val="center"/>
            </w:pPr>
            <w:r>
              <w:rPr>
                <w:rFonts w:hint="eastAsia"/>
              </w:rPr>
              <w:t>运营期生态环境保护措施</w:t>
            </w:r>
          </w:p>
        </w:tc>
        <w:tc>
          <w:tcPr>
            <w:tcW w:w="8771" w:type="dxa"/>
          </w:tcPr>
          <w:p w14:paraId="4B75373A">
            <w:pPr>
              <w:ind w:firstLine="0" w:firstLineChars="0"/>
              <w:rPr>
                <w:b/>
                <w:bCs/>
              </w:rPr>
            </w:pPr>
            <w:r>
              <w:rPr>
                <w:rFonts w:hint="eastAsia"/>
                <w:b/>
                <w:bCs/>
              </w:rPr>
              <w:t>一、运营期生态保护措施</w:t>
            </w:r>
          </w:p>
          <w:p w14:paraId="6AD49617">
            <w:pPr>
              <w:ind w:firstLine="480"/>
            </w:pPr>
            <w:r>
              <w:rPr>
                <w:rFonts w:hint="eastAsia"/>
              </w:rPr>
              <w:t>（1）应按绿化美化设计要求，完成绿化带的绿化美化工作，达到恢复植被、减少水土流失、降低交通噪声和美化环境等目的。绿化植被应选择本地易生耐活树种。</w:t>
            </w:r>
          </w:p>
          <w:p w14:paraId="788EF161">
            <w:pPr>
              <w:ind w:firstLine="480"/>
            </w:pPr>
            <w:r>
              <w:rPr>
                <w:rFonts w:hint="eastAsia"/>
              </w:rPr>
              <w:t>（2）加强对绿化植被生长初期管护工作，确保其成活率，缩短绿化植被恢复时间，尽快对施工导致的评价区植被生物量损失进行补偿。</w:t>
            </w:r>
          </w:p>
          <w:p w14:paraId="1ECF0E5A">
            <w:pPr>
              <w:ind w:firstLine="480"/>
            </w:pPr>
            <w:r>
              <w:rPr>
                <w:rFonts w:hint="eastAsia"/>
              </w:rPr>
              <w:t>（3）运营期应加强沿线行道树管理，及时进行绿化植物的补种、修剪和维护。</w:t>
            </w:r>
          </w:p>
          <w:p w14:paraId="08664CC5">
            <w:pPr>
              <w:ind w:firstLine="480"/>
            </w:pPr>
            <w:r>
              <w:rPr>
                <w:rFonts w:hint="eastAsia"/>
              </w:rPr>
              <w:t>（4）在运营期应重点加强对列入环保部公布入侵性外来物种名录的监控。对于进入占地范围内的外来入侵物种予以清除，并尽量在种子成熟之前清除，清除后需晾干，确保植株死亡。</w:t>
            </w:r>
          </w:p>
          <w:p w14:paraId="579BCC46">
            <w:pPr>
              <w:ind w:firstLine="0" w:firstLineChars="0"/>
              <w:rPr>
                <w:b/>
                <w:bCs/>
              </w:rPr>
            </w:pPr>
            <w:r>
              <w:rPr>
                <w:rFonts w:hint="eastAsia"/>
                <w:b/>
                <w:bCs/>
              </w:rPr>
              <w:t>二、运营期水环境保护措施</w:t>
            </w:r>
          </w:p>
          <w:p w14:paraId="0EF887CD">
            <w:pPr>
              <w:ind w:firstLine="480"/>
            </w:pPr>
            <w:r>
              <w:rPr>
                <w:rFonts w:hint="eastAsia"/>
              </w:rPr>
              <w:t>（1）完善生活污水收集预处理体系，污水统一纳管输送至城市污水处理厂处置，常态化管护管网设施，杜绝污水外泄污染水体。</w:t>
            </w:r>
          </w:p>
          <w:p w14:paraId="6F7E8C4D">
            <w:pPr>
              <w:ind w:firstLine="480"/>
            </w:pPr>
            <w:r>
              <w:rPr>
                <w:rFonts w:hint="eastAsia"/>
              </w:rPr>
              <w:t>（2）配套地表径流截污沉淀设施，管控区域面源污染，减少泥沙、杂物入河。</w:t>
            </w:r>
          </w:p>
          <w:p w14:paraId="64D95517">
            <w:pPr>
              <w:ind w:firstLine="480"/>
            </w:pPr>
            <w:r>
              <w:rPr>
                <w:rFonts w:hint="eastAsia"/>
              </w:rPr>
              <w:t>（3）建立污水运维管理、应急处置及水质监测机制，长效防控水环境风险。</w:t>
            </w:r>
          </w:p>
          <w:p w14:paraId="00A23B96">
            <w:pPr>
              <w:ind w:firstLine="480"/>
            </w:pPr>
            <w:r>
              <w:rPr>
                <w:rFonts w:hint="eastAsia"/>
              </w:rPr>
              <w:t>（4）设置环保宣传标语，开展节水护水宣传引导，提升人员环保意识。</w:t>
            </w:r>
          </w:p>
          <w:p w14:paraId="6AD49001">
            <w:pPr>
              <w:ind w:firstLine="0" w:firstLineChars="0"/>
            </w:pPr>
            <w:r>
              <w:rPr>
                <w:rFonts w:hint="eastAsia"/>
                <w:b/>
                <w:bCs/>
              </w:rPr>
              <w:t>三、运营期大气环境保护措施</w:t>
            </w:r>
          </w:p>
          <w:p w14:paraId="77A55E23">
            <w:pPr>
              <w:ind w:firstLine="480"/>
            </w:pPr>
            <w:r>
              <w:rPr>
                <w:rFonts w:hint="eastAsia"/>
              </w:rPr>
              <w:t>（1）规范广场、剧场临停车辆通行秩序，设置减速标识，减少车辆怠速、低速行驶尾气排放。</w:t>
            </w:r>
          </w:p>
          <w:p w14:paraId="1E196020">
            <w:pPr>
              <w:ind w:firstLine="480"/>
            </w:pPr>
            <w:r>
              <w:rPr>
                <w:rFonts w:hint="eastAsia"/>
              </w:rPr>
              <w:t>（2）沿线种植本土乔灌绿化植被，利用植被吸附、阻滞尾气污染物，弱化废气扩散影响。</w:t>
            </w:r>
          </w:p>
          <w:p w14:paraId="4E896565">
            <w:pPr>
              <w:ind w:firstLine="480"/>
            </w:pPr>
            <w:r>
              <w:rPr>
                <w:rFonts w:hint="eastAsia"/>
              </w:rPr>
              <w:t>（3）设置低碳出行宣传标语，引导游客优先步行、骑行，减少机动车使用频次。</w:t>
            </w:r>
          </w:p>
          <w:p w14:paraId="0803AF42">
            <w:pPr>
              <w:ind w:firstLine="480"/>
            </w:pPr>
            <w:r>
              <w:rPr>
                <w:rFonts w:hint="eastAsia"/>
              </w:rPr>
              <w:t>（4）做好场地常态化保洁，抑制地面扬尘，协同降低区域大气污染物总量。</w:t>
            </w:r>
          </w:p>
          <w:p w14:paraId="1067291B">
            <w:pPr>
              <w:ind w:firstLine="0" w:firstLineChars="0"/>
              <w:rPr>
                <w:b/>
                <w:bCs/>
              </w:rPr>
            </w:pPr>
            <w:r>
              <w:rPr>
                <w:rFonts w:hint="eastAsia"/>
                <w:b/>
                <w:bCs/>
              </w:rPr>
              <w:t>四、运营期声环境保护措施</w:t>
            </w:r>
          </w:p>
          <w:p w14:paraId="60A0B823">
            <w:pPr>
              <w:ind w:firstLine="480"/>
            </w:pPr>
            <w:r>
              <w:rPr>
                <w:rFonts w:hint="eastAsia"/>
              </w:rPr>
              <w:t>本项目运营期游客等活动时会产生一定的噪声，一般情况下，人群活动噪声较小，运营期加强管理，不会对周边环境造成较大影响。</w:t>
            </w:r>
          </w:p>
          <w:p w14:paraId="10C513EC">
            <w:pPr>
              <w:ind w:firstLine="0" w:firstLineChars="0"/>
              <w:rPr>
                <w:b/>
                <w:bCs/>
              </w:rPr>
            </w:pPr>
            <w:r>
              <w:rPr>
                <w:rFonts w:hint="eastAsia"/>
                <w:b/>
                <w:bCs/>
              </w:rPr>
              <w:t>五、运营期固体废物环境保护措施</w:t>
            </w:r>
          </w:p>
          <w:p w14:paraId="739A0C37">
            <w:pPr>
              <w:ind w:firstLine="480"/>
            </w:pPr>
            <w:r>
              <w:rPr>
                <w:rFonts w:hint="eastAsia"/>
              </w:rPr>
              <w:t>本项目运营期的固体废物包括人群活动产生的生活垃圾和植物的枯枝败叶。</w:t>
            </w:r>
          </w:p>
          <w:p w14:paraId="77D37EC2">
            <w:pPr>
              <w:ind w:firstLine="480"/>
            </w:pPr>
            <w:r>
              <w:rPr>
                <w:rFonts w:hint="eastAsia"/>
              </w:rPr>
              <w:t>①生活垃圾</w:t>
            </w:r>
          </w:p>
          <w:p w14:paraId="07B2BE28">
            <w:pPr>
              <w:ind w:firstLine="480"/>
            </w:pPr>
            <w:r>
              <w:rPr>
                <w:rFonts w:hint="eastAsia"/>
              </w:rPr>
              <w:t>项目运行期固体废物主要来自周边居民进入公园休闲产生的如厕纸片（块）、烟蒂、塑料袋等，均为一般生活垃圾，经收集后由环卫部门统一收集集中处理。</w:t>
            </w:r>
          </w:p>
          <w:p w14:paraId="6F35CABD">
            <w:pPr>
              <w:ind w:firstLine="480"/>
            </w:pPr>
            <w:r>
              <w:rPr>
                <w:rFonts w:hint="eastAsia"/>
              </w:rPr>
              <w:t>②植物垃圾</w:t>
            </w:r>
          </w:p>
          <w:p w14:paraId="7DAF9610">
            <w:pPr>
              <w:ind w:firstLine="480"/>
            </w:pPr>
            <w:r>
              <w:rPr>
                <w:rFonts w:hint="eastAsia"/>
              </w:rPr>
              <w:t>植物垃圾按要求堆放在暂存点等待环卫部门清运。</w:t>
            </w:r>
          </w:p>
          <w:p w14:paraId="541CE91C">
            <w:pPr>
              <w:ind w:firstLine="480"/>
            </w:pPr>
            <w:r>
              <w:rPr>
                <w:rFonts w:hint="eastAsia"/>
              </w:rPr>
              <w:t>综上，项目建成产生的污染物均能得到有效地治理，且本项目主要对巴河支流杨家沟河段进行水污染防治及生态修复，属于生态类项目。项目实施后，区域水生态环境将得到明显改善，对提升附近地表水体水质及周围生态环境系统为正效应。</w:t>
            </w:r>
          </w:p>
        </w:tc>
      </w:tr>
      <w:tr w14:paraId="0C99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 w:type="dxa"/>
            <w:vAlign w:val="center"/>
          </w:tcPr>
          <w:p w14:paraId="328D8874">
            <w:pPr>
              <w:spacing w:line="240" w:lineRule="auto"/>
              <w:ind w:firstLine="0" w:firstLineChars="0"/>
              <w:jc w:val="center"/>
            </w:pPr>
            <w:r>
              <w:rPr>
                <w:rFonts w:hint="eastAsia"/>
              </w:rPr>
              <w:t>其他</w:t>
            </w:r>
          </w:p>
        </w:tc>
        <w:tc>
          <w:tcPr>
            <w:tcW w:w="8771" w:type="dxa"/>
          </w:tcPr>
          <w:p w14:paraId="7AB88781">
            <w:pPr>
              <w:ind w:firstLine="0" w:firstLineChars="0"/>
              <w:rPr>
                <w:b/>
                <w:bCs/>
              </w:rPr>
            </w:pPr>
            <w:r>
              <w:rPr>
                <w:rFonts w:hint="eastAsia"/>
                <w:b/>
                <w:bCs/>
              </w:rPr>
              <w:t>一、环境管理</w:t>
            </w:r>
          </w:p>
          <w:p w14:paraId="14335701">
            <w:pPr>
              <w:ind w:firstLine="480"/>
            </w:pPr>
            <w:r>
              <w:rPr>
                <w:rFonts w:hint="eastAsia"/>
              </w:rPr>
              <w:t>（1）环境管理机构</w:t>
            </w:r>
          </w:p>
          <w:p w14:paraId="109D6DA6">
            <w:pPr>
              <w:ind w:firstLine="480"/>
            </w:pPr>
            <w:r>
              <w:rPr>
                <w:rFonts w:hint="eastAsia"/>
              </w:rPr>
              <w:t>建设单位是本项目施工期的环保管理机构，施工期间由建设单位设置环境管理部门，具体负责和落实工程施工全过程的环境保护管理工作。主要工作包括制定环保工作计划、协调相关部门和施工单位做好环境管理工作，配合地方生态环境部门共同做好工程区域的环境保护监督和检查工作。施工单位应严格按照环境保护有关条例规定开展施工活动。</w:t>
            </w:r>
          </w:p>
          <w:p w14:paraId="02843A32">
            <w:pPr>
              <w:ind w:firstLine="480"/>
            </w:pPr>
            <w:r>
              <w:rPr>
                <w:rFonts w:hint="eastAsia"/>
              </w:rPr>
              <w:t>（2）施工期环境管理职责</w:t>
            </w:r>
          </w:p>
          <w:p w14:paraId="25B94F2E">
            <w:pPr>
              <w:ind w:firstLine="480"/>
            </w:pPr>
            <w:r>
              <w:rPr>
                <w:rFonts w:hint="eastAsia"/>
              </w:rPr>
              <w:t>应成立环境保护管理机构，并承担如下环境影响管理责任：</w:t>
            </w:r>
          </w:p>
          <w:p w14:paraId="511F6856">
            <w:pPr>
              <w:ind w:firstLine="480"/>
            </w:pPr>
            <w:r>
              <w:rPr>
                <w:rFonts w:hint="eastAsia"/>
              </w:rPr>
              <w:t>①建设单位应与本项目施工单位协商，将施工期环境保护措施列入合同文本，要求施工单位严格执行，并实行奖惩制度。</w:t>
            </w:r>
          </w:p>
          <w:p w14:paraId="3CF286CE">
            <w:pPr>
              <w:ind w:firstLine="480"/>
            </w:pPr>
            <w:r>
              <w:rPr>
                <w:rFonts w:hint="eastAsia"/>
              </w:rPr>
              <w:t>②施工单位应按照工程合同的要求，并遵照国家和地方政府制定的各项环保法规组织施工，并切实落实本报告建议的各项环境保护措施和对策，真正做到科学文明施工。</w:t>
            </w:r>
          </w:p>
          <w:p w14:paraId="3F2A6554">
            <w:pPr>
              <w:ind w:firstLine="480"/>
            </w:pPr>
            <w:r>
              <w:rPr>
                <w:rFonts w:hint="eastAsia"/>
              </w:rPr>
              <w:t>③委托具有相应资质的监理部门，设专职环境保护监理工程师监督施工单位落实施工期应采取的各项环境保护措施。</w:t>
            </w:r>
          </w:p>
          <w:p w14:paraId="587E0ED9">
            <w:pPr>
              <w:ind w:firstLine="480"/>
            </w:pPr>
            <w:r>
              <w:rPr>
                <w:rFonts w:hint="eastAsia"/>
              </w:rPr>
              <w:t>④施工单位应在各施工场地配备环境管理人员，负责各类污染源现场控制与管理，尤其对高噪声、高振动施工设备应严格控制其施工时间，并采取一定防治措施。</w:t>
            </w:r>
          </w:p>
          <w:p w14:paraId="770C71AC">
            <w:pPr>
              <w:ind w:firstLine="480"/>
            </w:pPr>
            <w:r>
              <w:rPr>
                <w:rFonts w:hint="eastAsia"/>
              </w:rPr>
              <w:t>⑤做好宣传工作。由于技术条件和施工环境的限制，即使采取了污染控制措施施工时带来的环境影响仍是无法避免的，因此要向施工场地周围受影响对象做好宣传工作，以提高人们对不利环境影响的心理承受力，取得理解，克服暂时困难，配合施工单位顺利完成施工任务。</w:t>
            </w:r>
          </w:p>
          <w:p w14:paraId="3371C155">
            <w:pPr>
              <w:ind w:firstLine="480"/>
            </w:pPr>
            <w:r>
              <w:rPr>
                <w:rFonts w:hint="eastAsia"/>
              </w:rPr>
              <w:t>⑥建设施工单位必须主动接受生态环境主管部门的监督指导，主动配合相关部门共同做好本项目施工期环境保护工作。本项目施工期环境管理的主要内容见下表。</w:t>
            </w:r>
          </w:p>
          <w:p w14:paraId="2E129872">
            <w:pPr>
              <w:ind w:firstLine="0" w:firstLineChars="0"/>
              <w:jc w:val="center"/>
              <w:rPr>
                <w:b/>
                <w:bCs/>
                <w:sz w:val="21"/>
                <w:szCs w:val="21"/>
              </w:rPr>
            </w:pPr>
            <w:r>
              <w:rPr>
                <w:rFonts w:hint="eastAsia"/>
                <w:b/>
                <w:bCs/>
                <w:sz w:val="21"/>
                <w:szCs w:val="21"/>
              </w:rPr>
              <w:t>表5-1  施工期环境管理计划一览表</w:t>
            </w:r>
          </w:p>
          <w:tbl>
            <w:tblPr>
              <w:tblStyle w:val="18"/>
              <w:tblW w:w="855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02"/>
              <w:gridCol w:w="6033"/>
              <w:gridCol w:w="1224"/>
            </w:tblGrid>
            <w:tr w14:paraId="6A35D5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02" w:type="dxa"/>
                  <w:tcBorders>
                    <w:tl2br w:val="nil"/>
                    <w:tr2bl w:val="nil"/>
                  </w:tcBorders>
                  <w:vAlign w:val="center"/>
                </w:tcPr>
                <w:p w14:paraId="1A6F1A98">
                  <w:pPr>
                    <w:pStyle w:val="34"/>
                    <w:autoSpaceDE w:val="0"/>
                    <w:autoSpaceDN w:val="0"/>
                    <w:ind w:firstLineChars="0"/>
                    <w:rPr>
                      <w:color w:val="auto"/>
                    </w:rPr>
                  </w:pPr>
                  <w:r>
                    <w:rPr>
                      <w:rFonts w:hint="eastAsia"/>
                      <w:color w:val="auto"/>
                    </w:rPr>
                    <w:t>防治对象</w:t>
                  </w:r>
                </w:p>
              </w:tc>
              <w:tc>
                <w:tcPr>
                  <w:tcW w:w="6033" w:type="dxa"/>
                  <w:tcBorders>
                    <w:tl2br w:val="nil"/>
                    <w:tr2bl w:val="nil"/>
                  </w:tcBorders>
                  <w:vAlign w:val="center"/>
                </w:tcPr>
                <w:p w14:paraId="335BF024">
                  <w:pPr>
                    <w:pStyle w:val="34"/>
                    <w:autoSpaceDE w:val="0"/>
                    <w:autoSpaceDN w:val="0"/>
                    <w:ind w:firstLineChars="0"/>
                    <w:rPr>
                      <w:color w:val="auto"/>
                    </w:rPr>
                  </w:pPr>
                  <w:r>
                    <w:rPr>
                      <w:rFonts w:hint="eastAsia"/>
                      <w:color w:val="auto"/>
                    </w:rPr>
                    <w:t>采取或将采取的行为及管理要点</w:t>
                  </w:r>
                </w:p>
              </w:tc>
              <w:tc>
                <w:tcPr>
                  <w:tcW w:w="1224" w:type="dxa"/>
                  <w:tcBorders>
                    <w:tl2br w:val="nil"/>
                    <w:tr2bl w:val="nil"/>
                  </w:tcBorders>
                  <w:vAlign w:val="center"/>
                </w:tcPr>
                <w:p w14:paraId="69187462">
                  <w:pPr>
                    <w:pStyle w:val="34"/>
                    <w:autoSpaceDE w:val="0"/>
                    <w:autoSpaceDN w:val="0"/>
                    <w:ind w:firstLineChars="0"/>
                    <w:rPr>
                      <w:color w:val="auto"/>
                    </w:rPr>
                  </w:pPr>
                  <w:r>
                    <w:rPr>
                      <w:rFonts w:hint="eastAsia"/>
                      <w:color w:val="auto"/>
                    </w:rPr>
                    <w:t>实施机构</w:t>
                  </w:r>
                </w:p>
              </w:tc>
            </w:tr>
            <w:tr w14:paraId="4E524C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02" w:type="dxa"/>
                  <w:tcBorders>
                    <w:tl2br w:val="nil"/>
                    <w:tr2bl w:val="nil"/>
                  </w:tcBorders>
                  <w:vAlign w:val="center"/>
                </w:tcPr>
                <w:p w14:paraId="2E505468">
                  <w:pPr>
                    <w:pStyle w:val="34"/>
                    <w:autoSpaceDE w:val="0"/>
                    <w:autoSpaceDN w:val="0"/>
                    <w:ind w:firstLineChars="0"/>
                    <w:rPr>
                      <w:color w:val="auto"/>
                    </w:rPr>
                  </w:pPr>
                  <w:r>
                    <w:rPr>
                      <w:rFonts w:hint="eastAsia"/>
                      <w:color w:val="auto"/>
                    </w:rPr>
                    <w:t>施工废水</w:t>
                  </w:r>
                </w:p>
              </w:tc>
              <w:tc>
                <w:tcPr>
                  <w:tcW w:w="6033" w:type="dxa"/>
                  <w:tcBorders>
                    <w:tl2br w:val="nil"/>
                    <w:tr2bl w:val="nil"/>
                  </w:tcBorders>
                  <w:vAlign w:val="center"/>
                </w:tcPr>
                <w:p w14:paraId="5AC2DCFE">
                  <w:pPr>
                    <w:pStyle w:val="34"/>
                    <w:autoSpaceDE w:val="0"/>
                    <w:autoSpaceDN w:val="0"/>
                    <w:ind w:firstLineChars="0"/>
                    <w:rPr>
                      <w:color w:val="auto"/>
                    </w:rPr>
                  </w:pPr>
                  <w:r>
                    <w:rPr>
                      <w:rFonts w:hint="eastAsia"/>
                      <w:color w:val="auto"/>
                    </w:rPr>
                    <w:t>①生活污水：施工营地的生活污水经预处理池处理后，排入市政管网；②基坑排水：经沉淀池处理后回用施工工场、道路洒水降尘，不外排；③施工废水：经隔油沉砂池等处理措施后回用施工工场、道路洒水降尘，不外排。④围堰内废水：经沉淀后上清液回用于洒水抑尘、工程养护、车辆冲洗等，多余上清液引至围堰外河道排放。</w:t>
                  </w:r>
                </w:p>
              </w:tc>
              <w:tc>
                <w:tcPr>
                  <w:tcW w:w="1224" w:type="dxa"/>
                  <w:tcBorders>
                    <w:tl2br w:val="nil"/>
                    <w:tr2bl w:val="nil"/>
                  </w:tcBorders>
                  <w:vAlign w:val="center"/>
                </w:tcPr>
                <w:p w14:paraId="00A4D37F">
                  <w:pPr>
                    <w:pStyle w:val="34"/>
                    <w:autoSpaceDE w:val="0"/>
                    <w:autoSpaceDN w:val="0"/>
                    <w:ind w:firstLineChars="0"/>
                    <w:rPr>
                      <w:color w:val="auto"/>
                    </w:rPr>
                  </w:pPr>
                  <w:r>
                    <w:rPr>
                      <w:rFonts w:hint="eastAsia"/>
                      <w:color w:val="auto"/>
                    </w:rPr>
                    <w:t>施工单位</w:t>
                  </w:r>
                </w:p>
              </w:tc>
            </w:tr>
            <w:tr w14:paraId="6A039D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02" w:type="dxa"/>
                  <w:tcBorders>
                    <w:tl2br w:val="nil"/>
                    <w:tr2bl w:val="nil"/>
                  </w:tcBorders>
                  <w:vAlign w:val="center"/>
                </w:tcPr>
                <w:p w14:paraId="46569879">
                  <w:pPr>
                    <w:pStyle w:val="34"/>
                    <w:autoSpaceDE w:val="0"/>
                    <w:autoSpaceDN w:val="0"/>
                    <w:ind w:firstLineChars="0"/>
                    <w:rPr>
                      <w:color w:val="auto"/>
                    </w:rPr>
                  </w:pPr>
                  <w:r>
                    <w:rPr>
                      <w:rFonts w:hint="eastAsia"/>
                      <w:color w:val="auto"/>
                    </w:rPr>
                    <w:t>施工废气</w:t>
                  </w:r>
                </w:p>
              </w:tc>
              <w:tc>
                <w:tcPr>
                  <w:tcW w:w="6033" w:type="dxa"/>
                  <w:tcBorders>
                    <w:tl2br w:val="nil"/>
                    <w:tr2bl w:val="nil"/>
                  </w:tcBorders>
                  <w:vAlign w:val="center"/>
                </w:tcPr>
                <w:p w14:paraId="0324268A">
                  <w:pPr>
                    <w:pStyle w:val="34"/>
                    <w:autoSpaceDE w:val="0"/>
                    <w:autoSpaceDN w:val="0"/>
                    <w:ind w:firstLineChars="0"/>
                    <w:rPr>
                      <w:color w:val="auto"/>
                    </w:rPr>
                  </w:pPr>
                  <w:r>
                    <w:rPr>
                      <w:rFonts w:hint="eastAsia"/>
                      <w:color w:val="auto"/>
                    </w:rPr>
                    <w:t>严格落实《巴中市扬尘污染防治条例》相关措施</w:t>
                  </w:r>
                </w:p>
              </w:tc>
              <w:tc>
                <w:tcPr>
                  <w:tcW w:w="1224" w:type="dxa"/>
                  <w:tcBorders>
                    <w:tl2br w:val="nil"/>
                    <w:tr2bl w:val="nil"/>
                  </w:tcBorders>
                  <w:vAlign w:val="center"/>
                </w:tcPr>
                <w:p w14:paraId="1CE721AD">
                  <w:pPr>
                    <w:pStyle w:val="34"/>
                    <w:autoSpaceDE w:val="0"/>
                    <w:autoSpaceDN w:val="0"/>
                    <w:ind w:firstLineChars="0"/>
                    <w:rPr>
                      <w:color w:val="auto"/>
                    </w:rPr>
                  </w:pPr>
                  <w:r>
                    <w:rPr>
                      <w:rFonts w:hint="eastAsia"/>
                      <w:color w:val="auto"/>
                    </w:rPr>
                    <w:t>施工单位</w:t>
                  </w:r>
                </w:p>
              </w:tc>
            </w:tr>
            <w:tr w14:paraId="38992A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02" w:type="dxa"/>
                  <w:tcBorders>
                    <w:tl2br w:val="nil"/>
                    <w:tr2bl w:val="nil"/>
                  </w:tcBorders>
                  <w:vAlign w:val="center"/>
                </w:tcPr>
                <w:p w14:paraId="27BA41B3">
                  <w:pPr>
                    <w:pStyle w:val="34"/>
                    <w:autoSpaceDE w:val="0"/>
                    <w:autoSpaceDN w:val="0"/>
                    <w:ind w:firstLineChars="0"/>
                    <w:rPr>
                      <w:color w:val="auto"/>
                    </w:rPr>
                  </w:pPr>
                  <w:r>
                    <w:rPr>
                      <w:rFonts w:hint="eastAsia"/>
                      <w:color w:val="auto"/>
                    </w:rPr>
                    <w:t>施工噪声</w:t>
                  </w:r>
                </w:p>
              </w:tc>
              <w:tc>
                <w:tcPr>
                  <w:tcW w:w="6033" w:type="dxa"/>
                  <w:tcBorders>
                    <w:tl2br w:val="nil"/>
                    <w:tr2bl w:val="nil"/>
                  </w:tcBorders>
                  <w:vAlign w:val="center"/>
                </w:tcPr>
                <w:p w14:paraId="2F773C3B">
                  <w:pPr>
                    <w:pStyle w:val="34"/>
                    <w:autoSpaceDE w:val="0"/>
                    <w:autoSpaceDN w:val="0"/>
                    <w:ind w:firstLineChars="0"/>
                    <w:rPr>
                      <w:color w:val="auto"/>
                    </w:rPr>
                  </w:pPr>
                  <w:r>
                    <w:rPr>
                      <w:rFonts w:hint="eastAsia"/>
                      <w:color w:val="auto"/>
                    </w:rPr>
                    <w:t>①选用低噪声施工设备和技术；②合理安排施工时间，禁止夜间作业；③加强对机械和车辆的维修保养，使它们保持较低的噪声；④合理布局施工现场。</w:t>
                  </w:r>
                </w:p>
              </w:tc>
              <w:tc>
                <w:tcPr>
                  <w:tcW w:w="1224" w:type="dxa"/>
                  <w:tcBorders>
                    <w:tl2br w:val="nil"/>
                    <w:tr2bl w:val="nil"/>
                  </w:tcBorders>
                  <w:vAlign w:val="center"/>
                </w:tcPr>
                <w:p w14:paraId="0C4E72DC">
                  <w:pPr>
                    <w:pStyle w:val="34"/>
                    <w:autoSpaceDE w:val="0"/>
                    <w:autoSpaceDN w:val="0"/>
                    <w:ind w:firstLineChars="0"/>
                    <w:rPr>
                      <w:color w:val="auto"/>
                    </w:rPr>
                  </w:pPr>
                  <w:r>
                    <w:rPr>
                      <w:rFonts w:hint="eastAsia"/>
                      <w:color w:val="auto"/>
                    </w:rPr>
                    <w:t>施工单位</w:t>
                  </w:r>
                </w:p>
              </w:tc>
            </w:tr>
            <w:tr w14:paraId="021302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02" w:type="dxa"/>
                  <w:tcBorders>
                    <w:tl2br w:val="nil"/>
                    <w:tr2bl w:val="nil"/>
                  </w:tcBorders>
                  <w:vAlign w:val="center"/>
                </w:tcPr>
                <w:p w14:paraId="66F01808">
                  <w:pPr>
                    <w:pStyle w:val="34"/>
                    <w:autoSpaceDE w:val="0"/>
                    <w:autoSpaceDN w:val="0"/>
                    <w:ind w:firstLineChars="0"/>
                    <w:rPr>
                      <w:color w:val="auto"/>
                    </w:rPr>
                  </w:pPr>
                  <w:r>
                    <w:rPr>
                      <w:rFonts w:hint="eastAsia"/>
                      <w:color w:val="auto"/>
                    </w:rPr>
                    <w:t>固体废弃物</w:t>
                  </w:r>
                </w:p>
              </w:tc>
              <w:tc>
                <w:tcPr>
                  <w:tcW w:w="6033" w:type="dxa"/>
                  <w:tcBorders>
                    <w:tl2br w:val="nil"/>
                    <w:tr2bl w:val="nil"/>
                  </w:tcBorders>
                  <w:vAlign w:val="center"/>
                </w:tcPr>
                <w:p w14:paraId="23D6D1C9">
                  <w:pPr>
                    <w:pStyle w:val="34"/>
                    <w:autoSpaceDE w:val="0"/>
                    <w:autoSpaceDN w:val="0"/>
                    <w:ind w:firstLineChars="0"/>
                    <w:rPr>
                      <w:color w:val="auto"/>
                    </w:rPr>
                  </w:pPr>
                  <w:r>
                    <w:rPr>
                      <w:rFonts w:hint="eastAsia"/>
                      <w:color w:val="auto"/>
                    </w:rPr>
                    <w:t>①生活垃圾集中收集后委托环卫部门定期清运。②废建筑材料及时清运，不得随意倾倒。③隔油沉淀池浮油、沉渣交由有资质单位处置。</w:t>
                  </w:r>
                </w:p>
              </w:tc>
              <w:tc>
                <w:tcPr>
                  <w:tcW w:w="1224" w:type="dxa"/>
                  <w:tcBorders>
                    <w:tl2br w:val="nil"/>
                    <w:tr2bl w:val="nil"/>
                  </w:tcBorders>
                  <w:vAlign w:val="center"/>
                </w:tcPr>
                <w:p w14:paraId="033ACE8F">
                  <w:pPr>
                    <w:pStyle w:val="34"/>
                    <w:autoSpaceDE w:val="0"/>
                    <w:autoSpaceDN w:val="0"/>
                    <w:ind w:firstLineChars="0"/>
                    <w:rPr>
                      <w:color w:val="auto"/>
                    </w:rPr>
                  </w:pPr>
                  <w:r>
                    <w:rPr>
                      <w:rFonts w:hint="eastAsia"/>
                      <w:color w:val="auto"/>
                    </w:rPr>
                    <w:t>施工单位</w:t>
                  </w:r>
                </w:p>
              </w:tc>
            </w:tr>
          </w:tbl>
          <w:p w14:paraId="4B796EBB">
            <w:pPr>
              <w:ind w:firstLine="480"/>
            </w:pPr>
          </w:p>
        </w:tc>
      </w:tr>
      <w:tr w14:paraId="3E04F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 w:type="dxa"/>
            <w:vAlign w:val="center"/>
          </w:tcPr>
          <w:p w14:paraId="04BEFDB3">
            <w:pPr>
              <w:spacing w:line="240" w:lineRule="auto"/>
              <w:ind w:firstLine="0" w:firstLineChars="0"/>
              <w:jc w:val="center"/>
            </w:pPr>
            <w:r>
              <w:rPr>
                <w:rFonts w:hint="eastAsia"/>
              </w:rPr>
              <w:t>环保投资</w:t>
            </w:r>
          </w:p>
        </w:tc>
        <w:tc>
          <w:tcPr>
            <w:tcW w:w="8771" w:type="dxa"/>
          </w:tcPr>
          <w:p w14:paraId="2E177892">
            <w:pPr>
              <w:ind w:firstLine="480"/>
              <w:rPr>
                <w:color w:val="FF0000"/>
              </w:rPr>
            </w:pPr>
            <w:r>
              <w:rPr>
                <w:rFonts w:hint="eastAsia"/>
              </w:rPr>
              <w:t>本项目总投资9573.82万元，环保投资101万元，占总投资的</w:t>
            </w:r>
            <w:r>
              <w:rPr>
                <w:rFonts w:hint="eastAsia"/>
                <w:lang w:val="en-US" w:eastAsia="zh-CN"/>
              </w:rPr>
              <w:t>1.05</w:t>
            </w:r>
            <w:r>
              <w:rPr>
                <w:rFonts w:hint="eastAsia"/>
              </w:rPr>
              <w:t>%，项目采取的污染物治理措施投入情况见下表。</w:t>
            </w:r>
          </w:p>
          <w:p w14:paraId="557949E3">
            <w:pPr>
              <w:ind w:firstLine="422"/>
              <w:jc w:val="center"/>
              <w:rPr>
                <w:b/>
                <w:bCs/>
                <w:sz w:val="21"/>
                <w:szCs w:val="21"/>
              </w:rPr>
            </w:pPr>
            <w:r>
              <w:rPr>
                <w:rFonts w:hint="eastAsia"/>
                <w:b/>
                <w:bCs/>
                <w:sz w:val="21"/>
                <w:szCs w:val="21"/>
              </w:rPr>
              <w:t>表5-3  环保投资概算一览表</w:t>
            </w:r>
          </w:p>
          <w:tbl>
            <w:tblPr>
              <w:tblStyle w:val="19"/>
              <w:tblW w:w="8555"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2"/>
              <w:gridCol w:w="900"/>
              <w:gridCol w:w="4700"/>
              <w:gridCol w:w="1316"/>
              <w:gridCol w:w="927"/>
            </w:tblGrid>
            <w:tr w14:paraId="1D898E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12" w:type="dxa"/>
                  <w:gridSpan w:val="2"/>
                  <w:tcBorders>
                    <w:tl2br w:val="nil"/>
                    <w:tr2bl w:val="nil"/>
                  </w:tcBorders>
                  <w:vAlign w:val="center"/>
                </w:tcPr>
                <w:p w14:paraId="291462EE">
                  <w:pPr>
                    <w:pStyle w:val="34"/>
                    <w:autoSpaceDE w:val="0"/>
                    <w:autoSpaceDN w:val="0"/>
                    <w:ind w:firstLineChars="0"/>
                    <w:rPr>
                      <w:b/>
                      <w:bCs/>
                      <w:color w:val="auto"/>
                    </w:rPr>
                  </w:pPr>
                  <w:r>
                    <w:rPr>
                      <w:rFonts w:hint="eastAsia"/>
                      <w:b/>
                      <w:bCs/>
                      <w:color w:val="auto"/>
                    </w:rPr>
                    <w:t>项目</w:t>
                  </w:r>
                </w:p>
              </w:tc>
              <w:tc>
                <w:tcPr>
                  <w:tcW w:w="4700" w:type="dxa"/>
                  <w:tcBorders>
                    <w:tl2br w:val="nil"/>
                    <w:tr2bl w:val="nil"/>
                  </w:tcBorders>
                  <w:vAlign w:val="center"/>
                </w:tcPr>
                <w:p w14:paraId="0E2419A8">
                  <w:pPr>
                    <w:pStyle w:val="34"/>
                    <w:autoSpaceDE w:val="0"/>
                    <w:autoSpaceDN w:val="0"/>
                    <w:ind w:firstLineChars="0"/>
                    <w:rPr>
                      <w:b/>
                      <w:bCs/>
                      <w:color w:val="auto"/>
                    </w:rPr>
                  </w:pPr>
                  <w:r>
                    <w:rPr>
                      <w:rFonts w:hint="eastAsia"/>
                      <w:b/>
                      <w:bCs/>
                      <w:color w:val="auto"/>
                    </w:rPr>
                    <w:t>环保措施</w:t>
                  </w:r>
                </w:p>
              </w:tc>
              <w:tc>
                <w:tcPr>
                  <w:tcW w:w="1316" w:type="dxa"/>
                  <w:tcBorders>
                    <w:tl2br w:val="nil"/>
                    <w:tr2bl w:val="nil"/>
                  </w:tcBorders>
                  <w:vAlign w:val="center"/>
                </w:tcPr>
                <w:p w14:paraId="19F909AA">
                  <w:pPr>
                    <w:pStyle w:val="34"/>
                    <w:autoSpaceDE w:val="0"/>
                    <w:autoSpaceDN w:val="0"/>
                    <w:ind w:firstLineChars="0"/>
                    <w:rPr>
                      <w:b/>
                      <w:bCs/>
                      <w:color w:val="auto"/>
                    </w:rPr>
                  </w:pPr>
                  <w:r>
                    <w:rPr>
                      <w:rFonts w:hint="eastAsia"/>
                      <w:b/>
                      <w:bCs/>
                      <w:color w:val="auto"/>
                    </w:rPr>
                    <w:t>投资（万元）</w:t>
                  </w:r>
                </w:p>
              </w:tc>
              <w:tc>
                <w:tcPr>
                  <w:tcW w:w="927" w:type="dxa"/>
                  <w:tcBorders>
                    <w:tl2br w:val="nil"/>
                    <w:tr2bl w:val="nil"/>
                  </w:tcBorders>
                  <w:vAlign w:val="center"/>
                </w:tcPr>
                <w:p w14:paraId="01F48B1D">
                  <w:pPr>
                    <w:pStyle w:val="34"/>
                    <w:autoSpaceDE w:val="0"/>
                    <w:autoSpaceDN w:val="0"/>
                    <w:ind w:firstLineChars="0"/>
                    <w:rPr>
                      <w:b/>
                      <w:bCs/>
                      <w:color w:val="auto"/>
                    </w:rPr>
                  </w:pPr>
                  <w:r>
                    <w:rPr>
                      <w:rFonts w:hint="eastAsia"/>
                      <w:b/>
                      <w:bCs/>
                      <w:color w:val="auto"/>
                    </w:rPr>
                    <w:t>备注</w:t>
                  </w:r>
                </w:p>
              </w:tc>
            </w:tr>
            <w:tr w14:paraId="777499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2" w:type="dxa"/>
                  <w:vMerge w:val="restart"/>
                  <w:tcBorders>
                    <w:tl2br w:val="nil"/>
                    <w:tr2bl w:val="nil"/>
                  </w:tcBorders>
                  <w:vAlign w:val="center"/>
                </w:tcPr>
                <w:p w14:paraId="412DDDB0">
                  <w:pPr>
                    <w:pStyle w:val="34"/>
                    <w:autoSpaceDE w:val="0"/>
                    <w:autoSpaceDN w:val="0"/>
                    <w:ind w:firstLineChars="0"/>
                    <w:rPr>
                      <w:color w:val="auto"/>
                    </w:rPr>
                  </w:pPr>
                  <w:r>
                    <w:rPr>
                      <w:rFonts w:hint="eastAsia"/>
                      <w:color w:val="auto"/>
                    </w:rPr>
                    <w:t>废气治理</w:t>
                  </w:r>
                </w:p>
              </w:tc>
              <w:tc>
                <w:tcPr>
                  <w:tcW w:w="900" w:type="dxa"/>
                  <w:vMerge w:val="restart"/>
                  <w:tcBorders>
                    <w:tl2br w:val="nil"/>
                    <w:tr2bl w:val="nil"/>
                  </w:tcBorders>
                  <w:vAlign w:val="center"/>
                </w:tcPr>
                <w:p w14:paraId="179E7119">
                  <w:pPr>
                    <w:pStyle w:val="34"/>
                    <w:autoSpaceDE w:val="0"/>
                    <w:autoSpaceDN w:val="0"/>
                    <w:ind w:firstLineChars="0"/>
                    <w:rPr>
                      <w:color w:val="auto"/>
                    </w:rPr>
                  </w:pPr>
                  <w:r>
                    <w:rPr>
                      <w:rFonts w:hint="eastAsia"/>
                      <w:color w:val="auto"/>
                    </w:rPr>
                    <w:t>施工期</w:t>
                  </w:r>
                </w:p>
              </w:tc>
              <w:tc>
                <w:tcPr>
                  <w:tcW w:w="4700" w:type="dxa"/>
                  <w:tcBorders>
                    <w:tl2br w:val="nil"/>
                    <w:tr2bl w:val="nil"/>
                  </w:tcBorders>
                  <w:vAlign w:val="center"/>
                </w:tcPr>
                <w:p w14:paraId="34657C7D">
                  <w:pPr>
                    <w:pStyle w:val="34"/>
                    <w:autoSpaceDE w:val="0"/>
                    <w:autoSpaceDN w:val="0"/>
                    <w:ind w:firstLineChars="0"/>
                    <w:rPr>
                      <w:color w:val="auto"/>
                    </w:rPr>
                  </w:pPr>
                  <w:r>
                    <w:rPr>
                      <w:rFonts w:hint="eastAsia"/>
                      <w:color w:val="auto"/>
                    </w:rPr>
                    <w:t>燃油机械运输车辆及施工扬尘：洒水降尘、硬化路面、薄膜覆盖、合理布置施工场地、限速、施工现场管理等措施，配备洒水车1台。道路运输扬尘：凡运送土石方、砂石料等材料的运货车，都应用篷布或塑料布覆盖，或用编织袋分装，或采取密封措施。并配置专人负责临时施工道路的养护、维修和清扫，非雨日洒水降尘，以保持道路清洁、运行状态良好。</w:t>
                  </w:r>
                </w:p>
              </w:tc>
              <w:tc>
                <w:tcPr>
                  <w:tcW w:w="1316" w:type="dxa"/>
                  <w:tcBorders>
                    <w:tl2br w:val="nil"/>
                    <w:tr2bl w:val="nil"/>
                  </w:tcBorders>
                  <w:vAlign w:val="center"/>
                </w:tcPr>
                <w:p w14:paraId="346587ED">
                  <w:pPr>
                    <w:pStyle w:val="34"/>
                    <w:autoSpaceDE w:val="0"/>
                    <w:autoSpaceDN w:val="0"/>
                    <w:ind w:firstLineChars="0"/>
                    <w:rPr>
                      <w:color w:val="auto"/>
                    </w:rPr>
                  </w:pPr>
                  <w:r>
                    <w:rPr>
                      <w:rFonts w:hint="eastAsia"/>
                      <w:color w:val="auto"/>
                    </w:rPr>
                    <w:t>20</w:t>
                  </w:r>
                </w:p>
              </w:tc>
              <w:tc>
                <w:tcPr>
                  <w:tcW w:w="927" w:type="dxa"/>
                  <w:tcBorders>
                    <w:tl2br w:val="nil"/>
                    <w:tr2bl w:val="nil"/>
                  </w:tcBorders>
                  <w:vAlign w:val="center"/>
                </w:tcPr>
                <w:p w14:paraId="361C51A3">
                  <w:pPr>
                    <w:pStyle w:val="34"/>
                    <w:autoSpaceDE w:val="0"/>
                    <w:autoSpaceDN w:val="0"/>
                    <w:ind w:firstLineChars="0"/>
                    <w:rPr>
                      <w:color w:val="auto"/>
                    </w:rPr>
                  </w:pPr>
                </w:p>
              </w:tc>
            </w:tr>
            <w:tr w14:paraId="53DD7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2" w:type="dxa"/>
                  <w:vMerge w:val="continue"/>
                  <w:tcBorders>
                    <w:tl2br w:val="nil"/>
                    <w:tr2bl w:val="nil"/>
                  </w:tcBorders>
                  <w:vAlign w:val="center"/>
                </w:tcPr>
                <w:p w14:paraId="4F217D51">
                  <w:pPr>
                    <w:pStyle w:val="34"/>
                    <w:autoSpaceDE w:val="0"/>
                    <w:autoSpaceDN w:val="0"/>
                    <w:ind w:firstLineChars="0"/>
                    <w:rPr>
                      <w:color w:val="auto"/>
                    </w:rPr>
                  </w:pPr>
                </w:p>
              </w:tc>
              <w:tc>
                <w:tcPr>
                  <w:tcW w:w="900" w:type="dxa"/>
                  <w:vMerge w:val="continue"/>
                  <w:tcBorders>
                    <w:tl2br w:val="nil"/>
                    <w:tr2bl w:val="nil"/>
                  </w:tcBorders>
                  <w:vAlign w:val="center"/>
                </w:tcPr>
                <w:p w14:paraId="52D15960">
                  <w:pPr>
                    <w:pStyle w:val="34"/>
                    <w:autoSpaceDE w:val="0"/>
                    <w:autoSpaceDN w:val="0"/>
                    <w:ind w:firstLineChars="0"/>
                    <w:rPr>
                      <w:color w:val="auto"/>
                    </w:rPr>
                  </w:pPr>
                </w:p>
              </w:tc>
              <w:tc>
                <w:tcPr>
                  <w:tcW w:w="4700" w:type="dxa"/>
                  <w:tcBorders>
                    <w:tl2br w:val="nil"/>
                    <w:tr2bl w:val="nil"/>
                  </w:tcBorders>
                  <w:vAlign w:val="center"/>
                </w:tcPr>
                <w:p w14:paraId="445EA69E">
                  <w:pPr>
                    <w:pStyle w:val="34"/>
                    <w:autoSpaceDE w:val="0"/>
                    <w:autoSpaceDN w:val="0"/>
                    <w:ind w:firstLineChars="0"/>
                    <w:rPr>
                      <w:color w:val="auto"/>
                    </w:rPr>
                  </w:pPr>
                  <w:r>
                    <w:rPr>
                      <w:rFonts w:hint="eastAsia"/>
                      <w:color w:val="auto"/>
                    </w:rPr>
                    <w:t>选用先进的施工机械，减少油耗和燃油废气污染；做好设备的维修和养护工作，使机械设备处于良好的工作状态。</w:t>
                  </w:r>
                </w:p>
              </w:tc>
              <w:tc>
                <w:tcPr>
                  <w:tcW w:w="1316" w:type="dxa"/>
                  <w:tcBorders>
                    <w:tl2br w:val="nil"/>
                    <w:tr2bl w:val="nil"/>
                  </w:tcBorders>
                  <w:vAlign w:val="center"/>
                </w:tcPr>
                <w:p w14:paraId="7E2AE711">
                  <w:pPr>
                    <w:pStyle w:val="34"/>
                    <w:autoSpaceDE w:val="0"/>
                    <w:autoSpaceDN w:val="0"/>
                    <w:ind w:firstLineChars="0"/>
                    <w:rPr>
                      <w:color w:val="auto"/>
                    </w:rPr>
                  </w:pPr>
                  <w:r>
                    <w:rPr>
                      <w:rFonts w:hint="eastAsia"/>
                      <w:color w:val="auto"/>
                    </w:rPr>
                    <w:t>7</w:t>
                  </w:r>
                </w:p>
              </w:tc>
              <w:tc>
                <w:tcPr>
                  <w:tcW w:w="927" w:type="dxa"/>
                  <w:tcBorders>
                    <w:tl2br w:val="nil"/>
                    <w:tr2bl w:val="nil"/>
                  </w:tcBorders>
                  <w:vAlign w:val="center"/>
                </w:tcPr>
                <w:p w14:paraId="4EEF780D">
                  <w:pPr>
                    <w:pStyle w:val="34"/>
                    <w:autoSpaceDE w:val="0"/>
                    <w:autoSpaceDN w:val="0"/>
                    <w:ind w:firstLineChars="0"/>
                    <w:rPr>
                      <w:color w:val="auto"/>
                    </w:rPr>
                  </w:pPr>
                </w:p>
              </w:tc>
            </w:tr>
            <w:tr w14:paraId="19C54BE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2" w:type="dxa"/>
                  <w:vMerge w:val="continue"/>
                  <w:tcBorders>
                    <w:tl2br w:val="nil"/>
                    <w:tr2bl w:val="nil"/>
                  </w:tcBorders>
                  <w:vAlign w:val="center"/>
                </w:tcPr>
                <w:p w14:paraId="71D49E0C">
                  <w:pPr>
                    <w:pStyle w:val="34"/>
                    <w:autoSpaceDE w:val="0"/>
                    <w:autoSpaceDN w:val="0"/>
                    <w:ind w:firstLineChars="0"/>
                    <w:rPr>
                      <w:color w:val="auto"/>
                    </w:rPr>
                  </w:pPr>
                </w:p>
              </w:tc>
              <w:tc>
                <w:tcPr>
                  <w:tcW w:w="900" w:type="dxa"/>
                  <w:tcBorders>
                    <w:tl2br w:val="nil"/>
                    <w:tr2bl w:val="nil"/>
                  </w:tcBorders>
                  <w:vAlign w:val="center"/>
                </w:tcPr>
                <w:p w14:paraId="04C02A53">
                  <w:pPr>
                    <w:pStyle w:val="34"/>
                    <w:autoSpaceDE w:val="0"/>
                    <w:autoSpaceDN w:val="0"/>
                    <w:ind w:firstLineChars="0"/>
                    <w:rPr>
                      <w:color w:val="auto"/>
                    </w:rPr>
                  </w:pPr>
                  <w:r>
                    <w:rPr>
                      <w:rFonts w:hint="eastAsia"/>
                      <w:color w:val="auto"/>
                    </w:rPr>
                    <w:t>运营期</w:t>
                  </w:r>
                </w:p>
              </w:tc>
              <w:tc>
                <w:tcPr>
                  <w:tcW w:w="4700" w:type="dxa"/>
                  <w:tcBorders>
                    <w:tl2br w:val="nil"/>
                    <w:tr2bl w:val="nil"/>
                  </w:tcBorders>
                  <w:vAlign w:val="center"/>
                </w:tcPr>
                <w:p w14:paraId="5B245E49">
                  <w:pPr>
                    <w:pStyle w:val="34"/>
                    <w:autoSpaceDE w:val="0"/>
                    <w:autoSpaceDN w:val="0"/>
                    <w:ind w:firstLineChars="0"/>
                    <w:rPr>
                      <w:color w:val="auto"/>
                    </w:rPr>
                  </w:pPr>
                  <w:r>
                    <w:rPr>
                      <w:color w:val="auto"/>
                    </w:rPr>
                    <w:t>汽车尾气：完善绿化，严格限制车速，加强管理。</w:t>
                  </w:r>
                </w:p>
              </w:tc>
              <w:tc>
                <w:tcPr>
                  <w:tcW w:w="1316" w:type="dxa"/>
                  <w:tcBorders>
                    <w:tl2br w:val="nil"/>
                    <w:tr2bl w:val="nil"/>
                  </w:tcBorders>
                  <w:vAlign w:val="center"/>
                </w:tcPr>
                <w:p w14:paraId="1D41EFD6">
                  <w:pPr>
                    <w:pStyle w:val="34"/>
                    <w:autoSpaceDE w:val="0"/>
                    <w:autoSpaceDN w:val="0"/>
                    <w:ind w:firstLineChars="0"/>
                    <w:rPr>
                      <w:color w:val="auto"/>
                    </w:rPr>
                  </w:pPr>
                  <w:r>
                    <w:rPr>
                      <w:rFonts w:hint="eastAsia"/>
                      <w:color w:val="auto"/>
                    </w:rPr>
                    <w:t>/</w:t>
                  </w:r>
                </w:p>
              </w:tc>
              <w:tc>
                <w:tcPr>
                  <w:tcW w:w="927" w:type="dxa"/>
                  <w:tcBorders>
                    <w:tl2br w:val="nil"/>
                    <w:tr2bl w:val="nil"/>
                  </w:tcBorders>
                  <w:vAlign w:val="center"/>
                </w:tcPr>
                <w:p w14:paraId="059AAC01">
                  <w:pPr>
                    <w:pStyle w:val="34"/>
                    <w:autoSpaceDE w:val="0"/>
                    <w:autoSpaceDN w:val="0"/>
                    <w:ind w:firstLineChars="0"/>
                    <w:rPr>
                      <w:color w:val="auto"/>
                    </w:rPr>
                  </w:pPr>
                  <w:r>
                    <w:rPr>
                      <w:rFonts w:hint="eastAsia"/>
                      <w:color w:val="auto"/>
                    </w:rPr>
                    <w:t>列入工程投资</w:t>
                  </w:r>
                </w:p>
              </w:tc>
            </w:tr>
            <w:tr w14:paraId="00C245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2" w:type="dxa"/>
                  <w:vMerge w:val="restart"/>
                  <w:tcBorders>
                    <w:tl2br w:val="nil"/>
                    <w:tr2bl w:val="nil"/>
                  </w:tcBorders>
                  <w:vAlign w:val="center"/>
                </w:tcPr>
                <w:p w14:paraId="40FC9BFA">
                  <w:pPr>
                    <w:pStyle w:val="34"/>
                    <w:autoSpaceDE w:val="0"/>
                    <w:autoSpaceDN w:val="0"/>
                    <w:ind w:firstLineChars="0"/>
                    <w:rPr>
                      <w:color w:val="auto"/>
                    </w:rPr>
                  </w:pPr>
                  <w:r>
                    <w:rPr>
                      <w:rFonts w:hint="eastAsia"/>
                      <w:color w:val="auto"/>
                    </w:rPr>
                    <w:t>废水治理</w:t>
                  </w:r>
                </w:p>
              </w:tc>
              <w:tc>
                <w:tcPr>
                  <w:tcW w:w="900" w:type="dxa"/>
                  <w:vMerge w:val="restart"/>
                  <w:tcBorders>
                    <w:tl2br w:val="nil"/>
                    <w:tr2bl w:val="nil"/>
                  </w:tcBorders>
                  <w:vAlign w:val="center"/>
                </w:tcPr>
                <w:p w14:paraId="35F8AA3A">
                  <w:pPr>
                    <w:pStyle w:val="34"/>
                    <w:autoSpaceDE w:val="0"/>
                    <w:autoSpaceDN w:val="0"/>
                    <w:ind w:firstLineChars="0"/>
                    <w:rPr>
                      <w:color w:val="auto"/>
                    </w:rPr>
                  </w:pPr>
                  <w:r>
                    <w:rPr>
                      <w:rFonts w:hint="eastAsia"/>
                      <w:color w:val="auto"/>
                    </w:rPr>
                    <w:t>施工期</w:t>
                  </w:r>
                </w:p>
              </w:tc>
              <w:tc>
                <w:tcPr>
                  <w:tcW w:w="4700" w:type="dxa"/>
                  <w:tcBorders>
                    <w:tl2br w:val="nil"/>
                    <w:tr2bl w:val="nil"/>
                  </w:tcBorders>
                  <w:vAlign w:val="center"/>
                </w:tcPr>
                <w:p w14:paraId="1FA735D5">
                  <w:pPr>
                    <w:pStyle w:val="34"/>
                    <w:autoSpaceDE w:val="0"/>
                    <w:autoSpaceDN w:val="0"/>
                    <w:ind w:firstLineChars="0"/>
                    <w:rPr>
                      <w:color w:val="auto"/>
                    </w:rPr>
                  </w:pPr>
                  <w:r>
                    <w:rPr>
                      <w:color w:val="auto"/>
                    </w:rPr>
                    <w:t>生活污水：依托民房已建预处理池处理</w:t>
                  </w:r>
                  <w:r>
                    <w:rPr>
                      <w:rFonts w:hint="eastAsia"/>
                      <w:color w:val="auto"/>
                    </w:rPr>
                    <w:t>经市政管网进入城镇生活污水处理厂处理。</w:t>
                  </w:r>
                </w:p>
              </w:tc>
              <w:tc>
                <w:tcPr>
                  <w:tcW w:w="1316" w:type="dxa"/>
                  <w:tcBorders>
                    <w:tl2br w:val="nil"/>
                    <w:tr2bl w:val="nil"/>
                  </w:tcBorders>
                  <w:vAlign w:val="center"/>
                </w:tcPr>
                <w:p w14:paraId="6CC90025">
                  <w:pPr>
                    <w:pStyle w:val="34"/>
                    <w:autoSpaceDE w:val="0"/>
                    <w:autoSpaceDN w:val="0"/>
                    <w:ind w:firstLineChars="0"/>
                    <w:rPr>
                      <w:color w:val="auto"/>
                    </w:rPr>
                  </w:pPr>
                  <w:r>
                    <w:rPr>
                      <w:rFonts w:hint="eastAsia"/>
                      <w:color w:val="auto"/>
                    </w:rPr>
                    <w:t>/</w:t>
                  </w:r>
                </w:p>
              </w:tc>
              <w:tc>
                <w:tcPr>
                  <w:tcW w:w="927" w:type="dxa"/>
                  <w:tcBorders>
                    <w:tl2br w:val="nil"/>
                    <w:tr2bl w:val="nil"/>
                  </w:tcBorders>
                  <w:vAlign w:val="center"/>
                </w:tcPr>
                <w:p w14:paraId="76178E7D">
                  <w:pPr>
                    <w:pStyle w:val="34"/>
                    <w:autoSpaceDE w:val="0"/>
                    <w:autoSpaceDN w:val="0"/>
                    <w:ind w:firstLineChars="0"/>
                    <w:rPr>
                      <w:color w:val="auto"/>
                    </w:rPr>
                  </w:pPr>
                  <w:r>
                    <w:rPr>
                      <w:rFonts w:hint="eastAsia"/>
                      <w:color w:val="auto"/>
                    </w:rPr>
                    <w:t>/</w:t>
                  </w:r>
                </w:p>
              </w:tc>
            </w:tr>
            <w:tr w14:paraId="6DE12A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2" w:type="dxa"/>
                  <w:vMerge w:val="continue"/>
                  <w:tcBorders>
                    <w:tl2br w:val="nil"/>
                    <w:tr2bl w:val="nil"/>
                  </w:tcBorders>
                  <w:vAlign w:val="center"/>
                </w:tcPr>
                <w:p w14:paraId="37FB9A37">
                  <w:pPr>
                    <w:pStyle w:val="34"/>
                    <w:autoSpaceDE w:val="0"/>
                    <w:autoSpaceDN w:val="0"/>
                    <w:ind w:firstLineChars="0"/>
                    <w:rPr>
                      <w:color w:val="auto"/>
                    </w:rPr>
                  </w:pPr>
                </w:p>
              </w:tc>
              <w:tc>
                <w:tcPr>
                  <w:tcW w:w="900" w:type="dxa"/>
                  <w:vMerge w:val="continue"/>
                  <w:tcBorders>
                    <w:tl2br w:val="nil"/>
                    <w:tr2bl w:val="nil"/>
                  </w:tcBorders>
                  <w:vAlign w:val="center"/>
                </w:tcPr>
                <w:p w14:paraId="4A580F4A">
                  <w:pPr>
                    <w:pStyle w:val="34"/>
                    <w:autoSpaceDE w:val="0"/>
                    <w:autoSpaceDN w:val="0"/>
                    <w:ind w:firstLineChars="0"/>
                    <w:rPr>
                      <w:color w:val="auto"/>
                    </w:rPr>
                  </w:pPr>
                </w:p>
              </w:tc>
              <w:tc>
                <w:tcPr>
                  <w:tcW w:w="4700" w:type="dxa"/>
                  <w:tcBorders>
                    <w:tl2br w:val="nil"/>
                    <w:tr2bl w:val="nil"/>
                  </w:tcBorders>
                  <w:vAlign w:val="center"/>
                </w:tcPr>
                <w:p w14:paraId="2F4F70FC">
                  <w:pPr>
                    <w:pStyle w:val="34"/>
                    <w:autoSpaceDE w:val="0"/>
                    <w:autoSpaceDN w:val="0"/>
                    <w:ind w:firstLineChars="0"/>
                    <w:rPr>
                      <w:color w:val="auto"/>
                    </w:rPr>
                  </w:pPr>
                  <w:r>
                    <w:rPr>
                      <w:rFonts w:hint="eastAsia"/>
                      <w:color w:val="auto"/>
                    </w:rPr>
                    <w:t>围堰内废水：经沉淀后上清液回用于洒水抑尘、工程养护、车辆冲洗等，多余上清液引至围堰外河道排放。</w:t>
                  </w:r>
                </w:p>
              </w:tc>
              <w:tc>
                <w:tcPr>
                  <w:tcW w:w="1316" w:type="dxa"/>
                  <w:vMerge w:val="restart"/>
                  <w:tcBorders>
                    <w:tl2br w:val="nil"/>
                    <w:tr2bl w:val="nil"/>
                  </w:tcBorders>
                  <w:vAlign w:val="center"/>
                </w:tcPr>
                <w:p w14:paraId="15AE4AFE">
                  <w:pPr>
                    <w:pStyle w:val="34"/>
                    <w:autoSpaceDE w:val="0"/>
                    <w:autoSpaceDN w:val="0"/>
                    <w:ind w:firstLineChars="0"/>
                    <w:rPr>
                      <w:color w:val="auto"/>
                    </w:rPr>
                  </w:pPr>
                  <w:r>
                    <w:rPr>
                      <w:rFonts w:hint="eastAsia"/>
                      <w:color w:val="auto"/>
                    </w:rPr>
                    <w:t>30</w:t>
                  </w:r>
                </w:p>
              </w:tc>
              <w:tc>
                <w:tcPr>
                  <w:tcW w:w="927" w:type="dxa"/>
                  <w:tcBorders>
                    <w:tl2br w:val="nil"/>
                    <w:tr2bl w:val="nil"/>
                  </w:tcBorders>
                  <w:vAlign w:val="center"/>
                </w:tcPr>
                <w:p w14:paraId="5A7FA4C6">
                  <w:pPr>
                    <w:pStyle w:val="34"/>
                    <w:autoSpaceDE w:val="0"/>
                    <w:autoSpaceDN w:val="0"/>
                    <w:ind w:firstLineChars="0"/>
                    <w:rPr>
                      <w:color w:val="auto"/>
                    </w:rPr>
                  </w:pPr>
                  <w:r>
                    <w:rPr>
                      <w:rFonts w:hint="eastAsia"/>
                      <w:color w:val="auto"/>
                    </w:rPr>
                    <w:t>/</w:t>
                  </w:r>
                </w:p>
              </w:tc>
            </w:tr>
            <w:tr w14:paraId="7E0F8E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2" w:type="dxa"/>
                  <w:vMerge w:val="continue"/>
                  <w:tcBorders>
                    <w:tl2br w:val="nil"/>
                    <w:tr2bl w:val="nil"/>
                  </w:tcBorders>
                  <w:vAlign w:val="center"/>
                </w:tcPr>
                <w:p w14:paraId="7219100B">
                  <w:pPr>
                    <w:pStyle w:val="34"/>
                    <w:autoSpaceDE w:val="0"/>
                    <w:autoSpaceDN w:val="0"/>
                    <w:ind w:firstLineChars="0"/>
                    <w:rPr>
                      <w:color w:val="auto"/>
                    </w:rPr>
                  </w:pPr>
                </w:p>
              </w:tc>
              <w:tc>
                <w:tcPr>
                  <w:tcW w:w="900" w:type="dxa"/>
                  <w:vMerge w:val="continue"/>
                  <w:tcBorders>
                    <w:tl2br w:val="nil"/>
                    <w:tr2bl w:val="nil"/>
                  </w:tcBorders>
                  <w:vAlign w:val="center"/>
                </w:tcPr>
                <w:p w14:paraId="468965B7">
                  <w:pPr>
                    <w:pStyle w:val="34"/>
                    <w:autoSpaceDE w:val="0"/>
                    <w:autoSpaceDN w:val="0"/>
                    <w:ind w:firstLineChars="0"/>
                    <w:rPr>
                      <w:color w:val="auto"/>
                    </w:rPr>
                  </w:pPr>
                </w:p>
              </w:tc>
              <w:tc>
                <w:tcPr>
                  <w:tcW w:w="4700" w:type="dxa"/>
                  <w:tcBorders>
                    <w:tl2br w:val="nil"/>
                    <w:tr2bl w:val="nil"/>
                  </w:tcBorders>
                  <w:vAlign w:val="center"/>
                </w:tcPr>
                <w:p w14:paraId="200FF0BA">
                  <w:pPr>
                    <w:pStyle w:val="34"/>
                    <w:autoSpaceDE w:val="0"/>
                    <w:autoSpaceDN w:val="0"/>
                    <w:ind w:firstLineChars="0"/>
                    <w:rPr>
                      <w:color w:val="auto"/>
                    </w:rPr>
                  </w:pPr>
                  <w:r>
                    <w:rPr>
                      <w:rFonts w:hint="eastAsia"/>
                      <w:color w:val="auto"/>
                    </w:rPr>
                    <w:t>施工废水（机械清洗废水、车辆冲洗水等）：经隔油沉淀池处理后全部用于车辆冲洗、洒水降尘等，不外排。</w:t>
                  </w:r>
                </w:p>
              </w:tc>
              <w:tc>
                <w:tcPr>
                  <w:tcW w:w="1316" w:type="dxa"/>
                  <w:vMerge w:val="continue"/>
                  <w:tcBorders>
                    <w:tl2br w:val="nil"/>
                    <w:tr2bl w:val="nil"/>
                  </w:tcBorders>
                  <w:vAlign w:val="center"/>
                </w:tcPr>
                <w:p w14:paraId="1E92E1D8">
                  <w:pPr>
                    <w:pStyle w:val="34"/>
                    <w:autoSpaceDE w:val="0"/>
                    <w:autoSpaceDN w:val="0"/>
                    <w:ind w:firstLineChars="0"/>
                    <w:rPr>
                      <w:color w:val="auto"/>
                    </w:rPr>
                  </w:pPr>
                </w:p>
              </w:tc>
              <w:tc>
                <w:tcPr>
                  <w:tcW w:w="927" w:type="dxa"/>
                  <w:tcBorders>
                    <w:tl2br w:val="nil"/>
                    <w:tr2bl w:val="nil"/>
                  </w:tcBorders>
                  <w:vAlign w:val="center"/>
                </w:tcPr>
                <w:p w14:paraId="03EEDFE2">
                  <w:pPr>
                    <w:pStyle w:val="34"/>
                    <w:autoSpaceDE w:val="0"/>
                    <w:autoSpaceDN w:val="0"/>
                    <w:ind w:firstLineChars="0"/>
                    <w:rPr>
                      <w:color w:val="auto"/>
                    </w:rPr>
                  </w:pPr>
                  <w:r>
                    <w:rPr>
                      <w:rFonts w:hint="eastAsia"/>
                      <w:color w:val="auto"/>
                    </w:rPr>
                    <w:t>/</w:t>
                  </w:r>
                </w:p>
              </w:tc>
            </w:tr>
            <w:tr w14:paraId="43F589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2" w:type="dxa"/>
                  <w:vMerge w:val="continue"/>
                  <w:tcBorders>
                    <w:tl2br w:val="nil"/>
                    <w:tr2bl w:val="nil"/>
                  </w:tcBorders>
                  <w:vAlign w:val="center"/>
                </w:tcPr>
                <w:p w14:paraId="70623BD5">
                  <w:pPr>
                    <w:pStyle w:val="34"/>
                    <w:autoSpaceDE w:val="0"/>
                    <w:autoSpaceDN w:val="0"/>
                    <w:ind w:firstLineChars="0"/>
                    <w:rPr>
                      <w:color w:val="auto"/>
                    </w:rPr>
                  </w:pPr>
                </w:p>
              </w:tc>
              <w:tc>
                <w:tcPr>
                  <w:tcW w:w="900" w:type="dxa"/>
                  <w:tcBorders>
                    <w:tl2br w:val="nil"/>
                    <w:tr2bl w:val="nil"/>
                  </w:tcBorders>
                  <w:vAlign w:val="center"/>
                </w:tcPr>
                <w:p w14:paraId="039E5471">
                  <w:pPr>
                    <w:pStyle w:val="34"/>
                    <w:autoSpaceDE w:val="0"/>
                    <w:autoSpaceDN w:val="0"/>
                    <w:ind w:firstLineChars="0"/>
                    <w:rPr>
                      <w:color w:val="auto"/>
                    </w:rPr>
                  </w:pPr>
                  <w:r>
                    <w:rPr>
                      <w:rFonts w:hint="eastAsia"/>
                      <w:color w:val="auto"/>
                    </w:rPr>
                    <w:t>运营期</w:t>
                  </w:r>
                </w:p>
              </w:tc>
              <w:tc>
                <w:tcPr>
                  <w:tcW w:w="4700" w:type="dxa"/>
                  <w:tcBorders>
                    <w:tl2br w:val="nil"/>
                    <w:tr2bl w:val="nil"/>
                  </w:tcBorders>
                  <w:vAlign w:val="center"/>
                </w:tcPr>
                <w:p w14:paraId="6C1A227A">
                  <w:pPr>
                    <w:pStyle w:val="34"/>
                    <w:autoSpaceDE w:val="0"/>
                    <w:autoSpaceDN w:val="0"/>
                    <w:ind w:firstLineChars="0"/>
                    <w:rPr>
                      <w:color w:val="auto"/>
                    </w:rPr>
                  </w:pPr>
                  <w:r>
                    <w:rPr>
                      <w:rFonts w:hint="eastAsia"/>
                      <w:color w:val="auto"/>
                    </w:rPr>
                    <w:t>完善排水系统、选用优质管道，定期检测。</w:t>
                  </w:r>
                </w:p>
              </w:tc>
              <w:tc>
                <w:tcPr>
                  <w:tcW w:w="1316" w:type="dxa"/>
                  <w:tcBorders>
                    <w:tl2br w:val="nil"/>
                    <w:tr2bl w:val="nil"/>
                  </w:tcBorders>
                  <w:vAlign w:val="center"/>
                </w:tcPr>
                <w:p w14:paraId="41A9A1B3">
                  <w:pPr>
                    <w:pStyle w:val="34"/>
                    <w:autoSpaceDE w:val="0"/>
                    <w:autoSpaceDN w:val="0"/>
                    <w:ind w:firstLineChars="0"/>
                    <w:rPr>
                      <w:color w:val="auto"/>
                    </w:rPr>
                  </w:pPr>
                  <w:r>
                    <w:rPr>
                      <w:rFonts w:hint="eastAsia"/>
                      <w:color w:val="auto"/>
                    </w:rPr>
                    <w:t>/</w:t>
                  </w:r>
                </w:p>
              </w:tc>
              <w:tc>
                <w:tcPr>
                  <w:tcW w:w="927" w:type="dxa"/>
                  <w:tcBorders>
                    <w:tl2br w:val="nil"/>
                    <w:tr2bl w:val="nil"/>
                  </w:tcBorders>
                  <w:vAlign w:val="center"/>
                </w:tcPr>
                <w:p w14:paraId="23AD21C7">
                  <w:pPr>
                    <w:pStyle w:val="34"/>
                    <w:autoSpaceDE w:val="0"/>
                    <w:autoSpaceDN w:val="0"/>
                    <w:ind w:firstLineChars="0"/>
                    <w:rPr>
                      <w:color w:val="auto"/>
                    </w:rPr>
                  </w:pPr>
                  <w:r>
                    <w:rPr>
                      <w:rFonts w:hint="eastAsia"/>
                      <w:color w:val="auto"/>
                    </w:rPr>
                    <w:t>列入工程投资/</w:t>
                  </w:r>
                </w:p>
              </w:tc>
            </w:tr>
            <w:tr w14:paraId="09732A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2" w:type="dxa"/>
                  <w:vMerge w:val="restart"/>
                  <w:tcBorders>
                    <w:tl2br w:val="nil"/>
                    <w:tr2bl w:val="nil"/>
                  </w:tcBorders>
                  <w:vAlign w:val="center"/>
                </w:tcPr>
                <w:p w14:paraId="3DA0A5FD">
                  <w:pPr>
                    <w:pStyle w:val="34"/>
                    <w:autoSpaceDE w:val="0"/>
                    <w:autoSpaceDN w:val="0"/>
                    <w:ind w:firstLineChars="0"/>
                    <w:rPr>
                      <w:color w:val="auto"/>
                    </w:rPr>
                  </w:pPr>
                  <w:r>
                    <w:rPr>
                      <w:rFonts w:hint="eastAsia"/>
                      <w:color w:val="auto"/>
                    </w:rPr>
                    <w:t>噪声治理</w:t>
                  </w:r>
                </w:p>
              </w:tc>
              <w:tc>
                <w:tcPr>
                  <w:tcW w:w="900" w:type="dxa"/>
                  <w:tcBorders>
                    <w:tl2br w:val="nil"/>
                    <w:tr2bl w:val="nil"/>
                  </w:tcBorders>
                  <w:vAlign w:val="center"/>
                </w:tcPr>
                <w:p w14:paraId="570CA709">
                  <w:pPr>
                    <w:pStyle w:val="34"/>
                    <w:autoSpaceDE w:val="0"/>
                    <w:autoSpaceDN w:val="0"/>
                    <w:ind w:firstLineChars="0"/>
                    <w:rPr>
                      <w:color w:val="auto"/>
                    </w:rPr>
                  </w:pPr>
                  <w:r>
                    <w:rPr>
                      <w:rFonts w:hint="eastAsia"/>
                      <w:color w:val="auto"/>
                    </w:rPr>
                    <w:t>施工期</w:t>
                  </w:r>
                </w:p>
              </w:tc>
              <w:tc>
                <w:tcPr>
                  <w:tcW w:w="4700" w:type="dxa"/>
                  <w:tcBorders>
                    <w:tl2br w:val="nil"/>
                    <w:tr2bl w:val="nil"/>
                  </w:tcBorders>
                  <w:vAlign w:val="center"/>
                </w:tcPr>
                <w:p w14:paraId="1B70F317">
                  <w:pPr>
                    <w:pStyle w:val="34"/>
                    <w:autoSpaceDE w:val="0"/>
                    <w:autoSpaceDN w:val="0"/>
                    <w:ind w:firstLineChars="0"/>
                    <w:rPr>
                      <w:color w:val="auto"/>
                    </w:rPr>
                  </w:pPr>
                  <w:r>
                    <w:rPr>
                      <w:rFonts w:hint="eastAsia"/>
                      <w:color w:val="auto"/>
                    </w:rPr>
                    <w:t>选用低噪声设备、加强设备维修保养；合理安排施工作业时间，夜间、午休时间禁止施工。</w:t>
                  </w:r>
                </w:p>
              </w:tc>
              <w:tc>
                <w:tcPr>
                  <w:tcW w:w="1316" w:type="dxa"/>
                  <w:tcBorders>
                    <w:tl2br w:val="nil"/>
                    <w:tr2bl w:val="nil"/>
                  </w:tcBorders>
                  <w:vAlign w:val="center"/>
                </w:tcPr>
                <w:p w14:paraId="572A85A2">
                  <w:pPr>
                    <w:pStyle w:val="34"/>
                    <w:autoSpaceDE w:val="0"/>
                    <w:autoSpaceDN w:val="0"/>
                    <w:ind w:firstLineChars="0"/>
                    <w:rPr>
                      <w:color w:val="auto"/>
                    </w:rPr>
                  </w:pPr>
                  <w:r>
                    <w:rPr>
                      <w:rFonts w:hint="eastAsia"/>
                      <w:color w:val="auto"/>
                    </w:rPr>
                    <w:t>5</w:t>
                  </w:r>
                </w:p>
              </w:tc>
              <w:tc>
                <w:tcPr>
                  <w:tcW w:w="927" w:type="dxa"/>
                  <w:tcBorders>
                    <w:tl2br w:val="nil"/>
                    <w:tr2bl w:val="nil"/>
                  </w:tcBorders>
                  <w:vAlign w:val="center"/>
                </w:tcPr>
                <w:p w14:paraId="15556E3F">
                  <w:pPr>
                    <w:pStyle w:val="34"/>
                    <w:autoSpaceDE w:val="0"/>
                    <w:autoSpaceDN w:val="0"/>
                    <w:ind w:firstLineChars="0"/>
                    <w:rPr>
                      <w:color w:val="auto"/>
                    </w:rPr>
                  </w:pPr>
                  <w:r>
                    <w:rPr>
                      <w:rFonts w:hint="eastAsia"/>
                      <w:color w:val="auto"/>
                    </w:rPr>
                    <w:t>/</w:t>
                  </w:r>
                </w:p>
              </w:tc>
            </w:tr>
            <w:tr w14:paraId="1AFD77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2" w:type="dxa"/>
                  <w:vMerge w:val="continue"/>
                  <w:tcBorders>
                    <w:tl2br w:val="nil"/>
                    <w:tr2bl w:val="nil"/>
                  </w:tcBorders>
                  <w:vAlign w:val="center"/>
                </w:tcPr>
                <w:p w14:paraId="224276E1">
                  <w:pPr>
                    <w:pStyle w:val="34"/>
                    <w:autoSpaceDE w:val="0"/>
                    <w:autoSpaceDN w:val="0"/>
                    <w:ind w:firstLineChars="0"/>
                    <w:rPr>
                      <w:color w:val="auto"/>
                    </w:rPr>
                  </w:pPr>
                </w:p>
              </w:tc>
              <w:tc>
                <w:tcPr>
                  <w:tcW w:w="900" w:type="dxa"/>
                  <w:tcBorders>
                    <w:tl2br w:val="nil"/>
                    <w:tr2bl w:val="nil"/>
                  </w:tcBorders>
                  <w:vAlign w:val="center"/>
                </w:tcPr>
                <w:p w14:paraId="6AD752BA">
                  <w:pPr>
                    <w:pStyle w:val="34"/>
                    <w:autoSpaceDE w:val="0"/>
                    <w:autoSpaceDN w:val="0"/>
                    <w:ind w:firstLineChars="0"/>
                    <w:rPr>
                      <w:color w:val="auto"/>
                    </w:rPr>
                  </w:pPr>
                  <w:r>
                    <w:rPr>
                      <w:rFonts w:hint="eastAsia"/>
                      <w:color w:val="auto"/>
                    </w:rPr>
                    <w:t>运营期</w:t>
                  </w:r>
                </w:p>
              </w:tc>
              <w:tc>
                <w:tcPr>
                  <w:tcW w:w="4700" w:type="dxa"/>
                  <w:tcBorders>
                    <w:tl2br w:val="nil"/>
                    <w:tr2bl w:val="nil"/>
                  </w:tcBorders>
                  <w:vAlign w:val="center"/>
                </w:tcPr>
                <w:p w14:paraId="618DA43A">
                  <w:pPr>
                    <w:pStyle w:val="34"/>
                    <w:autoSpaceDE w:val="0"/>
                    <w:autoSpaceDN w:val="0"/>
                    <w:ind w:firstLineChars="0"/>
                    <w:rPr>
                      <w:color w:val="auto"/>
                    </w:rPr>
                  </w:pPr>
                  <w:r>
                    <w:rPr>
                      <w:rFonts w:hint="eastAsia"/>
                      <w:color w:val="auto"/>
                    </w:rPr>
                    <w:t>加强管理</w:t>
                  </w:r>
                </w:p>
              </w:tc>
              <w:tc>
                <w:tcPr>
                  <w:tcW w:w="1316" w:type="dxa"/>
                  <w:tcBorders>
                    <w:tl2br w:val="nil"/>
                    <w:tr2bl w:val="nil"/>
                  </w:tcBorders>
                  <w:vAlign w:val="center"/>
                </w:tcPr>
                <w:p w14:paraId="11E22C40">
                  <w:pPr>
                    <w:pStyle w:val="34"/>
                    <w:autoSpaceDE w:val="0"/>
                    <w:autoSpaceDN w:val="0"/>
                    <w:ind w:firstLineChars="0"/>
                    <w:rPr>
                      <w:color w:val="auto"/>
                    </w:rPr>
                  </w:pPr>
                  <w:r>
                    <w:rPr>
                      <w:rFonts w:hint="eastAsia"/>
                      <w:color w:val="auto"/>
                    </w:rPr>
                    <w:t>/</w:t>
                  </w:r>
                </w:p>
              </w:tc>
              <w:tc>
                <w:tcPr>
                  <w:tcW w:w="927" w:type="dxa"/>
                  <w:tcBorders>
                    <w:tl2br w:val="nil"/>
                    <w:tr2bl w:val="nil"/>
                  </w:tcBorders>
                  <w:vAlign w:val="center"/>
                </w:tcPr>
                <w:p w14:paraId="2CC84B4C">
                  <w:pPr>
                    <w:pStyle w:val="34"/>
                    <w:autoSpaceDE w:val="0"/>
                    <w:autoSpaceDN w:val="0"/>
                    <w:ind w:firstLineChars="0"/>
                    <w:rPr>
                      <w:color w:val="auto"/>
                    </w:rPr>
                  </w:pPr>
                  <w:r>
                    <w:rPr>
                      <w:rFonts w:hint="eastAsia"/>
                      <w:color w:val="auto"/>
                    </w:rPr>
                    <w:t>/</w:t>
                  </w:r>
                </w:p>
              </w:tc>
            </w:tr>
            <w:tr w14:paraId="5DF074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2" w:type="dxa"/>
                  <w:vMerge w:val="restart"/>
                  <w:tcBorders>
                    <w:tl2br w:val="nil"/>
                    <w:tr2bl w:val="nil"/>
                  </w:tcBorders>
                  <w:vAlign w:val="center"/>
                </w:tcPr>
                <w:p w14:paraId="08D8A23F">
                  <w:pPr>
                    <w:pStyle w:val="34"/>
                    <w:autoSpaceDE w:val="0"/>
                    <w:autoSpaceDN w:val="0"/>
                    <w:ind w:firstLineChars="0"/>
                    <w:rPr>
                      <w:color w:val="auto"/>
                    </w:rPr>
                  </w:pPr>
                  <w:r>
                    <w:rPr>
                      <w:szCs w:val="21"/>
                    </w:rPr>
                    <w:t>固体废物</w:t>
                  </w:r>
                </w:p>
              </w:tc>
              <w:tc>
                <w:tcPr>
                  <w:tcW w:w="900" w:type="dxa"/>
                  <w:vMerge w:val="restart"/>
                  <w:tcBorders>
                    <w:tl2br w:val="nil"/>
                    <w:tr2bl w:val="nil"/>
                  </w:tcBorders>
                  <w:vAlign w:val="center"/>
                </w:tcPr>
                <w:p w14:paraId="79D50999">
                  <w:pPr>
                    <w:pStyle w:val="34"/>
                    <w:autoSpaceDE w:val="0"/>
                    <w:autoSpaceDN w:val="0"/>
                    <w:ind w:firstLineChars="0"/>
                    <w:rPr>
                      <w:color w:val="auto"/>
                    </w:rPr>
                  </w:pPr>
                  <w:r>
                    <w:rPr>
                      <w:rFonts w:hint="eastAsia"/>
                      <w:color w:val="auto"/>
                    </w:rPr>
                    <w:t>施工期</w:t>
                  </w:r>
                </w:p>
              </w:tc>
              <w:tc>
                <w:tcPr>
                  <w:tcW w:w="4700" w:type="dxa"/>
                  <w:tcBorders>
                    <w:tl2br w:val="nil"/>
                    <w:tr2bl w:val="nil"/>
                  </w:tcBorders>
                  <w:vAlign w:val="center"/>
                </w:tcPr>
                <w:p w14:paraId="7CDE340E">
                  <w:pPr>
                    <w:pStyle w:val="34"/>
                    <w:autoSpaceDE w:val="0"/>
                    <w:autoSpaceDN w:val="0"/>
                    <w:ind w:firstLineChars="0"/>
                    <w:rPr>
                      <w:color w:val="auto"/>
                    </w:rPr>
                  </w:pPr>
                  <w:r>
                    <w:rPr>
                      <w:rFonts w:hint="eastAsia"/>
                      <w:color w:val="auto"/>
                    </w:rPr>
                    <w:t>建筑垃圾可资源化的外售资源处，不能回收利用的送至建筑垃圾填埋场处理</w:t>
                  </w:r>
                </w:p>
              </w:tc>
              <w:tc>
                <w:tcPr>
                  <w:tcW w:w="1316" w:type="dxa"/>
                  <w:vMerge w:val="restart"/>
                  <w:tcBorders>
                    <w:tl2br w:val="nil"/>
                    <w:tr2bl w:val="nil"/>
                  </w:tcBorders>
                  <w:vAlign w:val="center"/>
                </w:tcPr>
                <w:p w14:paraId="737FF87D">
                  <w:pPr>
                    <w:pStyle w:val="34"/>
                    <w:autoSpaceDE w:val="0"/>
                    <w:autoSpaceDN w:val="0"/>
                    <w:ind w:firstLineChars="0"/>
                    <w:rPr>
                      <w:color w:val="auto"/>
                    </w:rPr>
                  </w:pPr>
                  <w:r>
                    <w:rPr>
                      <w:rFonts w:hint="eastAsia"/>
                      <w:color w:val="auto"/>
                    </w:rPr>
                    <w:t>3</w:t>
                  </w:r>
                </w:p>
              </w:tc>
              <w:tc>
                <w:tcPr>
                  <w:tcW w:w="927" w:type="dxa"/>
                  <w:tcBorders>
                    <w:tl2br w:val="nil"/>
                    <w:tr2bl w:val="nil"/>
                  </w:tcBorders>
                  <w:vAlign w:val="center"/>
                </w:tcPr>
                <w:p w14:paraId="0F6CD9E9">
                  <w:pPr>
                    <w:pStyle w:val="34"/>
                    <w:autoSpaceDE w:val="0"/>
                    <w:autoSpaceDN w:val="0"/>
                    <w:ind w:firstLineChars="0"/>
                    <w:rPr>
                      <w:color w:val="auto"/>
                    </w:rPr>
                  </w:pPr>
                  <w:r>
                    <w:rPr>
                      <w:rFonts w:hint="eastAsia"/>
                      <w:color w:val="auto"/>
                    </w:rPr>
                    <w:t>/</w:t>
                  </w:r>
                </w:p>
              </w:tc>
            </w:tr>
            <w:tr w14:paraId="347734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2" w:type="dxa"/>
                  <w:vMerge w:val="continue"/>
                  <w:tcBorders>
                    <w:tl2br w:val="nil"/>
                    <w:tr2bl w:val="nil"/>
                  </w:tcBorders>
                  <w:vAlign w:val="center"/>
                </w:tcPr>
                <w:p w14:paraId="6CC23AD4">
                  <w:pPr>
                    <w:pStyle w:val="34"/>
                    <w:autoSpaceDE w:val="0"/>
                    <w:autoSpaceDN w:val="0"/>
                    <w:ind w:firstLineChars="0"/>
                    <w:rPr>
                      <w:color w:val="auto"/>
                    </w:rPr>
                  </w:pPr>
                </w:p>
              </w:tc>
              <w:tc>
                <w:tcPr>
                  <w:tcW w:w="900" w:type="dxa"/>
                  <w:vMerge w:val="continue"/>
                  <w:tcBorders>
                    <w:tl2br w:val="nil"/>
                    <w:tr2bl w:val="nil"/>
                  </w:tcBorders>
                  <w:vAlign w:val="center"/>
                </w:tcPr>
                <w:p w14:paraId="7257C096">
                  <w:pPr>
                    <w:pStyle w:val="34"/>
                    <w:autoSpaceDE w:val="0"/>
                    <w:autoSpaceDN w:val="0"/>
                    <w:ind w:firstLineChars="0"/>
                    <w:rPr>
                      <w:color w:val="auto"/>
                    </w:rPr>
                  </w:pPr>
                </w:p>
              </w:tc>
              <w:tc>
                <w:tcPr>
                  <w:tcW w:w="4700" w:type="dxa"/>
                  <w:tcBorders>
                    <w:tl2br w:val="nil"/>
                    <w:tr2bl w:val="nil"/>
                  </w:tcBorders>
                  <w:vAlign w:val="center"/>
                </w:tcPr>
                <w:p w14:paraId="2B843826">
                  <w:pPr>
                    <w:pStyle w:val="34"/>
                    <w:autoSpaceDE w:val="0"/>
                    <w:autoSpaceDN w:val="0"/>
                    <w:ind w:firstLineChars="0"/>
                    <w:rPr>
                      <w:color w:val="auto"/>
                    </w:rPr>
                  </w:pPr>
                  <w:r>
                    <w:rPr>
                      <w:rFonts w:hint="eastAsia"/>
                      <w:color w:val="auto"/>
                    </w:rPr>
                    <w:t>生活垃圾经现场袋装收集后由市政环卫部门清运处理</w:t>
                  </w:r>
                </w:p>
              </w:tc>
              <w:tc>
                <w:tcPr>
                  <w:tcW w:w="1316" w:type="dxa"/>
                  <w:vMerge w:val="continue"/>
                  <w:tcBorders>
                    <w:tl2br w:val="nil"/>
                    <w:tr2bl w:val="nil"/>
                  </w:tcBorders>
                  <w:vAlign w:val="center"/>
                </w:tcPr>
                <w:p w14:paraId="0A6AD4D0">
                  <w:pPr>
                    <w:pStyle w:val="34"/>
                    <w:autoSpaceDE w:val="0"/>
                    <w:autoSpaceDN w:val="0"/>
                    <w:ind w:firstLineChars="0"/>
                    <w:rPr>
                      <w:color w:val="auto"/>
                    </w:rPr>
                  </w:pPr>
                </w:p>
              </w:tc>
              <w:tc>
                <w:tcPr>
                  <w:tcW w:w="927" w:type="dxa"/>
                  <w:tcBorders>
                    <w:tl2br w:val="nil"/>
                    <w:tr2bl w:val="nil"/>
                  </w:tcBorders>
                  <w:vAlign w:val="center"/>
                </w:tcPr>
                <w:p w14:paraId="3F72DC38">
                  <w:pPr>
                    <w:pStyle w:val="34"/>
                    <w:autoSpaceDE w:val="0"/>
                    <w:autoSpaceDN w:val="0"/>
                    <w:ind w:firstLineChars="0"/>
                    <w:rPr>
                      <w:color w:val="auto"/>
                    </w:rPr>
                  </w:pPr>
                  <w:r>
                    <w:rPr>
                      <w:rFonts w:hint="eastAsia"/>
                      <w:color w:val="auto"/>
                    </w:rPr>
                    <w:t>/</w:t>
                  </w:r>
                </w:p>
              </w:tc>
            </w:tr>
            <w:tr w14:paraId="72DA6B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2" w:type="dxa"/>
                  <w:vMerge w:val="continue"/>
                  <w:tcBorders>
                    <w:tl2br w:val="nil"/>
                    <w:tr2bl w:val="nil"/>
                  </w:tcBorders>
                  <w:vAlign w:val="center"/>
                </w:tcPr>
                <w:p w14:paraId="5C158DAC">
                  <w:pPr>
                    <w:pStyle w:val="34"/>
                    <w:autoSpaceDE w:val="0"/>
                    <w:autoSpaceDN w:val="0"/>
                    <w:ind w:firstLineChars="0"/>
                    <w:rPr>
                      <w:color w:val="auto"/>
                    </w:rPr>
                  </w:pPr>
                </w:p>
              </w:tc>
              <w:tc>
                <w:tcPr>
                  <w:tcW w:w="900" w:type="dxa"/>
                  <w:vMerge w:val="continue"/>
                  <w:tcBorders>
                    <w:tl2br w:val="nil"/>
                    <w:tr2bl w:val="nil"/>
                  </w:tcBorders>
                  <w:vAlign w:val="center"/>
                </w:tcPr>
                <w:p w14:paraId="41E8F858">
                  <w:pPr>
                    <w:pStyle w:val="34"/>
                    <w:autoSpaceDE w:val="0"/>
                    <w:autoSpaceDN w:val="0"/>
                    <w:ind w:firstLineChars="0"/>
                    <w:rPr>
                      <w:color w:val="auto"/>
                    </w:rPr>
                  </w:pPr>
                </w:p>
              </w:tc>
              <w:tc>
                <w:tcPr>
                  <w:tcW w:w="4700" w:type="dxa"/>
                  <w:tcBorders>
                    <w:tl2br w:val="nil"/>
                    <w:tr2bl w:val="nil"/>
                  </w:tcBorders>
                  <w:vAlign w:val="center"/>
                </w:tcPr>
                <w:p w14:paraId="218C2149">
                  <w:pPr>
                    <w:pStyle w:val="34"/>
                    <w:autoSpaceDE w:val="0"/>
                    <w:autoSpaceDN w:val="0"/>
                    <w:ind w:firstLineChars="0"/>
                    <w:rPr>
                      <w:color w:val="auto"/>
                    </w:rPr>
                  </w:pPr>
                  <w:r>
                    <w:rPr>
                      <w:rFonts w:hint="eastAsia"/>
                      <w:color w:val="auto"/>
                    </w:rPr>
                    <w:t>隔油池浮油收集后作为危废处置，委托有资质的危险废物处置单位进行清运处置。</w:t>
                  </w:r>
                </w:p>
              </w:tc>
              <w:tc>
                <w:tcPr>
                  <w:tcW w:w="1316" w:type="dxa"/>
                  <w:vMerge w:val="continue"/>
                  <w:tcBorders>
                    <w:tl2br w:val="nil"/>
                    <w:tr2bl w:val="nil"/>
                  </w:tcBorders>
                  <w:vAlign w:val="center"/>
                </w:tcPr>
                <w:p w14:paraId="17E5B4C7">
                  <w:pPr>
                    <w:pStyle w:val="34"/>
                    <w:autoSpaceDE w:val="0"/>
                    <w:autoSpaceDN w:val="0"/>
                    <w:ind w:firstLineChars="0"/>
                    <w:rPr>
                      <w:color w:val="auto"/>
                    </w:rPr>
                  </w:pPr>
                </w:p>
              </w:tc>
              <w:tc>
                <w:tcPr>
                  <w:tcW w:w="927" w:type="dxa"/>
                  <w:tcBorders>
                    <w:tl2br w:val="nil"/>
                    <w:tr2bl w:val="nil"/>
                  </w:tcBorders>
                  <w:vAlign w:val="center"/>
                </w:tcPr>
                <w:p w14:paraId="6255062A">
                  <w:pPr>
                    <w:pStyle w:val="34"/>
                    <w:autoSpaceDE w:val="0"/>
                    <w:autoSpaceDN w:val="0"/>
                    <w:ind w:firstLineChars="0"/>
                    <w:rPr>
                      <w:color w:val="auto"/>
                    </w:rPr>
                  </w:pPr>
                  <w:r>
                    <w:rPr>
                      <w:rFonts w:hint="eastAsia"/>
                      <w:color w:val="auto"/>
                    </w:rPr>
                    <w:t>/</w:t>
                  </w:r>
                </w:p>
              </w:tc>
            </w:tr>
            <w:tr w14:paraId="2EC307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2" w:type="dxa"/>
                  <w:vMerge w:val="continue"/>
                  <w:tcBorders>
                    <w:tl2br w:val="nil"/>
                    <w:tr2bl w:val="nil"/>
                  </w:tcBorders>
                  <w:vAlign w:val="center"/>
                </w:tcPr>
                <w:p w14:paraId="40504E1C">
                  <w:pPr>
                    <w:pStyle w:val="34"/>
                    <w:autoSpaceDE w:val="0"/>
                    <w:autoSpaceDN w:val="0"/>
                    <w:ind w:firstLineChars="0"/>
                    <w:rPr>
                      <w:color w:val="auto"/>
                    </w:rPr>
                  </w:pPr>
                </w:p>
              </w:tc>
              <w:tc>
                <w:tcPr>
                  <w:tcW w:w="900" w:type="dxa"/>
                  <w:tcBorders>
                    <w:tl2br w:val="nil"/>
                    <w:tr2bl w:val="nil"/>
                  </w:tcBorders>
                  <w:vAlign w:val="center"/>
                </w:tcPr>
                <w:p w14:paraId="63D1714B">
                  <w:pPr>
                    <w:pStyle w:val="34"/>
                    <w:autoSpaceDE w:val="0"/>
                    <w:autoSpaceDN w:val="0"/>
                    <w:ind w:firstLineChars="0"/>
                    <w:rPr>
                      <w:color w:val="auto"/>
                    </w:rPr>
                  </w:pPr>
                  <w:r>
                    <w:rPr>
                      <w:rFonts w:hint="eastAsia"/>
                      <w:color w:val="auto"/>
                    </w:rPr>
                    <w:t>运营期</w:t>
                  </w:r>
                </w:p>
              </w:tc>
              <w:tc>
                <w:tcPr>
                  <w:tcW w:w="4700" w:type="dxa"/>
                  <w:tcBorders>
                    <w:tl2br w:val="nil"/>
                    <w:tr2bl w:val="nil"/>
                  </w:tcBorders>
                  <w:vAlign w:val="center"/>
                </w:tcPr>
                <w:p w14:paraId="74F44460">
                  <w:pPr>
                    <w:pStyle w:val="34"/>
                    <w:autoSpaceDE w:val="0"/>
                    <w:autoSpaceDN w:val="0"/>
                    <w:ind w:firstLineChars="0"/>
                    <w:rPr>
                      <w:color w:val="auto"/>
                    </w:rPr>
                  </w:pPr>
                  <w:r>
                    <w:rPr>
                      <w:rFonts w:hint="eastAsia"/>
                      <w:color w:val="auto"/>
                    </w:rPr>
                    <w:t>检修人员、来往行人产生的生活垃圾，垃圾桶分类收集后，由环卫部门清运处置。</w:t>
                  </w:r>
                </w:p>
              </w:tc>
              <w:tc>
                <w:tcPr>
                  <w:tcW w:w="1316" w:type="dxa"/>
                  <w:tcBorders>
                    <w:tl2br w:val="nil"/>
                    <w:tr2bl w:val="nil"/>
                  </w:tcBorders>
                  <w:vAlign w:val="center"/>
                </w:tcPr>
                <w:p w14:paraId="59F019EC">
                  <w:pPr>
                    <w:pStyle w:val="34"/>
                    <w:autoSpaceDE w:val="0"/>
                    <w:autoSpaceDN w:val="0"/>
                    <w:ind w:firstLineChars="0"/>
                    <w:rPr>
                      <w:color w:val="auto"/>
                    </w:rPr>
                  </w:pPr>
                  <w:r>
                    <w:rPr>
                      <w:rFonts w:hint="eastAsia"/>
                      <w:color w:val="auto"/>
                    </w:rPr>
                    <w:t>1</w:t>
                  </w:r>
                </w:p>
              </w:tc>
              <w:tc>
                <w:tcPr>
                  <w:tcW w:w="927" w:type="dxa"/>
                  <w:tcBorders>
                    <w:tl2br w:val="nil"/>
                    <w:tr2bl w:val="nil"/>
                  </w:tcBorders>
                  <w:vAlign w:val="center"/>
                </w:tcPr>
                <w:p w14:paraId="6B1F6719">
                  <w:pPr>
                    <w:pStyle w:val="34"/>
                    <w:autoSpaceDE w:val="0"/>
                    <w:autoSpaceDN w:val="0"/>
                    <w:ind w:firstLineChars="0"/>
                    <w:rPr>
                      <w:color w:val="auto"/>
                    </w:rPr>
                  </w:pPr>
                  <w:r>
                    <w:rPr>
                      <w:rFonts w:hint="eastAsia"/>
                      <w:color w:val="auto"/>
                    </w:rPr>
                    <w:t>/</w:t>
                  </w:r>
                </w:p>
              </w:tc>
            </w:tr>
            <w:tr w14:paraId="2F2C893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12" w:type="dxa"/>
                  <w:gridSpan w:val="2"/>
                  <w:tcBorders>
                    <w:tl2br w:val="nil"/>
                    <w:tr2bl w:val="nil"/>
                  </w:tcBorders>
                  <w:vAlign w:val="center"/>
                </w:tcPr>
                <w:p w14:paraId="0AFBA097">
                  <w:pPr>
                    <w:pStyle w:val="34"/>
                    <w:autoSpaceDE w:val="0"/>
                    <w:autoSpaceDN w:val="0"/>
                    <w:ind w:firstLineChars="0"/>
                    <w:rPr>
                      <w:color w:val="auto"/>
                    </w:rPr>
                  </w:pPr>
                  <w:r>
                    <w:rPr>
                      <w:rFonts w:hint="eastAsia"/>
                      <w:color w:val="auto"/>
                    </w:rPr>
                    <w:t>环境风险防范措施</w:t>
                  </w:r>
                </w:p>
              </w:tc>
              <w:tc>
                <w:tcPr>
                  <w:tcW w:w="4700" w:type="dxa"/>
                  <w:tcBorders>
                    <w:tl2br w:val="nil"/>
                    <w:tr2bl w:val="nil"/>
                  </w:tcBorders>
                  <w:vAlign w:val="center"/>
                </w:tcPr>
                <w:p w14:paraId="724C7A3F">
                  <w:pPr>
                    <w:pStyle w:val="34"/>
                    <w:autoSpaceDE w:val="0"/>
                    <w:autoSpaceDN w:val="0"/>
                    <w:ind w:firstLineChars="0"/>
                    <w:rPr>
                      <w:color w:val="auto"/>
                    </w:rPr>
                  </w:pPr>
                  <w:r>
                    <w:rPr>
                      <w:rFonts w:hint="eastAsia"/>
                      <w:color w:val="auto"/>
                    </w:rPr>
                    <w:t>定期检查和维护施工机械，加强员工培训，加强施工管理，制定应急预案。</w:t>
                  </w:r>
                </w:p>
              </w:tc>
              <w:tc>
                <w:tcPr>
                  <w:tcW w:w="1316" w:type="dxa"/>
                  <w:tcBorders>
                    <w:tl2br w:val="nil"/>
                    <w:tr2bl w:val="nil"/>
                  </w:tcBorders>
                  <w:vAlign w:val="center"/>
                </w:tcPr>
                <w:p w14:paraId="7AFAC855">
                  <w:pPr>
                    <w:pStyle w:val="34"/>
                    <w:autoSpaceDE w:val="0"/>
                    <w:autoSpaceDN w:val="0"/>
                    <w:ind w:firstLineChars="0"/>
                    <w:rPr>
                      <w:color w:val="auto"/>
                    </w:rPr>
                  </w:pPr>
                  <w:r>
                    <w:rPr>
                      <w:rFonts w:hint="eastAsia"/>
                      <w:color w:val="auto"/>
                    </w:rPr>
                    <w:t>5</w:t>
                  </w:r>
                </w:p>
              </w:tc>
              <w:tc>
                <w:tcPr>
                  <w:tcW w:w="927" w:type="dxa"/>
                  <w:tcBorders>
                    <w:tl2br w:val="nil"/>
                    <w:tr2bl w:val="nil"/>
                  </w:tcBorders>
                  <w:vAlign w:val="center"/>
                </w:tcPr>
                <w:p w14:paraId="01E4520E">
                  <w:pPr>
                    <w:pStyle w:val="34"/>
                    <w:autoSpaceDE w:val="0"/>
                    <w:autoSpaceDN w:val="0"/>
                    <w:ind w:firstLineChars="0"/>
                    <w:rPr>
                      <w:color w:val="auto"/>
                    </w:rPr>
                  </w:pPr>
                  <w:r>
                    <w:rPr>
                      <w:rFonts w:hint="eastAsia"/>
                      <w:color w:val="auto"/>
                    </w:rPr>
                    <w:t>/</w:t>
                  </w:r>
                </w:p>
              </w:tc>
            </w:tr>
            <w:tr w14:paraId="4B7EC1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12" w:type="dxa"/>
                  <w:gridSpan w:val="2"/>
                  <w:tcBorders>
                    <w:tl2br w:val="nil"/>
                    <w:tr2bl w:val="nil"/>
                  </w:tcBorders>
                  <w:vAlign w:val="center"/>
                </w:tcPr>
                <w:p w14:paraId="5A993B01">
                  <w:pPr>
                    <w:pStyle w:val="34"/>
                    <w:autoSpaceDE w:val="0"/>
                    <w:autoSpaceDN w:val="0"/>
                    <w:ind w:firstLineChars="0"/>
                    <w:rPr>
                      <w:color w:val="auto"/>
                    </w:rPr>
                  </w:pPr>
                  <w:r>
                    <w:rPr>
                      <w:rFonts w:hint="eastAsia"/>
                      <w:color w:val="auto"/>
                    </w:rPr>
                    <w:t>生态环境保护措施</w:t>
                  </w:r>
                </w:p>
              </w:tc>
              <w:tc>
                <w:tcPr>
                  <w:tcW w:w="4700" w:type="dxa"/>
                  <w:tcBorders>
                    <w:tl2br w:val="nil"/>
                    <w:tr2bl w:val="nil"/>
                  </w:tcBorders>
                  <w:vAlign w:val="center"/>
                </w:tcPr>
                <w:p w14:paraId="43798A67">
                  <w:pPr>
                    <w:pStyle w:val="34"/>
                    <w:autoSpaceDE w:val="0"/>
                    <w:autoSpaceDN w:val="0"/>
                    <w:ind w:firstLineChars="0"/>
                    <w:rPr>
                      <w:color w:val="auto"/>
                    </w:rPr>
                  </w:pPr>
                  <w:r>
                    <w:rPr>
                      <w:rFonts w:hint="eastAsia"/>
                      <w:color w:val="auto"/>
                    </w:rPr>
                    <w:t>施工临时沉淀池及时回填；施工迹地平整和植被恢复；加强管理等。控制施工时间。工程结束后对河道河岸进行生境恢复。</w:t>
                  </w:r>
                </w:p>
              </w:tc>
              <w:tc>
                <w:tcPr>
                  <w:tcW w:w="1316" w:type="dxa"/>
                  <w:tcBorders>
                    <w:tl2br w:val="nil"/>
                    <w:tr2bl w:val="nil"/>
                  </w:tcBorders>
                  <w:vAlign w:val="center"/>
                </w:tcPr>
                <w:p w14:paraId="28BF609E">
                  <w:pPr>
                    <w:pStyle w:val="34"/>
                    <w:autoSpaceDE w:val="0"/>
                    <w:autoSpaceDN w:val="0"/>
                    <w:ind w:firstLineChars="0"/>
                    <w:rPr>
                      <w:color w:val="auto"/>
                    </w:rPr>
                  </w:pPr>
                  <w:r>
                    <w:rPr>
                      <w:rFonts w:hint="eastAsia"/>
                      <w:color w:val="auto"/>
                    </w:rPr>
                    <w:t>30</w:t>
                  </w:r>
                </w:p>
              </w:tc>
              <w:tc>
                <w:tcPr>
                  <w:tcW w:w="927" w:type="dxa"/>
                  <w:tcBorders>
                    <w:tl2br w:val="nil"/>
                    <w:tr2bl w:val="nil"/>
                  </w:tcBorders>
                  <w:vAlign w:val="center"/>
                </w:tcPr>
                <w:p w14:paraId="50EA6703">
                  <w:pPr>
                    <w:pStyle w:val="34"/>
                    <w:autoSpaceDE w:val="0"/>
                    <w:autoSpaceDN w:val="0"/>
                    <w:ind w:firstLineChars="0"/>
                    <w:rPr>
                      <w:color w:val="auto"/>
                    </w:rPr>
                  </w:pPr>
                </w:p>
              </w:tc>
            </w:tr>
            <w:tr w14:paraId="39718B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312" w:type="dxa"/>
                  <w:gridSpan w:val="3"/>
                  <w:tcBorders>
                    <w:tl2br w:val="nil"/>
                    <w:tr2bl w:val="nil"/>
                  </w:tcBorders>
                  <w:vAlign w:val="center"/>
                </w:tcPr>
                <w:p w14:paraId="58C76718">
                  <w:pPr>
                    <w:pStyle w:val="34"/>
                    <w:autoSpaceDE w:val="0"/>
                    <w:autoSpaceDN w:val="0"/>
                    <w:ind w:firstLineChars="0"/>
                    <w:rPr>
                      <w:color w:val="auto"/>
                    </w:rPr>
                  </w:pPr>
                  <w:r>
                    <w:rPr>
                      <w:rFonts w:hint="eastAsia"/>
                      <w:color w:val="auto"/>
                    </w:rPr>
                    <w:t>合计</w:t>
                  </w:r>
                </w:p>
              </w:tc>
              <w:tc>
                <w:tcPr>
                  <w:tcW w:w="1316" w:type="dxa"/>
                  <w:tcBorders>
                    <w:tl2br w:val="nil"/>
                    <w:tr2bl w:val="nil"/>
                  </w:tcBorders>
                  <w:vAlign w:val="center"/>
                </w:tcPr>
                <w:p w14:paraId="74CAF72E">
                  <w:pPr>
                    <w:pStyle w:val="34"/>
                    <w:autoSpaceDE w:val="0"/>
                    <w:autoSpaceDN w:val="0"/>
                    <w:ind w:firstLineChars="0"/>
                    <w:rPr>
                      <w:color w:val="auto"/>
                    </w:rPr>
                  </w:pPr>
                  <w:r>
                    <w:rPr>
                      <w:rFonts w:hint="eastAsia"/>
                      <w:color w:val="auto"/>
                    </w:rPr>
                    <w:t>101</w:t>
                  </w:r>
                </w:p>
              </w:tc>
              <w:tc>
                <w:tcPr>
                  <w:tcW w:w="927" w:type="dxa"/>
                  <w:tcBorders>
                    <w:tl2br w:val="nil"/>
                    <w:tr2bl w:val="nil"/>
                  </w:tcBorders>
                  <w:vAlign w:val="center"/>
                </w:tcPr>
                <w:p w14:paraId="29799C65">
                  <w:pPr>
                    <w:pStyle w:val="34"/>
                    <w:autoSpaceDE w:val="0"/>
                    <w:autoSpaceDN w:val="0"/>
                    <w:ind w:firstLineChars="0"/>
                    <w:rPr>
                      <w:color w:val="auto"/>
                    </w:rPr>
                  </w:pPr>
                  <w:r>
                    <w:rPr>
                      <w:rFonts w:hint="eastAsia"/>
                      <w:color w:val="auto"/>
                    </w:rPr>
                    <w:t>/</w:t>
                  </w:r>
                </w:p>
              </w:tc>
            </w:tr>
          </w:tbl>
          <w:p w14:paraId="540B6CBD">
            <w:pPr>
              <w:ind w:firstLine="480"/>
            </w:pPr>
          </w:p>
          <w:p w14:paraId="555771A4">
            <w:pPr>
              <w:ind w:firstLine="480"/>
            </w:pPr>
          </w:p>
          <w:p w14:paraId="16AF7866">
            <w:pPr>
              <w:ind w:firstLine="480"/>
            </w:pPr>
          </w:p>
          <w:p w14:paraId="2F405E59">
            <w:pPr>
              <w:ind w:firstLine="480"/>
            </w:pPr>
          </w:p>
          <w:p w14:paraId="4401C21E">
            <w:pPr>
              <w:ind w:firstLine="480"/>
            </w:pPr>
          </w:p>
          <w:p w14:paraId="2D58C981">
            <w:pPr>
              <w:ind w:firstLine="480"/>
            </w:pPr>
          </w:p>
          <w:p w14:paraId="06AABB86">
            <w:pPr>
              <w:ind w:left="0" w:leftChars="0" w:firstLine="0" w:firstLineChars="0"/>
            </w:pPr>
          </w:p>
          <w:p w14:paraId="64AA9008">
            <w:pPr>
              <w:ind w:firstLine="480"/>
            </w:pPr>
          </w:p>
          <w:p w14:paraId="7E647ED6">
            <w:pPr>
              <w:ind w:firstLine="480"/>
            </w:pPr>
          </w:p>
          <w:p w14:paraId="7062C236">
            <w:pPr>
              <w:ind w:firstLine="480"/>
            </w:pPr>
          </w:p>
          <w:p w14:paraId="3C87BA5A">
            <w:pPr>
              <w:ind w:left="0" w:leftChars="0" w:firstLine="0" w:firstLineChars="0"/>
            </w:pPr>
          </w:p>
        </w:tc>
      </w:tr>
    </w:tbl>
    <w:p w14:paraId="5F2E2C5C">
      <w:pPr>
        <w:ind w:firstLine="480"/>
        <w:sectPr>
          <w:pgSz w:w="11906" w:h="16838"/>
          <w:pgMar w:top="1800" w:right="1440" w:bottom="1800" w:left="1440" w:header="851" w:footer="992" w:gutter="0"/>
          <w:cols w:space="0" w:num="1"/>
          <w:docGrid w:type="lines" w:linePitch="312" w:charSpace="0"/>
        </w:sectPr>
      </w:pPr>
    </w:p>
    <w:p w14:paraId="0968B19F">
      <w:pPr>
        <w:pStyle w:val="16"/>
        <w:spacing w:before="0" w:beforeAutospacing="0" w:after="0" w:afterAutospacing="0"/>
        <w:ind w:right="120" w:rightChars="50" w:firstLine="600"/>
        <w:jc w:val="center"/>
        <w:outlineLvl w:val="0"/>
        <w:rPr>
          <w:rFonts w:ascii="黑体" w:hAnsi="黑体" w:eastAsia="黑体"/>
          <w:snapToGrid w:val="0"/>
          <w:sz w:val="30"/>
          <w:szCs w:val="30"/>
        </w:rPr>
      </w:pPr>
      <w:bookmarkStart w:id="8" w:name="_Toc22612"/>
      <w:r>
        <w:rPr>
          <w:rFonts w:hint="eastAsia" w:ascii="黑体" w:hAnsi="黑体" w:eastAsia="黑体"/>
          <w:snapToGrid w:val="0"/>
          <w:sz w:val="30"/>
          <w:szCs w:val="30"/>
        </w:rPr>
        <w:t>六、生态环境保护措施监督检查清单</w:t>
      </w:r>
      <w:bookmarkEnd w:id="8"/>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6"/>
        <w:gridCol w:w="3712"/>
        <w:gridCol w:w="1932"/>
        <w:gridCol w:w="1461"/>
        <w:gridCol w:w="881"/>
      </w:tblGrid>
      <w:tr w14:paraId="6B702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256" w:type="dxa"/>
            <w:vMerge w:val="restart"/>
            <w:vAlign w:val="center"/>
            <mc:AlternateContent>
              <mc:Choice Requires="wpsCustomData">
                <wpsCustomData:diagonals>
                  <wpsCustomData:diagonal from="10000" to="30000">
                    <wpsCustomData:border w:val="single" w:color="auto" w:sz="4" w:space="0"/>
                  </wpsCustomData:diagonal>
                </wpsCustomData:diagonals>
              </mc:Choice>
            </mc:AlternateContent>
          </w:tcPr>
          <w:p w14:paraId="1072DF54">
            <w:pPr>
              <w:snapToGrid w:val="0"/>
              <w:spacing w:line="240" w:lineRule="auto"/>
              <w:ind w:firstLine="0" w:firstLineChars="0"/>
              <w:jc w:val="center"/>
              <w:rPr>
                <w:b/>
                <w:bCs/>
              </w:rPr>
            </w:pPr>
          </w:p>
          <w:p w14:paraId="21EE66B2">
            <w:pPr>
              <w:snapToGrid w:val="0"/>
              <w:spacing w:line="240" w:lineRule="auto"/>
              <w:ind w:firstLine="0" w:firstLineChars="0"/>
              <w:jc w:val="center"/>
              <w:rPr>
                <w:b/>
                <w:bCs/>
              </w:rPr>
            </w:pPr>
          </w:p>
          <w:p w14:paraId="51E67196">
            <w:pPr>
              <w:snapToGrid w:val="0"/>
              <w:spacing w:line="240" w:lineRule="auto"/>
              <w:ind w:firstLine="0" w:firstLineChars="0"/>
              <w:jc w:val="center"/>
              <w:rPr>
                <w:b/>
                <w:bCs/>
              </w:rPr>
            </w:pPr>
          </w:p>
          <w:p w14:paraId="7494A21B">
            <w:pPr>
              <w:snapToGrid w:val="0"/>
              <w:spacing w:line="240" w:lineRule="auto"/>
              <w:ind w:firstLine="0" w:firstLineChars="0"/>
              <w:jc w:val="center"/>
              <mc:AlternateContent>
                <mc:Choice Requires="wpsCustomData">
                  <wpsCustomData:diagonalParaType/>
                </mc:Choice>
              </mc:AlternateContent>
              <w:rPr>
                <w:b/>
                <w:bCs/>
              </w:rPr>
            </w:pPr>
            <w:r>
              <w:rPr>
                <w:rFonts w:hint="eastAsia"/>
                <w:b/>
                <w:bCs/>
              </w:rPr>
              <w:t>内容</w:t>
            </w:r>
          </w:p>
          <w:p w14:paraId="3A362FB4">
            <w:pPr>
              <w:snapToGrid w:val="0"/>
              <w:spacing w:line="240" w:lineRule="auto"/>
              <w:ind w:firstLine="0" w:firstLineChars="0"/>
              <w:jc w:val="center"/>
              <w:rPr>
                <w:rFonts w:hint="eastAsia"/>
                <w:b/>
                <w:bCs/>
              </w:rPr>
            </w:pPr>
          </w:p>
          <w:p w14:paraId="2F03C729">
            <w:pPr>
              <w:snapToGrid w:val="0"/>
              <w:spacing w:line="240" w:lineRule="auto"/>
              <w:ind w:firstLine="0" w:firstLineChars="0"/>
              <w:jc w:val="center"/>
              <w:rPr>
                <w:b/>
                <w:bCs/>
              </w:rPr>
            </w:pPr>
            <w:r>
              <w:rPr>
                <w:rFonts w:hint="eastAsia"/>
                <w:b/>
                <w:bCs/>
              </w:rPr>
              <w:t>要素</w:t>
            </w:r>
          </w:p>
          <w:p w14:paraId="2E921A8F">
            <w:pPr>
              <w:spacing w:line="240" w:lineRule="auto"/>
              <w:ind w:firstLine="0" w:firstLineChars="0"/>
              <w:jc w:val="center"/>
              <w:rPr>
                <w:b/>
                <w:bCs/>
              </w:rPr>
            </w:pPr>
          </w:p>
        </w:tc>
        <w:tc>
          <w:tcPr>
            <w:tcW w:w="5644" w:type="dxa"/>
            <w:gridSpan w:val="2"/>
            <w:vAlign w:val="center"/>
          </w:tcPr>
          <w:p w14:paraId="051BEBA2">
            <w:pPr>
              <w:spacing w:line="240" w:lineRule="auto"/>
              <w:ind w:firstLine="0" w:firstLineChars="0"/>
              <w:jc w:val="center"/>
              <w:rPr>
                <w:b/>
                <w:bCs/>
              </w:rPr>
            </w:pPr>
            <w:r>
              <w:rPr>
                <w:rFonts w:hint="eastAsia"/>
                <w:b/>
                <w:bCs/>
              </w:rPr>
              <w:t>施工期</w:t>
            </w:r>
          </w:p>
        </w:tc>
        <w:tc>
          <w:tcPr>
            <w:tcW w:w="2342" w:type="dxa"/>
            <w:gridSpan w:val="2"/>
            <w:vAlign w:val="center"/>
          </w:tcPr>
          <w:p w14:paraId="1B2B6937">
            <w:pPr>
              <w:spacing w:line="240" w:lineRule="auto"/>
              <w:ind w:firstLine="0" w:firstLineChars="0"/>
              <w:jc w:val="center"/>
              <w:rPr>
                <w:b/>
                <w:bCs/>
              </w:rPr>
            </w:pPr>
            <w:r>
              <w:rPr>
                <w:rFonts w:hint="eastAsia"/>
                <w:b/>
                <w:bCs/>
              </w:rPr>
              <w:t>运营期</w:t>
            </w:r>
          </w:p>
        </w:tc>
      </w:tr>
      <w:tr w14:paraId="42AE5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256" w:type="dxa"/>
            <w:vMerge w:val="continue"/>
            <w:vAlign w:val="center"/>
          </w:tcPr>
          <w:p w14:paraId="47CC64A6">
            <w:pPr>
              <w:spacing w:line="240" w:lineRule="auto"/>
              <w:ind w:firstLine="0" w:firstLineChars="0"/>
              <w:jc w:val="center"/>
              <w:rPr>
                <w:b/>
                <w:bCs/>
              </w:rPr>
            </w:pPr>
          </w:p>
        </w:tc>
        <w:tc>
          <w:tcPr>
            <w:tcW w:w="3712" w:type="dxa"/>
            <w:vAlign w:val="center"/>
          </w:tcPr>
          <w:p w14:paraId="073E054E">
            <w:pPr>
              <w:spacing w:line="240" w:lineRule="auto"/>
              <w:ind w:firstLine="0" w:firstLineChars="0"/>
              <w:jc w:val="center"/>
              <w:rPr>
                <w:b/>
                <w:bCs/>
              </w:rPr>
            </w:pPr>
            <w:r>
              <w:rPr>
                <w:rFonts w:hint="eastAsia"/>
                <w:b/>
                <w:bCs/>
              </w:rPr>
              <w:t>环境保护措施</w:t>
            </w:r>
          </w:p>
        </w:tc>
        <w:tc>
          <w:tcPr>
            <w:tcW w:w="1932" w:type="dxa"/>
            <w:vAlign w:val="center"/>
          </w:tcPr>
          <w:p w14:paraId="715E425F">
            <w:pPr>
              <w:spacing w:line="240" w:lineRule="auto"/>
              <w:ind w:firstLine="0" w:firstLineChars="0"/>
              <w:jc w:val="center"/>
              <w:rPr>
                <w:b/>
                <w:bCs/>
              </w:rPr>
            </w:pPr>
            <w:r>
              <w:rPr>
                <w:rFonts w:hint="eastAsia"/>
                <w:b/>
                <w:bCs/>
              </w:rPr>
              <w:t>验收要求</w:t>
            </w:r>
          </w:p>
        </w:tc>
        <w:tc>
          <w:tcPr>
            <w:tcW w:w="1461" w:type="dxa"/>
            <w:vAlign w:val="center"/>
          </w:tcPr>
          <w:p w14:paraId="482529D4">
            <w:pPr>
              <w:spacing w:line="240" w:lineRule="auto"/>
              <w:ind w:firstLine="0" w:firstLineChars="0"/>
              <w:jc w:val="center"/>
              <w:rPr>
                <w:b/>
                <w:bCs/>
              </w:rPr>
            </w:pPr>
            <w:r>
              <w:rPr>
                <w:rFonts w:hint="eastAsia"/>
                <w:b/>
                <w:bCs/>
              </w:rPr>
              <w:t>环境保护措施</w:t>
            </w:r>
          </w:p>
        </w:tc>
        <w:tc>
          <w:tcPr>
            <w:tcW w:w="881" w:type="dxa"/>
            <w:vAlign w:val="center"/>
          </w:tcPr>
          <w:p w14:paraId="54C27278">
            <w:pPr>
              <w:spacing w:line="240" w:lineRule="auto"/>
              <w:ind w:firstLine="0" w:firstLineChars="0"/>
              <w:jc w:val="center"/>
              <w:rPr>
                <w:b/>
                <w:bCs/>
              </w:rPr>
            </w:pPr>
            <w:r>
              <w:rPr>
                <w:rFonts w:hint="eastAsia"/>
                <w:b/>
                <w:bCs/>
              </w:rPr>
              <w:t>验收要求</w:t>
            </w:r>
          </w:p>
        </w:tc>
      </w:tr>
      <w:tr w14:paraId="4EE0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Merge w:val="restart"/>
            <w:vAlign w:val="center"/>
          </w:tcPr>
          <w:p w14:paraId="357BCC31">
            <w:pPr>
              <w:spacing w:line="240" w:lineRule="auto"/>
              <w:ind w:firstLine="0" w:firstLineChars="0"/>
              <w:jc w:val="center"/>
            </w:pPr>
            <w:r>
              <w:rPr>
                <w:rFonts w:hint="eastAsia"/>
              </w:rPr>
              <w:t>陆生生态</w:t>
            </w:r>
          </w:p>
        </w:tc>
        <w:tc>
          <w:tcPr>
            <w:tcW w:w="3712" w:type="dxa"/>
            <w:vAlign w:val="center"/>
          </w:tcPr>
          <w:p w14:paraId="695537D5">
            <w:pPr>
              <w:spacing w:line="240" w:lineRule="auto"/>
              <w:ind w:firstLine="0" w:firstLineChars="0"/>
              <w:jc w:val="center"/>
            </w:pPr>
            <w:r>
              <w:rPr>
                <w:rFonts w:hint="eastAsia"/>
              </w:rPr>
              <w:t>补偿、减少影响范围、生态恢复：合理布置施工场地，禁砍伐野外植被，严格划定施工作业范围；临时表土堆场土方集中堆存，并采取拦挡、排水措施以及防雨布等临时遮挡措施。</w:t>
            </w:r>
          </w:p>
        </w:tc>
        <w:tc>
          <w:tcPr>
            <w:tcW w:w="1932" w:type="dxa"/>
            <w:vAlign w:val="center"/>
          </w:tcPr>
          <w:p w14:paraId="054BE3E3">
            <w:pPr>
              <w:spacing w:line="240" w:lineRule="auto"/>
              <w:ind w:firstLine="0" w:firstLineChars="0"/>
              <w:jc w:val="center"/>
            </w:pPr>
            <w:r>
              <w:rPr>
                <w:rFonts w:hint="eastAsia"/>
              </w:rPr>
              <w:t>水土保持，生态影响小。</w:t>
            </w:r>
          </w:p>
        </w:tc>
        <w:tc>
          <w:tcPr>
            <w:tcW w:w="1461" w:type="dxa"/>
            <w:vAlign w:val="center"/>
          </w:tcPr>
          <w:p w14:paraId="4B723875">
            <w:pPr>
              <w:spacing w:line="240" w:lineRule="auto"/>
              <w:ind w:firstLine="0" w:firstLineChars="0"/>
              <w:jc w:val="center"/>
            </w:pPr>
            <w:r>
              <w:rPr>
                <w:rFonts w:hint="eastAsia"/>
              </w:rPr>
              <w:t>/</w:t>
            </w:r>
          </w:p>
        </w:tc>
        <w:tc>
          <w:tcPr>
            <w:tcW w:w="881" w:type="dxa"/>
            <w:vAlign w:val="center"/>
          </w:tcPr>
          <w:p w14:paraId="77ECB4CC">
            <w:pPr>
              <w:spacing w:line="240" w:lineRule="auto"/>
              <w:ind w:firstLine="0" w:firstLineChars="0"/>
              <w:jc w:val="center"/>
            </w:pPr>
            <w:r>
              <w:rPr>
                <w:rFonts w:hint="eastAsia"/>
              </w:rPr>
              <w:t>/</w:t>
            </w:r>
          </w:p>
        </w:tc>
      </w:tr>
      <w:tr w14:paraId="4F54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Merge w:val="continue"/>
            <w:vAlign w:val="center"/>
          </w:tcPr>
          <w:p w14:paraId="23933810">
            <w:pPr>
              <w:spacing w:line="240" w:lineRule="auto"/>
              <w:ind w:firstLine="0" w:firstLineChars="0"/>
              <w:jc w:val="center"/>
            </w:pPr>
          </w:p>
        </w:tc>
        <w:tc>
          <w:tcPr>
            <w:tcW w:w="3712" w:type="dxa"/>
            <w:vAlign w:val="center"/>
          </w:tcPr>
          <w:p w14:paraId="61DA7050">
            <w:pPr>
              <w:spacing w:line="240" w:lineRule="auto"/>
              <w:ind w:firstLine="0" w:firstLineChars="0"/>
              <w:jc w:val="center"/>
            </w:pPr>
            <w:r>
              <w:rPr>
                <w:rFonts w:hint="eastAsia"/>
              </w:rPr>
              <w:t>临时占地恢复：临时占地上的设施搬迁后，拆除基础，进行复垦到原状态，对沉淀池等进行拆除回填平整，现场无废弃构造设施遗留。</w:t>
            </w:r>
          </w:p>
        </w:tc>
        <w:tc>
          <w:tcPr>
            <w:tcW w:w="1932" w:type="dxa"/>
            <w:vAlign w:val="center"/>
          </w:tcPr>
          <w:p w14:paraId="1413973D">
            <w:pPr>
              <w:spacing w:line="240" w:lineRule="auto"/>
              <w:ind w:firstLine="0" w:firstLineChars="0"/>
              <w:jc w:val="center"/>
            </w:pPr>
            <w:r>
              <w:rPr>
                <w:rFonts w:hint="eastAsia"/>
              </w:rPr>
              <w:t>占地恢复原有土地利用性质。</w:t>
            </w:r>
          </w:p>
        </w:tc>
        <w:tc>
          <w:tcPr>
            <w:tcW w:w="1461" w:type="dxa"/>
            <w:vAlign w:val="center"/>
          </w:tcPr>
          <w:p w14:paraId="4E9DC165">
            <w:pPr>
              <w:spacing w:line="240" w:lineRule="auto"/>
              <w:ind w:firstLine="0" w:firstLineChars="0"/>
              <w:jc w:val="center"/>
            </w:pPr>
            <w:r>
              <w:rPr>
                <w:rFonts w:hint="eastAsia"/>
              </w:rPr>
              <w:t>/</w:t>
            </w:r>
          </w:p>
        </w:tc>
        <w:tc>
          <w:tcPr>
            <w:tcW w:w="881" w:type="dxa"/>
            <w:vAlign w:val="center"/>
          </w:tcPr>
          <w:p w14:paraId="15112F6A">
            <w:pPr>
              <w:spacing w:line="240" w:lineRule="auto"/>
              <w:ind w:firstLine="0" w:firstLineChars="0"/>
              <w:jc w:val="center"/>
            </w:pPr>
            <w:r>
              <w:rPr>
                <w:rFonts w:hint="eastAsia"/>
              </w:rPr>
              <w:t>/</w:t>
            </w:r>
          </w:p>
        </w:tc>
      </w:tr>
      <w:tr w14:paraId="051F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Merge w:val="continue"/>
            <w:vAlign w:val="center"/>
          </w:tcPr>
          <w:p w14:paraId="7CE3C8BA">
            <w:pPr>
              <w:spacing w:line="240" w:lineRule="auto"/>
              <w:ind w:firstLine="0" w:firstLineChars="0"/>
              <w:jc w:val="center"/>
            </w:pPr>
          </w:p>
        </w:tc>
        <w:tc>
          <w:tcPr>
            <w:tcW w:w="3712" w:type="dxa"/>
            <w:vAlign w:val="center"/>
          </w:tcPr>
          <w:p w14:paraId="49987677">
            <w:pPr>
              <w:spacing w:line="240" w:lineRule="auto"/>
              <w:ind w:firstLine="0" w:firstLineChars="0"/>
              <w:jc w:val="center"/>
            </w:pPr>
            <w:r>
              <w:rPr>
                <w:rFonts w:hint="eastAsia"/>
              </w:rPr>
              <w:t>植被恢复：对填埋后的沉淀池等回填覆土，恢复生态，施工场地、临时堆场、施工便道等临时占地施工结束后恢复原貌。</w:t>
            </w:r>
          </w:p>
        </w:tc>
        <w:tc>
          <w:tcPr>
            <w:tcW w:w="1932" w:type="dxa"/>
            <w:vAlign w:val="center"/>
          </w:tcPr>
          <w:p w14:paraId="79058679">
            <w:pPr>
              <w:spacing w:line="240" w:lineRule="auto"/>
              <w:ind w:firstLine="0" w:firstLineChars="0"/>
              <w:jc w:val="center"/>
            </w:pPr>
            <w:r>
              <w:rPr>
                <w:rFonts w:hint="eastAsia"/>
              </w:rPr>
              <w:t>土地恢复生产力。</w:t>
            </w:r>
          </w:p>
        </w:tc>
        <w:tc>
          <w:tcPr>
            <w:tcW w:w="1461" w:type="dxa"/>
            <w:vAlign w:val="center"/>
          </w:tcPr>
          <w:p w14:paraId="6404C897">
            <w:pPr>
              <w:spacing w:line="240" w:lineRule="auto"/>
              <w:ind w:firstLine="0" w:firstLineChars="0"/>
              <w:jc w:val="center"/>
            </w:pPr>
            <w:r>
              <w:rPr>
                <w:rFonts w:hint="eastAsia"/>
              </w:rPr>
              <w:t>/</w:t>
            </w:r>
          </w:p>
        </w:tc>
        <w:tc>
          <w:tcPr>
            <w:tcW w:w="881" w:type="dxa"/>
            <w:vAlign w:val="center"/>
          </w:tcPr>
          <w:p w14:paraId="269033C8">
            <w:pPr>
              <w:spacing w:line="240" w:lineRule="auto"/>
              <w:ind w:firstLine="0" w:firstLineChars="0"/>
              <w:jc w:val="center"/>
            </w:pPr>
            <w:r>
              <w:rPr>
                <w:rFonts w:hint="eastAsia"/>
              </w:rPr>
              <w:t>/</w:t>
            </w:r>
          </w:p>
        </w:tc>
      </w:tr>
      <w:tr w14:paraId="336DF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1A2183B5">
            <w:pPr>
              <w:spacing w:line="240" w:lineRule="auto"/>
              <w:ind w:firstLine="0" w:firstLineChars="0"/>
              <w:jc w:val="center"/>
            </w:pPr>
            <w:r>
              <w:rPr>
                <w:rFonts w:hint="eastAsia"/>
              </w:rPr>
              <w:t>水生生态</w:t>
            </w:r>
          </w:p>
        </w:tc>
        <w:tc>
          <w:tcPr>
            <w:tcW w:w="3712" w:type="dxa"/>
            <w:vAlign w:val="center"/>
          </w:tcPr>
          <w:p w14:paraId="12C6674F">
            <w:pPr>
              <w:spacing w:line="240" w:lineRule="auto"/>
              <w:ind w:firstLine="0" w:firstLineChars="0"/>
              <w:jc w:val="center"/>
            </w:pPr>
            <w:r>
              <w:rPr>
                <w:rFonts w:hint="eastAsia"/>
              </w:rPr>
              <w:t>本工程在施工过程中通过对河段设置导流工程，减少施工过程基础开挖等对水生生物造成的影响。同时在施工过程中应加强环保监督，严禁建筑垃圾、生活垃圾等倾倒入河流中。加强施工人员的培训，禁止捕鱼等活动。本工程生活污水禁止直接排入河内。</w:t>
            </w:r>
          </w:p>
        </w:tc>
        <w:tc>
          <w:tcPr>
            <w:tcW w:w="1932" w:type="dxa"/>
            <w:vAlign w:val="center"/>
          </w:tcPr>
          <w:p w14:paraId="60761026">
            <w:pPr>
              <w:spacing w:line="240" w:lineRule="auto"/>
              <w:ind w:firstLine="0" w:firstLineChars="0"/>
              <w:jc w:val="center"/>
            </w:pPr>
            <w:r>
              <w:rPr>
                <w:rFonts w:hint="eastAsia"/>
              </w:rPr>
              <w:t>不造成水生生态明显恶化。</w:t>
            </w:r>
          </w:p>
        </w:tc>
        <w:tc>
          <w:tcPr>
            <w:tcW w:w="1461" w:type="dxa"/>
            <w:vAlign w:val="center"/>
          </w:tcPr>
          <w:p w14:paraId="2C566277">
            <w:pPr>
              <w:spacing w:line="240" w:lineRule="auto"/>
              <w:ind w:firstLine="0" w:firstLineChars="0"/>
              <w:jc w:val="center"/>
            </w:pPr>
            <w:r>
              <w:rPr>
                <w:rFonts w:hint="eastAsia"/>
              </w:rPr>
              <w:t>/</w:t>
            </w:r>
          </w:p>
        </w:tc>
        <w:tc>
          <w:tcPr>
            <w:tcW w:w="881" w:type="dxa"/>
            <w:vAlign w:val="center"/>
          </w:tcPr>
          <w:p w14:paraId="090C2ED9">
            <w:pPr>
              <w:spacing w:line="240" w:lineRule="auto"/>
              <w:ind w:firstLine="0" w:firstLineChars="0"/>
              <w:jc w:val="center"/>
            </w:pPr>
            <w:r>
              <w:rPr>
                <w:rFonts w:hint="eastAsia"/>
              </w:rPr>
              <w:t>/</w:t>
            </w:r>
          </w:p>
        </w:tc>
      </w:tr>
      <w:tr w14:paraId="2E10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Merge w:val="restart"/>
            <w:vAlign w:val="center"/>
          </w:tcPr>
          <w:p w14:paraId="1C957047">
            <w:pPr>
              <w:spacing w:line="240" w:lineRule="auto"/>
              <w:ind w:firstLine="0" w:firstLineChars="0"/>
              <w:jc w:val="center"/>
            </w:pPr>
            <w:r>
              <w:rPr>
                <w:rFonts w:hint="eastAsia"/>
              </w:rPr>
              <w:t>地表水环境</w:t>
            </w:r>
          </w:p>
        </w:tc>
        <w:tc>
          <w:tcPr>
            <w:tcW w:w="3712" w:type="dxa"/>
            <w:vAlign w:val="center"/>
          </w:tcPr>
          <w:p w14:paraId="2C0111FC">
            <w:pPr>
              <w:spacing w:line="240" w:lineRule="auto"/>
              <w:ind w:firstLine="0" w:firstLineChars="0"/>
              <w:jc w:val="center"/>
            </w:pPr>
            <w:r>
              <w:rPr>
                <w:rFonts w:hint="eastAsia"/>
              </w:rPr>
              <w:t>生活污水：项目租赁周边居民房屋作为施工生活区，生活污水经市政管网进入城镇污水处理厂处理。</w:t>
            </w:r>
          </w:p>
        </w:tc>
        <w:tc>
          <w:tcPr>
            <w:tcW w:w="1932" w:type="dxa"/>
            <w:vMerge w:val="restart"/>
            <w:vAlign w:val="center"/>
          </w:tcPr>
          <w:p w14:paraId="401BC13F">
            <w:pPr>
              <w:spacing w:line="240" w:lineRule="auto"/>
              <w:ind w:firstLine="0" w:firstLineChars="0"/>
              <w:jc w:val="center"/>
            </w:pPr>
            <w:r>
              <w:rPr>
                <w:rFonts w:hint="eastAsia"/>
              </w:rPr>
              <w:t>落实污水处理措施</w:t>
            </w:r>
          </w:p>
        </w:tc>
        <w:tc>
          <w:tcPr>
            <w:tcW w:w="1461" w:type="dxa"/>
            <w:vMerge w:val="restart"/>
            <w:vAlign w:val="center"/>
          </w:tcPr>
          <w:p w14:paraId="03D1596B">
            <w:pPr>
              <w:spacing w:line="240" w:lineRule="auto"/>
              <w:ind w:firstLine="0" w:firstLineChars="0"/>
              <w:jc w:val="center"/>
            </w:pPr>
            <w:r>
              <w:rPr>
                <w:rFonts w:hint="eastAsia"/>
              </w:rPr>
              <w:t>生活污水经市政管网进入城镇污水处理厂处理。</w:t>
            </w:r>
          </w:p>
        </w:tc>
        <w:tc>
          <w:tcPr>
            <w:tcW w:w="881" w:type="dxa"/>
            <w:vMerge w:val="restart"/>
            <w:vAlign w:val="center"/>
          </w:tcPr>
          <w:p w14:paraId="116014F2">
            <w:pPr>
              <w:spacing w:line="240" w:lineRule="auto"/>
              <w:ind w:firstLine="0" w:firstLineChars="0"/>
              <w:jc w:val="center"/>
            </w:pPr>
            <w:r>
              <w:rPr>
                <w:rFonts w:hint="eastAsia"/>
              </w:rPr>
              <w:t>落实污水处理措施</w:t>
            </w:r>
          </w:p>
        </w:tc>
      </w:tr>
      <w:tr w14:paraId="6C9C7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Merge w:val="continue"/>
            <w:vAlign w:val="center"/>
          </w:tcPr>
          <w:p w14:paraId="42ABBB81">
            <w:pPr>
              <w:spacing w:line="240" w:lineRule="auto"/>
              <w:ind w:firstLine="0" w:firstLineChars="0"/>
              <w:jc w:val="center"/>
            </w:pPr>
          </w:p>
        </w:tc>
        <w:tc>
          <w:tcPr>
            <w:tcW w:w="3712" w:type="dxa"/>
            <w:vAlign w:val="center"/>
          </w:tcPr>
          <w:p w14:paraId="51452412">
            <w:pPr>
              <w:spacing w:line="240" w:lineRule="auto"/>
              <w:ind w:firstLine="0" w:firstLineChars="0"/>
              <w:jc w:val="center"/>
            </w:pPr>
            <w:r>
              <w:rPr>
                <w:rFonts w:hint="eastAsia"/>
              </w:rPr>
              <w:t>施工废水：经隔油沉淀池处理后全部用于车辆冲洗、洒水降尘等，不外排。</w:t>
            </w:r>
          </w:p>
        </w:tc>
        <w:tc>
          <w:tcPr>
            <w:tcW w:w="1932" w:type="dxa"/>
            <w:vMerge w:val="continue"/>
            <w:vAlign w:val="center"/>
          </w:tcPr>
          <w:p w14:paraId="6485A911">
            <w:pPr>
              <w:spacing w:line="240" w:lineRule="auto"/>
              <w:ind w:firstLine="0" w:firstLineChars="0"/>
              <w:jc w:val="center"/>
            </w:pPr>
          </w:p>
        </w:tc>
        <w:tc>
          <w:tcPr>
            <w:tcW w:w="1461" w:type="dxa"/>
            <w:vMerge w:val="continue"/>
            <w:vAlign w:val="center"/>
          </w:tcPr>
          <w:p w14:paraId="76B3EBE8">
            <w:pPr>
              <w:spacing w:line="240" w:lineRule="auto"/>
              <w:ind w:firstLine="0" w:firstLineChars="0"/>
              <w:jc w:val="center"/>
            </w:pPr>
          </w:p>
        </w:tc>
        <w:tc>
          <w:tcPr>
            <w:tcW w:w="881" w:type="dxa"/>
            <w:vMerge w:val="continue"/>
            <w:vAlign w:val="center"/>
          </w:tcPr>
          <w:p w14:paraId="6F6E1159">
            <w:pPr>
              <w:spacing w:line="240" w:lineRule="auto"/>
              <w:ind w:firstLine="0" w:firstLineChars="0"/>
              <w:jc w:val="center"/>
            </w:pPr>
          </w:p>
        </w:tc>
      </w:tr>
      <w:tr w14:paraId="6A36B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Merge w:val="continue"/>
            <w:vAlign w:val="center"/>
          </w:tcPr>
          <w:p w14:paraId="4A77BBA3">
            <w:pPr>
              <w:spacing w:line="240" w:lineRule="auto"/>
              <w:ind w:firstLine="0" w:firstLineChars="0"/>
              <w:jc w:val="center"/>
            </w:pPr>
          </w:p>
        </w:tc>
        <w:tc>
          <w:tcPr>
            <w:tcW w:w="3712" w:type="dxa"/>
            <w:vAlign w:val="center"/>
          </w:tcPr>
          <w:p w14:paraId="6E6645C9">
            <w:pPr>
              <w:spacing w:line="240" w:lineRule="auto"/>
              <w:ind w:firstLine="0" w:firstLineChars="0"/>
              <w:jc w:val="center"/>
            </w:pPr>
            <w:r>
              <w:rPr>
                <w:rFonts w:hint="eastAsia"/>
              </w:rPr>
              <w:t>围堰内废水：围堰内废水用水泵抽至沉淀池，经沉淀后上清液回用于洒水抑尘、工程养护、车辆冲洗等，多余上清液引至围堰外河道排放。</w:t>
            </w:r>
          </w:p>
        </w:tc>
        <w:tc>
          <w:tcPr>
            <w:tcW w:w="1932" w:type="dxa"/>
            <w:vMerge w:val="continue"/>
            <w:vAlign w:val="center"/>
          </w:tcPr>
          <w:p w14:paraId="64902D99">
            <w:pPr>
              <w:spacing w:line="240" w:lineRule="auto"/>
              <w:ind w:firstLine="0" w:firstLineChars="0"/>
              <w:jc w:val="center"/>
            </w:pPr>
          </w:p>
        </w:tc>
        <w:tc>
          <w:tcPr>
            <w:tcW w:w="1461" w:type="dxa"/>
            <w:vMerge w:val="continue"/>
            <w:vAlign w:val="center"/>
          </w:tcPr>
          <w:p w14:paraId="0A3230E9">
            <w:pPr>
              <w:spacing w:line="240" w:lineRule="auto"/>
              <w:ind w:firstLine="0" w:firstLineChars="0"/>
              <w:jc w:val="center"/>
            </w:pPr>
          </w:p>
        </w:tc>
        <w:tc>
          <w:tcPr>
            <w:tcW w:w="881" w:type="dxa"/>
            <w:vMerge w:val="continue"/>
            <w:vAlign w:val="center"/>
          </w:tcPr>
          <w:p w14:paraId="428B0474">
            <w:pPr>
              <w:spacing w:line="240" w:lineRule="auto"/>
              <w:ind w:firstLine="0" w:firstLineChars="0"/>
              <w:jc w:val="center"/>
            </w:pPr>
          </w:p>
        </w:tc>
      </w:tr>
      <w:tr w14:paraId="37B96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Merge w:val="restart"/>
            <w:vAlign w:val="center"/>
          </w:tcPr>
          <w:p w14:paraId="7E6001FF">
            <w:pPr>
              <w:spacing w:line="240" w:lineRule="auto"/>
              <w:ind w:firstLine="0" w:firstLineChars="0"/>
              <w:jc w:val="center"/>
            </w:pPr>
            <w:r>
              <w:rPr>
                <w:rFonts w:hint="eastAsia"/>
              </w:rPr>
              <w:t>大气环境</w:t>
            </w:r>
          </w:p>
        </w:tc>
        <w:tc>
          <w:tcPr>
            <w:tcW w:w="3712" w:type="dxa"/>
            <w:vAlign w:val="center"/>
          </w:tcPr>
          <w:p w14:paraId="443998A2">
            <w:pPr>
              <w:spacing w:line="240" w:lineRule="auto"/>
              <w:ind w:firstLine="0" w:firstLineChars="0"/>
              <w:jc w:val="center"/>
            </w:pPr>
            <w:r>
              <w:rPr>
                <w:rFonts w:hint="eastAsia"/>
              </w:rPr>
              <w:t>施工扬尘：①施工全线围挡施工，围挡上方设置喷雾降尘装置；②施工主要道路硬化并定期对地面洒水降尘，进出车辆冲洗；③运输车辆密闭；④禁止风天进行渣土堆放作业，易产生扬尘的材料应进行覆盖；⑤风速大于4m/s时应停止施工。</w:t>
            </w:r>
          </w:p>
        </w:tc>
        <w:tc>
          <w:tcPr>
            <w:tcW w:w="1932" w:type="dxa"/>
            <w:vMerge w:val="restart"/>
            <w:vAlign w:val="center"/>
          </w:tcPr>
          <w:p w14:paraId="70A16893">
            <w:pPr>
              <w:spacing w:line="240" w:lineRule="auto"/>
              <w:ind w:firstLine="0" w:firstLineChars="0"/>
              <w:jc w:val="center"/>
            </w:pPr>
            <w:r>
              <w:rPr>
                <w:rFonts w:hint="eastAsia"/>
              </w:rPr>
              <w:t>环评中提出的环境保护措施落实情况，扬尘满足《四川省施工场地扬尘排放标准》（DB51/2682-2020）表1规定的标准限值要求。</w:t>
            </w:r>
          </w:p>
        </w:tc>
        <w:tc>
          <w:tcPr>
            <w:tcW w:w="1461" w:type="dxa"/>
            <w:vMerge w:val="restart"/>
            <w:vAlign w:val="center"/>
          </w:tcPr>
          <w:p w14:paraId="7B35B48D">
            <w:pPr>
              <w:spacing w:line="240" w:lineRule="auto"/>
              <w:ind w:firstLine="0" w:firstLineChars="0"/>
              <w:jc w:val="center"/>
            </w:pPr>
            <w:r>
              <w:rPr>
                <w:rFonts w:hint="eastAsia"/>
              </w:rPr>
              <w:t>汽车尾气：完善绿化，严格限制车速，加强管理。</w:t>
            </w:r>
          </w:p>
        </w:tc>
        <w:tc>
          <w:tcPr>
            <w:tcW w:w="881" w:type="dxa"/>
            <w:vMerge w:val="restart"/>
            <w:vAlign w:val="center"/>
          </w:tcPr>
          <w:p w14:paraId="565C8DD1">
            <w:pPr>
              <w:spacing w:line="240" w:lineRule="auto"/>
              <w:ind w:firstLine="0" w:firstLineChars="0"/>
              <w:jc w:val="center"/>
            </w:pPr>
            <w:r>
              <w:rPr>
                <w:rFonts w:hint="eastAsia"/>
              </w:rPr>
              <w:t>落实相关管理措施</w:t>
            </w:r>
          </w:p>
        </w:tc>
      </w:tr>
      <w:tr w14:paraId="7A242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Merge w:val="continue"/>
            <w:vAlign w:val="center"/>
          </w:tcPr>
          <w:p w14:paraId="5F1EFC14">
            <w:pPr>
              <w:spacing w:line="240" w:lineRule="auto"/>
              <w:ind w:firstLine="0" w:firstLineChars="0"/>
              <w:jc w:val="center"/>
            </w:pPr>
          </w:p>
        </w:tc>
        <w:tc>
          <w:tcPr>
            <w:tcW w:w="3712" w:type="dxa"/>
            <w:vAlign w:val="center"/>
          </w:tcPr>
          <w:p w14:paraId="42B97F54">
            <w:pPr>
              <w:spacing w:line="240" w:lineRule="auto"/>
              <w:ind w:firstLine="0" w:firstLineChars="0"/>
              <w:jc w:val="center"/>
            </w:pPr>
            <w:r>
              <w:rPr>
                <w:rFonts w:hint="eastAsia"/>
              </w:rPr>
              <w:t>机械废气：施工机械废气通过选用合格的机械设备及大气扩散得到缓解。</w:t>
            </w:r>
          </w:p>
        </w:tc>
        <w:tc>
          <w:tcPr>
            <w:tcW w:w="1932" w:type="dxa"/>
            <w:vMerge w:val="continue"/>
            <w:vAlign w:val="center"/>
          </w:tcPr>
          <w:p w14:paraId="6156A137">
            <w:pPr>
              <w:spacing w:line="240" w:lineRule="auto"/>
              <w:ind w:firstLine="0" w:firstLineChars="0"/>
              <w:jc w:val="center"/>
            </w:pPr>
          </w:p>
        </w:tc>
        <w:tc>
          <w:tcPr>
            <w:tcW w:w="1461" w:type="dxa"/>
            <w:vMerge w:val="continue"/>
            <w:vAlign w:val="center"/>
          </w:tcPr>
          <w:p w14:paraId="5373A3CE">
            <w:pPr>
              <w:spacing w:line="240" w:lineRule="auto"/>
              <w:ind w:firstLine="0" w:firstLineChars="0"/>
              <w:jc w:val="center"/>
            </w:pPr>
          </w:p>
        </w:tc>
        <w:tc>
          <w:tcPr>
            <w:tcW w:w="881" w:type="dxa"/>
            <w:vMerge w:val="continue"/>
            <w:vAlign w:val="center"/>
          </w:tcPr>
          <w:p w14:paraId="165FF419">
            <w:pPr>
              <w:spacing w:line="240" w:lineRule="auto"/>
              <w:ind w:firstLine="0" w:firstLineChars="0"/>
              <w:jc w:val="center"/>
            </w:pPr>
          </w:p>
        </w:tc>
      </w:tr>
      <w:tr w14:paraId="22E21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5867DC41">
            <w:pPr>
              <w:spacing w:line="240" w:lineRule="auto"/>
              <w:ind w:firstLine="0" w:firstLineChars="0"/>
              <w:jc w:val="center"/>
            </w:pPr>
            <w:r>
              <w:rPr>
                <w:rFonts w:hint="eastAsia"/>
              </w:rPr>
              <w:t>声环境</w:t>
            </w:r>
          </w:p>
        </w:tc>
        <w:tc>
          <w:tcPr>
            <w:tcW w:w="3712" w:type="dxa"/>
            <w:vAlign w:val="center"/>
          </w:tcPr>
          <w:p w14:paraId="23798DF2">
            <w:pPr>
              <w:spacing w:line="240" w:lineRule="auto"/>
              <w:ind w:firstLine="0" w:firstLineChars="0"/>
              <w:jc w:val="center"/>
            </w:pPr>
            <w:r>
              <w:rPr>
                <w:rFonts w:hint="eastAsia"/>
              </w:rPr>
              <w:t>选用低噪声设备、加强设备维修保养；合理安排施工作业时间，夜间、午休时间禁止施工。</w:t>
            </w:r>
          </w:p>
        </w:tc>
        <w:tc>
          <w:tcPr>
            <w:tcW w:w="1932" w:type="dxa"/>
            <w:vAlign w:val="center"/>
          </w:tcPr>
          <w:p w14:paraId="094738B6">
            <w:pPr>
              <w:spacing w:line="240" w:lineRule="auto"/>
              <w:ind w:firstLine="0" w:firstLineChars="0"/>
              <w:jc w:val="center"/>
            </w:pPr>
            <w:r>
              <w:rPr>
                <w:rFonts w:hint="eastAsia"/>
              </w:rPr>
              <w:t>满足《建筑施工噪声排放标准》（GB12523-2025)中的标准限值</w:t>
            </w:r>
          </w:p>
        </w:tc>
        <w:tc>
          <w:tcPr>
            <w:tcW w:w="1461" w:type="dxa"/>
            <w:vAlign w:val="center"/>
          </w:tcPr>
          <w:p w14:paraId="0C574FA6">
            <w:pPr>
              <w:spacing w:line="240" w:lineRule="auto"/>
              <w:ind w:firstLine="0" w:firstLineChars="0"/>
              <w:jc w:val="center"/>
            </w:pPr>
            <w:r>
              <w:rPr>
                <w:rFonts w:hint="eastAsia"/>
              </w:rPr>
              <w:t>加强管理</w:t>
            </w:r>
          </w:p>
        </w:tc>
        <w:tc>
          <w:tcPr>
            <w:tcW w:w="881" w:type="dxa"/>
            <w:vAlign w:val="center"/>
          </w:tcPr>
          <w:p w14:paraId="0C974942">
            <w:pPr>
              <w:spacing w:line="240" w:lineRule="auto"/>
              <w:ind w:firstLine="0" w:firstLineChars="0"/>
              <w:jc w:val="center"/>
            </w:pPr>
            <w:r>
              <w:rPr>
                <w:rFonts w:hint="eastAsia"/>
              </w:rPr>
              <w:t>落实相关管理措施</w:t>
            </w:r>
          </w:p>
        </w:tc>
      </w:tr>
      <w:tr w14:paraId="2A35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Merge w:val="restart"/>
            <w:vAlign w:val="center"/>
          </w:tcPr>
          <w:p w14:paraId="56286E4C">
            <w:pPr>
              <w:spacing w:line="240" w:lineRule="auto"/>
              <w:ind w:firstLine="0" w:firstLineChars="0"/>
              <w:jc w:val="center"/>
            </w:pPr>
            <w:r>
              <w:rPr>
                <w:rFonts w:hint="eastAsia"/>
              </w:rPr>
              <w:t>固体废物</w:t>
            </w:r>
          </w:p>
        </w:tc>
        <w:tc>
          <w:tcPr>
            <w:tcW w:w="3712" w:type="dxa"/>
            <w:vAlign w:val="center"/>
          </w:tcPr>
          <w:p w14:paraId="681C3432">
            <w:pPr>
              <w:spacing w:line="240" w:lineRule="auto"/>
              <w:ind w:firstLine="0" w:firstLineChars="0"/>
              <w:jc w:val="center"/>
            </w:pPr>
            <w:r>
              <w:rPr>
                <w:rFonts w:hint="eastAsia"/>
              </w:rPr>
              <w:t>建筑垃圾可资源化的外售资源处，不能回收利用的送至建筑垃圾填埋场处理</w:t>
            </w:r>
          </w:p>
        </w:tc>
        <w:tc>
          <w:tcPr>
            <w:tcW w:w="1932" w:type="dxa"/>
            <w:vMerge w:val="restart"/>
            <w:vAlign w:val="center"/>
          </w:tcPr>
          <w:p w14:paraId="1D0B5329">
            <w:pPr>
              <w:spacing w:line="240" w:lineRule="auto"/>
              <w:ind w:firstLine="0" w:firstLineChars="0"/>
              <w:jc w:val="center"/>
            </w:pPr>
            <w:r>
              <w:rPr>
                <w:rFonts w:hint="eastAsia"/>
              </w:rPr>
              <w:t>环评中提出的环境保护措施落实情况</w:t>
            </w:r>
          </w:p>
        </w:tc>
        <w:tc>
          <w:tcPr>
            <w:tcW w:w="1461" w:type="dxa"/>
            <w:vMerge w:val="restart"/>
            <w:vAlign w:val="center"/>
          </w:tcPr>
          <w:p w14:paraId="5681FC13">
            <w:pPr>
              <w:spacing w:line="240" w:lineRule="auto"/>
              <w:ind w:firstLine="0" w:firstLineChars="0"/>
              <w:jc w:val="center"/>
            </w:pPr>
            <w:r>
              <w:rPr>
                <w:rFonts w:hint="eastAsia"/>
              </w:rPr>
              <w:t>生活垃圾经现场袋装收集后由市政环卫部门清运处理</w:t>
            </w:r>
          </w:p>
        </w:tc>
        <w:tc>
          <w:tcPr>
            <w:tcW w:w="881" w:type="dxa"/>
            <w:vMerge w:val="restart"/>
            <w:vAlign w:val="center"/>
          </w:tcPr>
          <w:p w14:paraId="53B036DF">
            <w:pPr>
              <w:spacing w:line="240" w:lineRule="auto"/>
              <w:ind w:firstLine="0" w:firstLineChars="0"/>
              <w:jc w:val="center"/>
            </w:pPr>
            <w:r>
              <w:rPr>
                <w:rFonts w:hint="eastAsia"/>
              </w:rPr>
              <w:t>落实相关管理措施</w:t>
            </w:r>
          </w:p>
        </w:tc>
      </w:tr>
      <w:tr w14:paraId="0FE6C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Merge w:val="continue"/>
            <w:vAlign w:val="center"/>
          </w:tcPr>
          <w:p w14:paraId="7468A788">
            <w:pPr>
              <w:spacing w:line="240" w:lineRule="auto"/>
              <w:ind w:firstLine="0" w:firstLineChars="0"/>
              <w:jc w:val="center"/>
            </w:pPr>
          </w:p>
        </w:tc>
        <w:tc>
          <w:tcPr>
            <w:tcW w:w="3712" w:type="dxa"/>
            <w:vAlign w:val="center"/>
          </w:tcPr>
          <w:p w14:paraId="6DF00005">
            <w:pPr>
              <w:spacing w:line="240" w:lineRule="auto"/>
              <w:ind w:firstLine="0" w:firstLineChars="0"/>
              <w:jc w:val="center"/>
            </w:pPr>
            <w:r>
              <w:rPr>
                <w:rFonts w:hint="eastAsia"/>
              </w:rPr>
              <w:t>生活垃圾经现场袋装收集后由市政环卫部门清运处理</w:t>
            </w:r>
          </w:p>
        </w:tc>
        <w:tc>
          <w:tcPr>
            <w:tcW w:w="1932" w:type="dxa"/>
            <w:vMerge w:val="continue"/>
            <w:vAlign w:val="center"/>
          </w:tcPr>
          <w:p w14:paraId="2B3DA426">
            <w:pPr>
              <w:spacing w:line="240" w:lineRule="auto"/>
              <w:ind w:firstLine="0" w:firstLineChars="0"/>
              <w:jc w:val="center"/>
            </w:pPr>
          </w:p>
        </w:tc>
        <w:tc>
          <w:tcPr>
            <w:tcW w:w="1461" w:type="dxa"/>
            <w:vMerge w:val="continue"/>
            <w:vAlign w:val="center"/>
          </w:tcPr>
          <w:p w14:paraId="76CF01AB">
            <w:pPr>
              <w:spacing w:line="240" w:lineRule="auto"/>
              <w:ind w:firstLine="0" w:firstLineChars="0"/>
              <w:jc w:val="center"/>
            </w:pPr>
          </w:p>
        </w:tc>
        <w:tc>
          <w:tcPr>
            <w:tcW w:w="881" w:type="dxa"/>
            <w:vMerge w:val="continue"/>
            <w:vAlign w:val="center"/>
          </w:tcPr>
          <w:p w14:paraId="7E800257">
            <w:pPr>
              <w:spacing w:line="240" w:lineRule="auto"/>
              <w:ind w:firstLine="0" w:firstLineChars="0"/>
              <w:jc w:val="center"/>
            </w:pPr>
          </w:p>
        </w:tc>
      </w:tr>
      <w:tr w14:paraId="11C69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Merge w:val="continue"/>
            <w:vAlign w:val="center"/>
          </w:tcPr>
          <w:p w14:paraId="22B93089">
            <w:pPr>
              <w:spacing w:line="240" w:lineRule="auto"/>
              <w:ind w:firstLine="0" w:firstLineChars="0"/>
              <w:jc w:val="center"/>
            </w:pPr>
          </w:p>
        </w:tc>
        <w:tc>
          <w:tcPr>
            <w:tcW w:w="3712" w:type="dxa"/>
            <w:vAlign w:val="center"/>
          </w:tcPr>
          <w:p w14:paraId="3587B776">
            <w:pPr>
              <w:spacing w:line="240" w:lineRule="auto"/>
              <w:ind w:firstLine="0" w:firstLineChars="0"/>
              <w:jc w:val="center"/>
            </w:pPr>
            <w:r>
              <w:rPr>
                <w:spacing w:val="12"/>
              </w:rPr>
              <w:t>隔油</w:t>
            </w:r>
            <w:r>
              <w:rPr>
                <w:rFonts w:hint="eastAsia"/>
                <w:spacing w:val="12"/>
              </w:rPr>
              <w:t>沉淀池</w:t>
            </w:r>
            <w:r>
              <w:rPr>
                <w:spacing w:val="12"/>
              </w:rPr>
              <w:t>池浮</w:t>
            </w:r>
            <w:r>
              <w:rPr>
                <w:rFonts w:hint="eastAsia"/>
                <w:spacing w:val="12"/>
              </w:rPr>
              <w:t>、沉渣</w:t>
            </w:r>
            <w:r>
              <w:rPr>
                <w:spacing w:val="12"/>
              </w:rPr>
              <w:t>油收集后作为危废处置，委托有资质的危险废物处置单位进行清运</w:t>
            </w:r>
            <w:r>
              <w:rPr>
                <w:spacing w:val="3"/>
              </w:rPr>
              <w:t>处置</w:t>
            </w:r>
          </w:p>
        </w:tc>
        <w:tc>
          <w:tcPr>
            <w:tcW w:w="1932" w:type="dxa"/>
            <w:vMerge w:val="continue"/>
            <w:vAlign w:val="center"/>
          </w:tcPr>
          <w:p w14:paraId="3295EC7B">
            <w:pPr>
              <w:spacing w:line="240" w:lineRule="auto"/>
              <w:ind w:firstLine="0" w:firstLineChars="0"/>
              <w:jc w:val="center"/>
            </w:pPr>
          </w:p>
        </w:tc>
        <w:tc>
          <w:tcPr>
            <w:tcW w:w="1461" w:type="dxa"/>
            <w:vMerge w:val="continue"/>
            <w:vAlign w:val="center"/>
          </w:tcPr>
          <w:p w14:paraId="3C9DF084">
            <w:pPr>
              <w:spacing w:line="240" w:lineRule="auto"/>
              <w:ind w:firstLine="0" w:firstLineChars="0"/>
              <w:jc w:val="center"/>
            </w:pPr>
          </w:p>
        </w:tc>
        <w:tc>
          <w:tcPr>
            <w:tcW w:w="881" w:type="dxa"/>
            <w:vMerge w:val="continue"/>
            <w:vAlign w:val="center"/>
          </w:tcPr>
          <w:p w14:paraId="1220DCE2">
            <w:pPr>
              <w:spacing w:line="240" w:lineRule="auto"/>
              <w:ind w:firstLine="0" w:firstLineChars="0"/>
              <w:jc w:val="center"/>
            </w:pPr>
          </w:p>
        </w:tc>
      </w:tr>
      <w:tr w14:paraId="44EF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0AA65C15">
            <w:pPr>
              <w:spacing w:line="240" w:lineRule="auto"/>
              <w:ind w:firstLine="0" w:firstLineChars="0"/>
              <w:jc w:val="center"/>
            </w:pPr>
            <w:r>
              <w:rPr>
                <w:rFonts w:hint="eastAsia"/>
              </w:rPr>
              <w:t>地下水及土壤环境</w:t>
            </w:r>
          </w:p>
        </w:tc>
        <w:tc>
          <w:tcPr>
            <w:tcW w:w="3712" w:type="dxa"/>
            <w:vAlign w:val="center"/>
          </w:tcPr>
          <w:p w14:paraId="2B274A93">
            <w:pPr>
              <w:spacing w:line="240" w:lineRule="auto"/>
              <w:ind w:firstLine="0" w:firstLineChars="0"/>
              <w:jc w:val="center"/>
            </w:pPr>
            <w:r>
              <w:rPr>
                <w:rFonts w:hint="eastAsia"/>
              </w:rPr>
              <w:t>/</w:t>
            </w:r>
          </w:p>
        </w:tc>
        <w:tc>
          <w:tcPr>
            <w:tcW w:w="1932" w:type="dxa"/>
            <w:vAlign w:val="center"/>
          </w:tcPr>
          <w:p w14:paraId="1D64C50B">
            <w:pPr>
              <w:spacing w:line="240" w:lineRule="auto"/>
              <w:ind w:firstLine="0" w:firstLineChars="0"/>
              <w:jc w:val="center"/>
            </w:pPr>
            <w:r>
              <w:rPr>
                <w:rFonts w:hint="eastAsia"/>
              </w:rPr>
              <w:t>/</w:t>
            </w:r>
          </w:p>
        </w:tc>
        <w:tc>
          <w:tcPr>
            <w:tcW w:w="1461" w:type="dxa"/>
            <w:vAlign w:val="center"/>
          </w:tcPr>
          <w:p w14:paraId="3DE7F018">
            <w:pPr>
              <w:spacing w:line="240" w:lineRule="auto"/>
              <w:ind w:firstLine="0" w:firstLineChars="0"/>
              <w:jc w:val="center"/>
            </w:pPr>
            <w:r>
              <w:rPr>
                <w:rFonts w:hint="eastAsia"/>
              </w:rPr>
              <w:t>/</w:t>
            </w:r>
          </w:p>
        </w:tc>
        <w:tc>
          <w:tcPr>
            <w:tcW w:w="881" w:type="dxa"/>
            <w:vAlign w:val="center"/>
          </w:tcPr>
          <w:p w14:paraId="05F28BEF">
            <w:pPr>
              <w:spacing w:line="240" w:lineRule="auto"/>
              <w:ind w:firstLine="0" w:firstLineChars="0"/>
              <w:jc w:val="center"/>
            </w:pPr>
            <w:r>
              <w:rPr>
                <w:rFonts w:hint="eastAsia"/>
              </w:rPr>
              <w:t>/</w:t>
            </w:r>
          </w:p>
        </w:tc>
      </w:tr>
      <w:tr w14:paraId="5903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shd w:val="clear" w:color="auto" w:fill="auto"/>
            <w:vAlign w:val="center"/>
          </w:tcPr>
          <w:p w14:paraId="1FF9D72C">
            <w:pPr>
              <w:spacing w:line="240" w:lineRule="auto"/>
              <w:ind w:firstLine="0" w:firstLineChars="0"/>
              <w:jc w:val="center"/>
            </w:pPr>
            <w:r>
              <w:rPr>
                <w:rFonts w:hint="eastAsia"/>
              </w:rPr>
              <w:t>环境风险</w:t>
            </w:r>
          </w:p>
        </w:tc>
        <w:tc>
          <w:tcPr>
            <w:tcW w:w="3712" w:type="dxa"/>
            <w:shd w:val="clear" w:color="auto" w:fill="auto"/>
            <w:vAlign w:val="center"/>
          </w:tcPr>
          <w:p w14:paraId="4EC08328">
            <w:pPr>
              <w:spacing w:line="240" w:lineRule="auto"/>
              <w:ind w:firstLine="0" w:firstLineChars="0"/>
              <w:jc w:val="center"/>
            </w:pPr>
            <w:r>
              <w:rPr>
                <w:rFonts w:hint="eastAsia"/>
              </w:rPr>
              <w:t>加强对项目区的执法力度，复杂路段设置警示标志，严禁生活污水、生活垃圾随意排放进入河道，加强水质安全宣传，防止人为污染水体。</w:t>
            </w:r>
          </w:p>
        </w:tc>
        <w:tc>
          <w:tcPr>
            <w:tcW w:w="1932" w:type="dxa"/>
            <w:shd w:val="clear" w:color="auto" w:fill="auto"/>
            <w:vAlign w:val="center"/>
          </w:tcPr>
          <w:p w14:paraId="4A747D02">
            <w:pPr>
              <w:spacing w:line="240" w:lineRule="auto"/>
              <w:ind w:firstLine="0" w:firstLineChars="0"/>
              <w:jc w:val="center"/>
            </w:pPr>
            <w:r>
              <w:rPr>
                <w:rFonts w:hint="eastAsia"/>
              </w:rPr>
              <w:t>不发生环境风险事故。</w:t>
            </w:r>
          </w:p>
        </w:tc>
        <w:tc>
          <w:tcPr>
            <w:tcW w:w="1461" w:type="dxa"/>
            <w:shd w:val="clear" w:color="auto" w:fill="auto"/>
            <w:vAlign w:val="center"/>
          </w:tcPr>
          <w:p w14:paraId="71EC89A5">
            <w:pPr>
              <w:spacing w:line="240" w:lineRule="auto"/>
              <w:ind w:firstLine="0" w:firstLineChars="0"/>
              <w:jc w:val="center"/>
            </w:pPr>
            <w:r>
              <w:rPr>
                <w:rFonts w:hint="eastAsia"/>
              </w:rPr>
              <w:t>/</w:t>
            </w:r>
          </w:p>
        </w:tc>
        <w:tc>
          <w:tcPr>
            <w:tcW w:w="881" w:type="dxa"/>
            <w:shd w:val="clear" w:color="auto" w:fill="auto"/>
            <w:vAlign w:val="center"/>
          </w:tcPr>
          <w:p w14:paraId="1A696991">
            <w:pPr>
              <w:spacing w:line="240" w:lineRule="auto"/>
              <w:ind w:firstLine="0" w:firstLineChars="0"/>
              <w:jc w:val="center"/>
            </w:pPr>
            <w:r>
              <w:rPr>
                <w:rFonts w:hint="eastAsia"/>
              </w:rPr>
              <w:t>/</w:t>
            </w:r>
          </w:p>
        </w:tc>
      </w:tr>
      <w:tr w14:paraId="1F12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shd w:val="clear" w:color="auto" w:fill="auto"/>
            <w:vAlign w:val="center"/>
          </w:tcPr>
          <w:p w14:paraId="7BEE7148">
            <w:pPr>
              <w:spacing w:line="240" w:lineRule="auto"/>
              <w:ind w:firstLine="0" w:firstLineChars="0"/>
              <w:jc w:val="center"/>
            </w:pPr>
            <w:r>
              <w:rPr>
                <w:rFonts w:hint="eastAsia"/>
              </w:rPr>
              <w:t>环境监测</w:t>
            </w:r>
          </w:p>
        </w:tc>
        <w:tc>
          <w:tcPr>
            <w:tcW w:w="3712" w:type="dxa"/>
            <w:shd w:val="clear" w:color="auto" w:fill="auto"/>
            <w:vAlign w:val="center"/>
          </w:tcPr>
          <w:p w14:paraId="057CCED2">
            <w:pPr>
              <w:spacing w:line="240" w:lineRule="auto"/>
              <w:ind w:firstLine="0" w:firstLineChars="0"/>
              <w:jc w:val="center"/>
            </w:pPr>
            <w:r>
              <w:rPr>
                <w:rFonts w:hint="eastAsia"/>
              </w:rPr>
              <w:t>/</w:t>
            </w:r>
          </w:p>
        </w:tc>
        <w:tc>
          <w:tcPr>
            <w:tcW w:w="1932" w:type="dxa"/>
            <w:shd w:val="clear" w:color="auto" w:fill="auto"/>
            <w:vAlign w:val="center"/>
          </w:tcPr>
          <w:p w14:paraId="201704EA">
            <w:pPr>
              <w:spacing w:line="240" w:lineRule="auto"/>
              <w:ind w:firstLine="0" w:firstLineChars="0"/>
              <w:jc w:val="center"/>
            </w:pPr>
            <w:r>
              <w:rPr>
                <w:rFonts w:hint="eastAsia"/>
              </w:rPr>
              <w:t>/</w:t>
            </w:r>
          </w:p>
        </w:tc>
        <w:tc>
          <w:tcPr>
            <w:tcW w:w="1461" w:type="dxa"/>
            <w:shd w:val="clear" w:color="auto" w:fill="auto"/>
            <w:vAlign w:val="center"/>
          </w:tcPr>
          <w:p w14:paraId="2E244872">
            <w:pPr>
              <w:spacing w:line="240" w:lineRule="auto"/>
              <w:ind w:firstLine="0" w:firstLineChars="0"/>
              <w:jc w:val="center"/>
            </w:pPr>
            <w:r>
              <w:rPr>
                <w:rFonts w:hint="eastAsia"/>
              </w:rPr>
              <w:t>/</w:t>
            </w:r>
          </w:p>
        </w:tc>
        <w:tc>
          <w:tcPr>
            <w:tcW w:w="881" w:type="dxa"/>
            <w:shd w:val="clear" w:color="auto" w:fill="auto"/>
            <w:vAlign w:val="center"/>
          </w:tcPr>
          <w:p w14:paraId="40FC032C">
            <w:pPr>
              <w:spacing w:line="240" w:lineRule="auto"/>
              <w:ind w:firstLine="0" w:firstLineChars="0"/>
              <w:jc w:val="center"/>
            </w:pPr>
            <w:r>
              <w:rPr>
                <w:rFonts w:hint="eastAsia"/>
              </w:rPr>
              <w:t>/</w:t>
            </w:r>
          </w:p>
        </w:tc>
      </w:tr>
      <w:tr w14:paraId="6EE2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shd w:val="clear" w:color="auto" w:fill="auto"/>
            <w:vAlign w:val="center"/>
          </w:tcPr>
          <w:p w14:paraId="25B5F137">
            <w:pPr>
              <w:spacing w:line="240" w:lineRule="auto"/>
              <w:ind w:firstLine="0" w:firstLineChars="0"/>
              <w:jc w:val="center"/>
            </w:pPr>
            <w:r>
              <w:rPr>
                <w:rFonts w:hint="eastAsia"/>
              </w:rPr>
              <w:t>其他</w:t>
            </w:r>
          </w:p>
        </w:tc>
        <w:tc>
          <w:tcPr>
            <w:tcW w:w="3712" w:type="dxa"/>
            <w:shd w:val="clear" w:color="auto" w:fill="auto"/>
            <w:vAlign w:val="center"/>
          </w:tcPr>
          <w:p w14:paraId="4FF38187">
            <w:pPr>
              <w:spacing w:line="240" w:lineRule="auto"/>
              <w:ind w:firstLine="0" w:firstLineChars="0"/>
              <w:jc w:val="center"/>
            </w:pPr>
            <w:r>
              <w:rPr>
                <w:rFonts w:hint="eastAsia"/>
              </w:rPr>
              <w:t>1、落实“三同时 ”制度，施工期各项环境保护措施与主体工程同时设计、同时施工、同时投入使用/运行。2、施工单位应制定严格的环境管理制度，加强施工人员环保意识。</w:t>
            </w:r>
          </w:p>
        </w:tc>
        <w:tc>
          <w:tcPr>
            <w:tcW w:w="1932" w:type="dxa"/>
            <w:shd w:val="clear" w:color="auto" w:fill="auto"/>
            <w:vAlign w:val="center"/>
          </w:tcPr>
          <w:p w14:paraId="4BBCFADF">
            <w:pPr>
              <w:spacing w:line="240" w:lineRule="auto"/>
              <w:ind w:firstLine="0" w:firstLineChars="0"/>
              <w:jc w:val="center"/>
            </w:pPr>
            <w:r>
              <w:rPr>
                <w:rFonts w:hint="eastAsia"/>
              </w:rPr>
              <w:t>/</w:t>
            </w:r>
          </w:p>
        </w:tc>
        <w:tc>
          <w:tcPr>
            <w:tcW w:w="1461" w:type="dxa"/>
            <w:shd w:val="clear" w:color="auto" w:fill="auto"/>
            <w:vAlign w:val="center"/>
          </w:tcPr>
          <w:p w14:paraId="2BF12D41">
            <w:pPr>
              <w:spacing w:line="240" w:lineRule="auto"/>
              <w:ind w:firstLine="0" w:firstLineChars="0"/>
              <w:jc w:val="center"/>
            </w:pPr>
            <w:r>
              <w:rPr>
                <w:rFonts w:hint="eastAsia"/>
              </w:rPr>
              <w:t>/</w:t>
            </w:r>
          </w:p>
        </w:tc>
        <w:tc>
          <w:tcPr>
            <w:tcW w:w="881" w:type="dxa"/>
            <w:shd w:val="clear" w:color="auto" w:fill="auto"/>
            <w:vAlign w:val="center"/>
          </w:tcPr>
          <w:p w14:paraId="5E61F432">
            <w:pPr>
              <w:spacing w:line="240" w:lineRule="auto"/>
              <w:ind w:firstLine="0" w:firstLineChars="0"/>
              <w:jc w:val="center"/>
            </w:pPr>
            <w:r>
              <w:rPr>
                <w:rFonts w:hint="eastAsia"/>
              </w:rPr>
              <w:t>/</w:t>
            </w:r>
          </w:p>
        </w:tc>
      </w:tr>
    </w:tbl>
    <w:p w14:paraId="738CAA7B">
      <w:pPr>
        <w:ind w:firstLine="480"/>
      </w:pPr>
    </w:p>
    <w:p w14:paraId="76753813">
      <w:pPr>
        <w:ind w:firstLine="480"/>
        <w:sectPr>
          <w:pgSz w:w="11906" w:h="16838"/>
          <w:pgMar w:top="1800" w:right="1440" w:bottom="1800" w:left="1440" w:header="851" w:footer="992" w:gutter="0"/>
          <w:cols w:space="0" w:num="1"/>
          <w:docGrid w:type="lines" w:linePitch="312" w:charSpace="0"/>
        </w:sectPr>
      </w:pPr>
    </w:p>
    <w:p w14:paraId="09F539CD">
      <w:pPr>
        <w:pStyle w:val="16"/>
        <w:spacing w:before="0" w:beforeAutospacing="0" w:after="0" w:afterAutospacing="0"/>
        <w:ind w:firstLine="600"/>
        <w:jc w:val="center"/>
        <w:outlineLvl w:val="0"/>
        <w:rPr>
          <w:rFonts w:ascii="黑体" w:hAnsi="黑体" w:eastAsia="黑体"/>
          <w:snapToGrid w:val="0"/>
          <w:sz w:val="30"/>
          <w:szCs w:val="30"/>
        </w:rPr>
      </w:pPr>
      <w:bookmarkStart w:id="9" w:name="_Toc23044"/>
      <w:r>
        <w:rPr>
          <w:rFonts w:hint="eastAsia" w:ascii="黑体" w:hAnsi="黑体" w:eastAsia="黑体"/>
          <w:snapToGrid w:val="0"/>
          <w:sz w:val="30"/>
          <w:szCs w:val="30"/>
        </w:rPr>
        <w:t>七、结论</w:t>
      </w:r>
      <w:bookmarkEnd w:id="9"/>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2"/>
      </w:tblGrid>
      <w:tr w14:paraId="0B9B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tcPr>
          <w:p w14:paraId="1FB71B8E">
            <w:pPr>
              <w:ind w:firstLine="480"/>
            </w:pPr>
            <w:r>
              <w:rPr>
                <w:rFonts w:hint="eastAsia"/>
              </w:rPr>
              <w:t>巴中市檬子河流域水环境综合治理项目（一期）</w:t>
            </w:r>
            <w:r>
              <w:t>建设符合国家产业政策，符合</w:t>
            </w:r>
            <w:r>
              <w:rPr>
                <w:rFonts w:hint="eastAsia"/>
              </w:rPr>
              <w:t>“</w:t>
            </w:r>
            <w:r>
              <w:t xml:space="preserve">三线一单 </w:t>
            </w:r>
            <w:r>
              <w:rPr>
                <w:rFonts w:hint="eastAsia"/>
              </w:rPr>
              <w:t>”</w:t>
            </w:r>
            <w:r>
              <w:t>要求，选址选线合理，项目所在区域周边无明显的环境制约因素。本工程属于生态影响类建设项目，工程建设对环境的不利影响主要是施工期土地占用、动植物及其生态环境破坏、水土流失等环境影响，以及施工扬尘、施工噪声、施工废水、施工固废等污染影响。通过采取环评提出的各项保护措施和要求后，施工期的不利环境影响可以得到有效消除或减缓。从环境保护角度分析，本工程的建设是可行的。</w:t>
            </w:r>
          </w:p>
          <w:p w14:paraId="4EA8E543">
            <w:pPr>
              <w:ind w:firstLine="476"/>
              <w:rPr>
                <w:spacing w:val="-1"/>
              </w:rPr>
            </w:pPr>
            <w:r>
              <w:rPr>
                <w:rFonts w:hint="eastAsia"/>
                <w:spacing w:val="-1"/>
              </w:rPr>
              <w:t xml:space="preserve"> </w:t>
            </w:r>
          </w:p>
          <w:p w14:paraId="40700A8A">
            <w:pPr>
              <w:ind w:firstLine="476"/>
              <w:rPr>
                <w:spacing w:val="-1"/>
              </w:rPr>
            </w:pPr>
          </w:p>
          <w:p w14:paraId="255129C0">
            <w:pPr>
              <w:ind w:firstLine="476"/>
              <w:rPr>
                <w:spacing w:val="-1"/>
              </w:rPr>
            </w:pPr>
          </w:p>
          <w:p w14:paraId="35BB6785">
            <w:pPr>
              <w:ind w:firstLine="476"/>
              <w:rPr>
                <w:spacing w:val="-1"/>
              </w:rPr>
            </w:pPr>
          </w:p>
          <w:p w14:paraId="717F18B4">
            <w:pPr>
              <w:ind w:firstLine="476"/>
              <w:rPr>
                <w:spacing w:val="-1"/>
              </w:rPr>
            </w:pPr>
          </w:p>
          <w:p w14:paraId="33E3A4DB">
            <w:pPr>
              <w:ind w:firstLine="476"/>
              <w:rPr>
                <w:spacing w:val="-1"/>
              </w:rPr>
            </w:pPr>
          </w:p>
          <w:p w14:paraId="3F383BF4">
            <w:pPr>
              <w:ind w:firstLine="476"/>
              <w:rPr>
                <w:spacing w:val="-1"/>
              </w:rPr>
            </w:pPr>
          </w:p>
          <w:p w14:paraId="6B60C3AC">
            <w:pPr>
              <w:ind w:firstLine="476"/>
              <w:rPr>
                <w:spacing w:val="-1"/>
              </w:rPr>
            </w:pPr>
          </w:p>
          <w:p w14:paraId="7A3F9AFC">
            <w:pPr>
              <w:ind w:firstLine="476"/>
              <w:rPr>
                <w:spacing w:val="-1"/>
              </w:rPr>
            </w:pPr>
          </w:p>
          <w:p w14:paraId="7529BF56">
            <w:pPr>
              <w:ind w:firstLine="476"/>
              <w:rPr>
                <w:spacing w:val="-1"/>
              </w:rPr>
            </w:pPr>
          </w:p>
          <w:p w14:paraId="5D9E47F1">
            <w:pPr>
              <w:ind w:firstLine="476"/>
              <w:rPr>
                <w:spacing w:val="-1"/>
              </w:rPr>
            </w:pPr>
          </w:p>
          <w:p w14:paraId="1C3AD294">
            <w:pPr>
              <w:ind w:firstLine="476"/>
              <w:rPr>
                <w:spacing w:val="-1"/>
              </w:rPr>
            </w:pPr>
          </w:p>
          <w:p w14:paraId="17AD2C12">
            <w:pPr>
              <w:ind w:firstLine="476"/>
              <w:rPr>
                <w:spacing w:val="-1"/>
              </w:rPr>
            </w:pPr>
          </w:p>
          <w:p w14:paraId="698059C5">
            <w:pPr>
              <w:ind w:firstLine="476"/>
              <w:rPr>
                <w:spacing w:val="-1"/>
              </w:rPr>
            </w:pPr>
          </w:p>
          <w:p w14:paraId="7C00D359">
            <w:pPr>
              <w:ind w:firstLine="476"/>
              <w:rPr>
                <w:spacing w:val="-1"/>
              </w:rPr>
            </w:pPr>
          </w:p>
          <w:p w14:paraId="46B8F60B">
            <w:pPr>
              <w:ind w:firstLine="476"/>
              <w:rPr>
                <w:spacing w:val="-1"/>
              </w:rPr>
            </w:pPr>
          </w:p>
          <w:p w14:paraId="40C3CF73">
            <w:pPr>
              <w:ind w:firstLine="476"/>
              <w:rPr>
                <w:spacing w:val="-1"/>
              </w:rPr>
            </w:pPr>
          </w:p>
          <w:p w14:paraId="32FA453F">
            <w:pPr>
              <w:ind w:firstLine="476"/>
              <w:rPr>
                <w:spacing w:val="-1"/>
              </w:rPr>
            </w:pPr>
          </w:p>
          <w:p w14:paraId="463F4CE4">
            <w:pPr>
              <w:ind w:firstLine="476"/>
              <w:rPr>
                <w:spacing w:val="-1"/>
              </w:rPr>
            </w:pPr>
          </w:p>
          <w:p w14:paraId="057599DA">
            <w:pPr>
              <w:ind w:firstLine="476"/>
              <w:rPr>
                <w:spacing w:val="-1"/>
              </w:rPr>
            </w:pPr>
          </w:p>
        </w:tc>
      </w:tr>
    </w:tbl>
    <w:p w14:paraId="7A5B4E15">
      <w:pPr>
        <w:ind w:firstLine="0" w:firstLineChars="0"/>
      </w:pPr>
    </w:p>
    <w:sectPr>
      <w:pgSz w:w="11906" w:h="16838"/>
      <w:pgMar w:top="1800" w:right="1440" w:bottom="1800" w:left="1440" w:header="851" w:footer="992"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FDABAD7-C7EB-4A2B-802E-06A13642FA0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2" w:fontKey="{2148D56C-1DF3-4A29-AE58-0B492B037BC6}"/>
  </w:font>
  <w:font w:name="华文仿宋">
    <w:panose1 w:val="02010600040101010101"/>
    <w:charset w:val="86"/>
    <w:family w:val="auto"/>
    <w:pitch w:val="default"/>
    <w:sig w:usb0="00000287" w:usb1="080F0000" w:usb2="00000000" w:usb3="00000000" w:csb0="0004009F" w:csb1="DFD70000"/>
    <w:embedRegular r:id="rId3" w:fontKey="{19C108C4-571A-4DC2-814A-7001C3C613C7}"/>
  </w:font>
  <w:font w:name="仿宋_GB2312">
    <w:panose1 w:val="02010609030101010101"/>
    <w:charset w:val="86"/>
    <w:family w:val="modern"/>
    <w:pitch w:val="default"/>
    <w:sig w:usb0="00000001" w:usb1="080E0000" w:usb2="00000000" w:usb3="00000000" w:csb0="00040000" w:csb1="00000000"/>
    <w:embedRegular r:id="rId4" w:fontKey="{2799B63F-7384-4262-AAA4-14528272C492}"/>
  </w:font>
  <w:font w:name="方正小标宋_GBK">
    <w:panose1 w:val="03000509000000000000"/>
    <w:charset w:val="86"/>
    <w:family w:val="script"/>
    <w:pitch w:val="default"/>
    <w:sig w:usb0="00000001" w:usb1="080E0000" w:usb2="00000000" w:usb3="00000000" w:csb0="00040000" w:csb1="00000000"/>
    <w:embedRegular r:id="rId5" w:fontKey="{126311BF-F1A5-449F-A42E-E3AA702E7C13}"/>
  </w:font>
  <w:font w:name="楷体_GB2312">
    <w:panose1 w:val="02010609030101010101"/>
    <w:charset w:val="86"/>
    <w:family w:val="modern"/>
    <w:pitch w:val="default"/>
    <w:sig w:usb0="00000001" w:usb1="080E0000" w:usb2="00000000" w:usb3="00000000" w:csb0="00040000" w:csb1="00000000"/>
    <w:embedRegular r:id="rId6" w:fontKey="{49AB7933-9AAA-43C5-B92B-BEDD519487A3}"/>
  </w:font>
  <w:font w:name="瀹嬩綋">
    <w:altName w:val="Segoe Print"/>
    <w:panose1 w:val="00000000000000000000"/>
    <w:charset w:val="00"/>
    <w:family w:val="auto"/>
    <w:pitch w:val="default"/>
    <w:sig w:usb0="00000000" w:usb1="00000000" w:usb2="00000000" w:usb3="00000000" w:csb0="00000000" w:csb1="00000000"/>
    <w:embedRegular r:id="rId7" w:fontKey="{03BF9893-EDC5-4384-BEA8-F9E332B6553F}"/>
  </w:font>
  <w:font w:name="ESRI AMFM Electric">
    <w:altName w:val="Vrinda"/>
    <w:panose1 w:val="020004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Vrinda">
    <w:panose1 w:val="020B0502040204020203"/>
    <w:charset w:val="00"/>
    <w:family w:val="auto"/>
    <w:pitch w:val="default"/>
    <w:sig w:usb0="0001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5FD9A">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15701">
    <w:pPr>
      <w:pStyle w:val="11"/>
      <w:framePr w:wrap="around" w:vAnchor="text" w:hAnchor="margin" w:xAlign="outside" w:y="1"/>
      <w:ind w:firstLine="360"/>
      <w:rPr>
        <w:rStyle w:val="22"/>
      </w:rPr>
    </w:pPr>
    <w:r>
      <w:rPr>
        <w:rStyle w:val="22"/>
      </w:rPr>
      <w:fldChar w:fldCharType="begin"/>
    </w:r>
    <w:r>
      <w:rPr>
        <w:rStyle w:val="22"/>
      </w:rPr>
      <w:instrText xml:space="preserve">PAGE  </w:instrText>
    </w:r>
    <w:r>
      <w:rPr>
        <w:rStyle w:val="22"/>
      </w:rPr>
      <w:fldChar w:fldCharType="end"/>
    </w:r>
  </w:p>
  <w:p w14:paraId="57A3925C">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ADE18">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833EF">
    <w:pPr>
      <w:pStyle w:val="11"/>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E8C566">
                          <w:pPr>
                            <w:pStyle w:val="11"/>
                            <w:ind w:firstLine="360"/>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00E8C566">
                    <w:pPr>
                      <w:pStyle w:val="11"/>
                      <w:ind w:firstLine="360"/>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F67B0">
    <w:pPr>
      <w:pStyle w:val="12"/>
      <w:pBdr>
        <w:bottom w:val="none" w:color="auto" w:sz="0" w:space="1"/>
      </w:pBdr>
      <w:tabs>
        <w:tab w:val="left" w:pos="3697"/>
      </w:tabs>
      <w:ind w:firstLine="360"/>
      <w:jc w:val="left"/>
    </w:pPr>
    <w:r>
      <w:rPr>
        <w:rFonts w:hint="eastAsia"/>
      </w:rPr>
      <w:tab/>
    </w:r>
    <w:r>
      <w:rPr>
        <w:rFonts w:hint="eastAsi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BA865">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4AA9C">
    <w:pPr>
      <w:pStyle w:val="1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EDABC0"/>
    <w:multiLevelType w:val="singleLevel"/>
    <w:tmpl w:val="81EDABC0"/>
    <w:lvl w:ilvl="0" w:tentative="0">
      <w:start w:val="1"/>
      <w:numFmt w:val="decimal"/>
      <w:suff w:val="nothing"/>
      <w:lvlText w:val="%1"/>
      <w:lvlJc w:val="left"/>
      <w:pPr>
        <w:ind w:left="0" w:firstLine="0"/>
      </w:pPr>
      <w:rPr>
        <w:rFonts w:hint="default"/>
      </w:rPr>
    </w:lvl>
  </w:abstractNum>
  <w:abstractNum w:abstractNumId="1">
    <w:nsid w:val="A740566A"/>
    <w:multiLevelType w:val="singleLevel"/>
    <w:tmpl w:val="A740566A"/>
    <w:lvl w:ilvl="0" w:tentative="0">
      <w:start w:val="1"/>
      <w:numFmt w:val="decimal"/>
      <w:suff w:val="nothing"/>
      <w:lvlText w:val="%1"/>
      <w:lvlJc w:val="left"/>
      <w:pPr>
        <w:ind w:left="0" w:firstLine="0"/>
      </w:pPr>
      <w:rPr>
        <w:rFonts w:hint="default"/>
      </w:rPr>
    </w:lvl>
  </w:abstractNum>
  <w:abstractNum w:abstractNumId="2">
    <w:nsid w:val="AD6850D6"/>
    <w:multiLevelType w:val="singleLevel"/>
    <w:tmpl w:val="AD6850D6"/>
    <w:lvl w:ilvl="0" w:tentative="0">
      <w:start w:val="5"/>
      <w:numFmt w:val="decimal"/>
      <w:suff w:val="nothing"/>
      <w:lvlText w:val="（%1）"/>
      <w:lvlJc w:val="left"/>
      <w:pPr>
        <w:ind w:left="-240"/>
      </w:pPr>
    </w:lvl>
  </w:abstractNum>
  <w:abstractNum w:abstractNumId="3">
    <w:nsid w:val="ECCACEDE"/>
    <w:multiLevelType w:val="singleLevel"/>
    <w:tmpl w:val="ECCACEDE"/>
    <w:lvl w:ilvl="0" w:tentative="0">
      <w:start w:val="3"/>
      <w:numFmt w:val="decimal"/>
      <w:suff w:val="nothing"/>
      <w:lvlText w:val="%1、"/>
      <w:lvlJc w:val="left"/>
    </w:lvl>
  </w:abstractNum>
  <w:abstractNum w:abstractNumId="4">
    <w:nsid w:val="0DA0C56B"/>
    <w:multiLevelType w:val="singleLevel"/>
    <w:tmpl w:val="0DA0C56B"/>
    <w:lvl w:ilvl="0" w:tentative="0">
      <w:start w:val="1"/>
      <w:numFmt w:val="decimal"/>
      <w:suff w:val="nothing"/>
      <w:lvlText w:val="（%1）"/>
      <w:lvlJc w:val="left"/>
    </w:lvl>
  </w:abstractNum>
  <w:abstractNum w:abstractNumId="5">
    <w:nsid w:val="3A00DE78"/>
    <w:multiLevelType w:val="singleLevel"/>
    <w:tmpl w:val="3A00DE78"/>
    <w:lvl w:ilvl="0" w:tentative="0">
      <w:start w:val="1"/>
      <w:numFmt w:val="decimal"/>
      <w:suff w:val="nothing"/>
      <w:lvlText w:val="%1"/>
      <w:lvlJc w:val="left"/>
      <w:pPr>
        <w:ind w:left="0" w:firstLine="0"/>
      </w:pPr>
      <w:rPr>
        <w:rFonts w:hint="default"/>
      </w:rPr>
    </w:lvl>
  </w:abstractNum>
  <w:abstractNum w:abstractNumId="6">
    <w:nsid w:val="3C35C0AB"/>
    <w:multiLevelType w:val="singleLevel"/>
    <w:tmpl w:val="3C35C0AB"/>
    <w:lvl w:ilvl="0" w:tentative="0">
      <w:start w:val="2"/>
      <w:numFmt w:val="decimal"/>
      <w:suff w:val="nothing"/>
      <w:lvlText w:val="%1）"/>
      <w:lvlJc w:val="left"/>
    </w:lvl>
  </w:abstractNum>
  <w:abstractNum w:abstractNumId="7">
    <w:nsid w:val="41C06874"/>
    <w:multiLevelType w:val="singleLevel"/>
    <w:tmpl w:val="41C06874"/>
    <w:lvl w:ilvl="0" w:tentative="0">
      <w:start w:val="1"/>
      <w:numFmt w:val="decimal"/>
      <w:suff w:val="nothing"/>
      <w:lvlText w:val="%1"/>
      <w:lvlJc w:val="left"/>
      <w:pPr>
        <w:ind w:left="0" w:firstLine="0"/>
      </w:pPr>
      <w:rPr>
        <w:rFonts w:hint="default"/>
      </w:rPr>
    </w:lvl>
  </w:abstractNum>
  <w:abstractNum w:abstractNumId="8">
    <w:nsid w:val="47F1A32B"/>
    <w:multiLevelType w:val="singleLevel"/>
    <w:tmpl w:val="47F1A32B"/>
    <w:lvl w:ilvl="0" w:tentative="0">
      <w:start w:val="1"/>
      <w:numFmt w:val="chineseCounting"/>
      <w:suff w:val="nothing"/>
      <w:lvlText w:val="%1、"/>
      <w:lvlJc w:val="left"/>
      <w:rPr>
        <w:rFonts w:hint="eastAsia"/>
      </w:rPr>
    </w:lvl>
  </w:abstractNum>
  <w:abstractNum w:abstractNumId="9">
    <w:nsid w:val="5334392E"/>
    <w:multiLevelType w:val="singleLevel"/>
    <w:tmpl w:val="5334392E"/>
    <w:lvl w:ilvl="0" w:tentative="0">
      <w:start w:val="1"/>
      <w:numFmt w:val="chineseCounting"/>
      <w:suff w:val="nothing"/>
      <w:lvlText w:val="%1、"/>
      <w:lvlJc w:val="left"/>
      <w:rPr>
        <w:rFonts w:hint="eastAsia"/>
      </w:rPr>
    </w:lvl>
  </w:abstractNum>
  <w:abstractNum w:abstractNumId="10">
    <w:nsid w:val="5F7FDC90"/>
    <w:multiLevelType w:val="singleLevel"/>
    <w:tmpl w:val="5F7FDC90"/>
    <w:lvl w:ilvl="0" w:tentative="0">
      <w:start w:val="1"/>
      <w:numFmt w:val="decimal"/>
      <w:suff w:val="nothing"/>
      <w:lvlText w:val="%1"/>
      <w:lvlJc w:val="left"/>
      <w:pPr>
        <w:ind w:left="0" w:firstLine="0"/>
      </w:pPr>
      <w:rPr>
        <w:rFonts w:hint="default"/>
      </w:rPr>
    </w:lvl>
  </w:abstractNum>
  <w:num w:numId="1">
    <w:abstractNumId w:val="0"/>
  </w:num>
  <w:num w:numId="2">
    <w:abstractNumId w:val="5"/>
  </w:num>
  <w:num w:numId="3">
    <w:abstractNumId w:val="7"/>
  </w:num>
  <w:num w:numId="4">
    <w:abstractNumId w:val="10"/>
  </w:num>
  <w:num w:numId="5">
    <w:abstractNumId w:val="9"/>
  </w:num>
  <w:num w:numId="6">
    <w:abstractNumId w:val="3"/>
  </w:num>
  <w:num w:numId="7">
    <w:abstractNumId w:val="4"/>
  </w:num>
  <w:num w:numId="8">
    <w:abstractNumId w:val="6"/>
  </w:num>
  <w:num w:numId="9">
    <w:abstractNumId w:val="2"/>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635642"/>
    <w:rsid w:val="001359C4"/>
    <w:rsid w:val="001D1566"/>
    <w:rsid w:val="003608D9"/>
    <w:rsid w:val="00413226"/>
    <w:rsid w:val="005A7ABB"/>
    <w:rsid w:val="0081748C"/>
    <w:rsid w:val="009578F3"/>
    <w:rsid w:val="00A34690"/>
    <w:rsid w:val="00A5376D"/>
    <w:rsid w:val="00CA304E"/>
    <w:rsid w:val="00CE67AD"/>
    <w:rsid w:val="00FA2B70"/>
    <w:rsid w:val="00FB3166"/>
    <w:rsid w:val="01071EBF"/>
    <w:rsid w:val="026825AB"/>
    <w:rsid w:val="02746BAB"/>
    <w:rsid w:val="02AF3589"/>
    <w:rsid w:val="02B73E03"/>
    <w:rsid w:val="02FB509E"/>
    <w:rsid w:val="03717647"/>
    <w:rsid w:val="03802AE2"/>
    <w:rsid w:val="06411F28"/>
    <w:rsid w:val="07632046"/>
    <w:rsid w:val="08914DB2"/>
    <w:rsid w:val="08D00FFA"/>
    <w:rsid w:val="0A9D3C79"/>
    <w:rsid w:val="0C8E4429"/>
    <w:rsid w:val="0D7F1B25"/>
    <w:rsid w:val="0DCB1A23"/>
    <w:rsid w:val="0E4705D1"/>
    <w:rsid w:val="0F1B6FA0"/>
    <w:rsid w:val="1086413F"/>
    <w:rsid w:val="11706EDE"/>
    <w:rsid w:val="153C6CA9"/>
    <w:rsid w:val="1550478D"/>
    <w:rsid w:val="155F1FBE"/>
    <w:rsid w:val="170305AB"/>
    <w:rsid w:val="17B9539E"/>
    <w:rsid w:val="18386B49"/>
    <w:rsid w:val="18892CD0"/>
    <w:rsid w:val="193433D3"/>
    <w:rsid w:val="1A7010E8"/>
    <w:rsid w:val="1ADB7522"/>
    <w:rsid w:val="1B5E0E30"/>
    <w:rsid w:val="1BF02ECB"/>
    <w:rsid w:val="1D013317"/>
    <w:rsid w:val="1DFB7FBE"/>
    <w:rsid w:val="1E777908"/>
    <w:rsid w:val="1F522E02"/>
    <w:rsid w:val="1F677880"/>
    <w:rsid w:val="20746C50"/>
    <w:rsid w:val="21DD600E"/>
    <w:rsid w:val="224A3D5E"/>
    <w:rsid w:val="23B36A98"/>
    <w:rsid w:val="251470D6"/>
    <w:rsid w:val="258F6068"/>
    <w:rsid w:val="26370825"/>
    <w:rsid w:val="26F93462"/>
    <w:rsid w:val="27933CD9"/>
    <w:rsid w:val="27C8469D"/>
    <w:rsid w:val="28844B85"/>
    <w:rsid w:val="28C81A25"/>
    <w:rsid w:val="2AB04BC1"/>
    <w:rsid w:val="2AF21ED8"/>
    <w:rsid w:val="2B080025"/>
    <w:rsid w:val="2B5751FD"/>
    <w:rsid w:val="2C474E7D"/>
    <w:rsid w:val="2C586430"/>
    <w:rsid w:val="2D54540F"/>
    <w:rsid w:val="303A45F5"/>
    <w:rsid w:val="31082FD4"/>
    <w:rsid w:val="31847E10"/>
    <w:rsid w:val="32110C25"/>
    <w:rsid w:val="339B64CD"/>
    <w:rsid w:val="369F6DB8"/>
    <w:rsid w:val="38032F38"/>
    <w:rsid w:val="38CB73BE"/>
    <w:rsid w:val="3A873B57"/>
    <w:rsid w:val="3B5A0645"/>
    <w:rsid w:val="3B942065"/>
    <w:rsid w:val="3BBC39E9"/>
    <w:rsid w:val="3F5D0658"/>
    <w:rsid w:val="3F730CDC"/>
    <w:rsid w:val="3FB10EED"/>
    <w:rsid w:val="3FB53613"/>
    <w:rsid w:val="415D78A4"/>
    <w:rsid w:val="418406DE"/>
    <w:rsid w:val="432946E3"/>
    <w:rsid w:val="44167E32"/>
    <w:rsid w:val="44EB2632"/>
    <w:rsid w:val="45CB6D2F"/>
    <w:rsid w:val="466B4B97"/>
    <w:rsid w:val="46FE4580"/>
    <w:rsid w:val="48F246AF"/>
    <w:rsid w:val="498356C3"/>
    <w:rsid w:val="49EB12D5"/>
    <w:rsid w:val="4A2D287A"/>
    <w:rsid w:val="4A427479"/>
    <w:rsid w:val="4ACC645D"/>
    <w:rsid w:val="4AE63B47"/>
    <w:rsid w:val="4AFB0DD4"/>
    <w:rsid w:val="4C494873"/>
    <w:rsid w:val="4D397B3D"/>
    <w:rsid w:val="4D736226"/>
    <w:rsid w:val="4D8B55FB"/>
    <w:rsid w:val="4DAF5EC9"/>
    <w:rsid w:val="4DCE34E9"/>
    <w:rsid w:val="4F4C5B5F"/>
    <w:rsid w:val="4F582F08"/>
    <w:rsid w:val="4FF31BBA"/>
    <w:rsid w:val="525B4ADA"/>
    <w:rsid w:val="52E515DD"/>
    <w:rsid w:val="542843FD"/>
    <w:rsid w:val="5468108F"/>
    <w:rsid w:val="5521354E"/>
    <w:rsid w:val="55362F9B"/>
    <w:rsid w:val="55B81234"/>
    <w:rsid w:val="562359F0"/>
    <w:rsid w:val="56366FA2"/>
    <w:rsid w:val="56B92AB4"/>
    <w:rsid w:val="56D025AE"/>
    <w:rsid w:val="585C31FB"/>
    <w:rsid w:val="58791C51"/>
    <w:rsid w:val="58BA1767"/>
    <w:rsid w:val="5AB10EDB"/>
    <w:rsid w:val="5AFE1C82"/>
    <w:rsid w:val="5B084EE3"/>
    <w:rsid w:val="5B287BFE"/>
    <w:rsid w:val="5B312CA1"/>
    <w:rsid w:val="5CC97A2C"/>
    <w:rsid w:val="5CE368C3"/>
    <w:rsid w:val="5D0A3648"/>
    <w:rsid w:val="5DC82B24"/>
    <w:rsid w:val="5EAF43E9"/>
    <w:rsid w:val="5F5B7021"/>
    <w:rsid w:val="607C3E04"/>
    <w:rsid w:val="609F2858"/>
    <w:rsid w:val="611B3E90"/>
    <w:rsid w:val="625008DB"/>
    <w:rsid w:val="62522FEF"/>
    <w:rsid w:val="62E67E9A"/>
    <w:rsid w:val="650C6D6B"/>
    <w:rsid w:val="654839FF"/>
    <w:rsid w:val="65DF2A5C"/>
    <w:rsid w:val="66D350E9"/>
    <w:rsid w:val="671C2EFE"/>
    <w:rsid w:val="675E59F6"/>
    <w:rsid w:val="67A2738C"/>
    <w:rsid w:val="67A555B6"/>
    <w:rsid w:val="69446F6F"/>
    <w:rsid w:val="6B6F4C3B"/>
    <w:rsid w:val="6C394E22"/>
    <w:rsid w:val="6CD53018"/>
    <w:rsid w:val="6CE33832"/>
    <w:rsid w:val="6DDC2311"/>
    <w:rsid w:val="6FB12841"/>
    <w:rsid w:val="700E4C63"/>
    <w:rsid w:val="70147557"/>
    <w:rsid w:val="706B757B"/>
    <w:rsid w:val="707A49C8"/>
    <w:rsid w:val="70D4064E"/>
    <w:rsid w:val="717A446D"/>
    <w:rsid w:val="71D662DB"/>
    <w:rsid w:val="722A64BA"/>
    <w:rsid w:val="7246140B"/>
    <w:rsid w:val="726D2E4D"/>
    <w:rsid w:val="72B02F71"/>
    <w:rsid w:val="74056508"/>
    <w:rsid w:val="74C60253"/>
    <w:rsid w:val="758D5D93"/>
    <w:rsid w:val="75C50804"/>
    <w:rsid w:val="77A91A3E"/>
    <w:rsid w:val="79592940"/>
    <w:rsid w:val="797B6EE2"/>
    <w:rsid w:val="79CE08C4"/>
    <w:rsid w:val="7A4024A0"/>
    <w:rsid w:val="7A84322D"/>
    <w:rsid w:val="7AB759D6"/>
    <w:rsid w:val="7B52453F"/>
    <w:rsid w:val="7D72443F"/>
    <w:rsid w:val="7ED43ADA"/>
    <w:rsid w:val="7EDB06A4"/>
    <w:rsid w:val="7F392B36"/>
    <w:rsid w:val="7F635642"/>
    <w:rsid w:val="7FF32C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7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28"/>
    <w:qFormat/>
    <w:uiPriority w:val="0"/>
    <w:pPr>
      <w:keepNext/>
      <w:keepLines/>
      <w:ind w:firstLine="0" w:firstLineChars="0"/>
      <w:outlineLvl w:val="0"/>
    </w:pPr>
    <w:rPr>
      <w:rFonts w:cstheme="minorBidi"/>
      <w:b/>
      <w:kern w:val="44"/>
      <w:sz w:val="44"/>
      <w:lang w:val="zh-CN"/>
    </w:rPr>
  </w:style>
  <w:style w:type="paragraph" w:styleId="3">
    <w:name w:val="heading 2"/>
    <w:basedOn w:val="4"/>
    <w:next w:val="1"/>
    <w:link w:val="29"/>
    <w:semiHidden/>
    <w:unhideWhenUsed/>
    <w:qFormat/>
    <w:uiPriority w:val="0"/>
    <w:pPr>
      <w:keepNext/>
      <w:keepLines/>
      <w:outlineLvl w:val="1"/>
    </w:pPr>
    <w:rPr>
      <w:rFonts w:cs="Times New Roman"/>
      <w:sz w:val="32"/>
    </w:rPr>
  </w:style>
  <w:style w:type="paragraph" w:styleId="4">
    <w:name w:val="heading 3"/>
    <w:basedOn w:val="5"/>
    <w:next w:val="1"/>
    <w:link w:val="27"/>
    <w:semiHidden/>
    <w:unhideWhenUsed/>
    <w:qFormat/>
    <w:uiPriority w:val="0"/>
    <w:pPr>
      <w:outlineLvl w:val="2"/>
    </w:pPr>
    <w:rPr>
      <w:rFonts w:cs="宋体"/>
      <w:sz w:val="30"/>
      <w:szCs w:val="27"/>
      <w:lang w:val="zh-CN"/>
    </w:rPr>
  </w:style>
  <w:style w:type="paragraph" w:styleId="5">
    <w:name w:val="heading 4"/>
    <w:basedOn w:val="1"/>
    <w:next w:val="1"/>
    <w:semiHidden/>
    <w:unhideWhenUsed/>
    <w:qFormat/>
    <w:uiPriority w:val="0"/>
    <w:pPr>
      <w:ind w:firstLine="0" w:firstLineChars="0"/>
      <w:outlineLvl w:val="3"/>
    </w:pPr>
    <w:rPr>
      <w:b/>
      <w:bCs/>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caption"/>
    <w:basedOn w:val="1"/>
    <w:next w:val="1"/>
    <w:semiHidden/>
    <w:unhideWhenUsed/>
    <w:qFormat/>
    <w:uiPriority w:val="0"/>
    <w:pPr>
      <w:keepNext/>
      <w:keepLines/>
      <w:adjustRightInd w:val="0"/>
      <w:snapToGrid w:val="0"/>
      <w:ind w:firstLine="723"/>
    </w:pPr>
    <w:rPr>
      <w:rFonts w:cstheme="minorBidi"/>
      <w:sz w:val="21"/>
    </w:rPr>
  </w:style>
  <w:style w:type="paragraph" w:styleId="7">
    <w:name w:val="annotation text"/>
    <w:basedOn w:val="1"/>
    <w:link w:val="39"/>
    <w:qFormat/>
    <w:uiPriority w:val="0"/>
    <w:pPr>
      <w:jc w:val="left"/>
    </w:pPr>
  </w:style>
  <w:style w:type="paragraph" w:styleId="8">
    <w:name w:val="Body Text"/>
    <w:basedOn w:val="1"/>
    <w:semiHidden/>
    <w:qFormat/>
    <w:uiPriority w:val="0"/>
    <w:rPr>
      <w:rFonts w:ascii="宋体" w:hAnsi="宋体" w:cs="宋体"/>
      <w:lang w:eastAsia="en-US"/>
    </w:rPr>
  </w:style>
  <w:style w:type="paragraph" w:styleId="9">
    <w:name w:val="Block Text"/>
    <w:basedOn w:val="1"/>
    <w:qFormat/>
    <w:uiPriority w:val="0"/>
    <w:pPr>
      <w:adjustRightInd w:val="0"/>
      <w:ind w:firstLine="1446"/>
      <w:textAlignment w:val="baseline"/>
    </w:pPr>
    <w:rPr>
      <w:spacing w:val="-2"/>
      <w:kern w:val="0"/>
      <w:szCs w:val="20"/>
    </w:rPr>
  </w:style>
  <w:style w:type="paragraph" w:styleId="10">
    <w:name w:val="Balloon Text"/>
    <w:basedOn w:val="1"/>
    <w:link w:val="41"/>
    <w:qFormat/>
    <w:uiPriority w:val="0"/>
    <w:pPr>
      <w:spacing w:line="240" w:lineRule="auto"/>
    </w:pPr>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next w:val="8"/>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table of figures"/>
    <w:basedOn w:val="1"/>
    <w:next w:val="1"/>
    <w:qFormat/>
    <w:uiPriority w:val="0"/>
    <w:pPr>
      <w:ind w:left="200" w:leftChars="200" w:hanging="200" w:hangingChars="200"/>
    </w:pPr>
  </w:style>
  <w:style w:type="paragraph" w:styleId="15">
    <w:name w:val="toc 2"/>
    <w:basedOn w:val="1"/>
    <w:next w:val="1"/>
    <w:qFormat/>
    <w:uiPriority w:val="0"/>
    <w:pPr>
      <w:ind w:left="420" w:leftChars="200"/>
    </w:pPr>
  </w:style>
  <w:style w:type="paragraph" w:styleId="16">
    <w:name w:val="Normal (Web)"/>
    <w:basedOn w:val="1"/>
    <w:qFormat/>
    <w:uiPriority w:val="0"/>
    <w:pPr>
      <w:widowControl/>
      <w:spacing w:before="100" w:beforeAutospacing="1" w:after="100" w:afterAutospacing="1"/>
      <w:jc w:val="left"/>
    </w:pPr>
    <w:rPr>
      <w:rFonts w:ascii="宋体" w:hAnsi="宋体"/>
      <w:kern w:val="0"/>
    </w:rPr>
  </w:style>
  <w:style w:type="paragraph" w:styleId="17">
    <w:name w:val="annotation subject"/>
    <w:basedOn w:val="7"/>
    <w:next w:val="7"/>
    <w:link w:val="40"/>
    <w:qFormat/>
    <w:uiPriority w:val="0"/>
    <w:rPr>
      <w:b/>
      <w:bCs/>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character" w:styleId="23">
    <w:name w:val="annotation reference"/>
    <w:basedOn w:val="20"/>
    <w:qFormat/>
    <w:uiPriority w:val="0"/>
    <w:rPr>
      <w:sz w:val="21"/>
      <w:szCs w:val="21"/>
    </w:rPr>
  </w:style>
  <w:style w:type="paragraph" w:customStyle="1" w:styleId="24">
    <w:name w:val="正文样式"/>
    <w:basedOn w:val="1"/>
    <w:qFormat/>
    <w:uiPriority w:val="0"/>
    <w:pPr>
      <w:tabs>
        <w:tab w:val="left" w:pos="1440"/>
        <w:tab w:val="left" w:pos="4368"/>
      </w:tabs>
      <w:ind w:firstLine="493"/>
    </w:pPr>
    <w:rPr>
      <w:szCs w:val="22"/>
    </w:rPr>
  </w:style>
  <w:style w:type="paragraph" w:customStyle="1" w:styleId="25">
    <w:name w:val="样式5"/>
    <w:basedOn w:val="1"/>
    <w:next w:val="1"/>
    <w:qFormat/>
    <w:uiPriority w:val="0"/>
    <w:pPr>
      <w:keepNext/>
      <w:keepLines/>
      <w:ind w:firstLine="0"/>
      <w:jc w:val="center"/>
      <w:outlineLvl w:val="4"/>
    </w:pPr>
    <w:rPr>
      <w:b/>
      <w:sz w:val="21"/>
    </w:rPr>
  </w:style>
  <w:style w:type="paragraph" w:customStyle="1" w:styleId="26">
    <w:name w:val="图标样式5"/>
    <w:basedOn w:val="1"/>
    <w:next w:val="1"/>
    <w:qFormat/>
    <w:uiPriority w:val="0"/>
    <w:pPr>
      <w:keepNext/>
      <w:keepLines/>
      <w:ind w:firstLine="0"/>
      <w:jc w:val="center"/>
      <w:outlineLvl w:val="4"/>
    </w:pPr>
    <w:rPr>
      <w:b/>
      <w:sz w:val="21"/>
    </w:rPr>
  </w:style>
  <w:style w:type="character" w:customStyle="1" w:styleId="27">
    <w:name w:val="标题 3 字符"/>
    <w:link w:val="4"/>
    <w:qFormat/>
    <w:uiPriority w:val="0"/>
    <w:rPr>
      <w:rFonts w:hint="default" w:ascii="Times New Roman" w:hAnsi="Times New Roman" w:eastAsia="宋体" w:cs="宋体"/>
      <w:b/>
      <w:kern w:val="2"/>
      <w:sz w:val="30"/>
      <w:szCs w:val="24"/>
      <w:lang w:val="zh-CN" w:eastAsia="zh-CN" w:bidi="ar-SA"/>
    </w:rPr>
  </w:style>
  <w:style w:type="character" w:customStyle="1" w:styleId="28">
    <w:name w:val="标题 1 字符"/>
    <w:link w:val="2"/>
    <w:qFormat/>
    <w:uiPriority w:val="0"/>
    <w:rPr>
      <w:rFonts w:ascii="Times New Roman" w:hAnsi="Times New Roman" w:eastAsia="宋体" w:cs="Times New Roman"/>
      <w:b/>
      <w:kern w:val="44"/>
      <w:sz w:val="44"/>
      <w:szCs w:val="24"/>
      <w:lang w:val="zh-CN" w:eastAsia="zh-CN"/>
    </w:rPr>
  </w:style>
  <w:style w:type="character" w:customStyle="1" w:styleId="29">
    <w:name w:val="标题 2 字符"/>
    <w:link w:val="3"/>
    <w:qFormat/>
    <w:uiPriority w:val="0"/>
    <w:rPr>
      <w:rFonts w:ascii="Times New Roman" w:hAnsi="Times New Roman" w:eastAsia="宋体" w:cs="Times New Roman"/>
      <w:b/>
      <w:kern w:val="2"/>
      <w:sz w:val="32"/>
      <w:szCs w:val="24"/>
      <w:lang w:val="zh-CN"/>
    </w:rPr>
  </w:style>
  <w:style w:type="paragraph" w:customStyle="1" w:styleId="30">
    <w:name w:val="Normal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paragraph" w:customStyle="1" w:styleId="31">
    <w:name w:val="Table Text"/>
    <w:basedOn w:val="1"/>
    <w:semiHidden/>
    <w:qFormat/>
    <w:uiPriority w:val="0"/>
    <w:rPr>
      <w:rFonts w:ascii="宋体" w:hAnsi="宋体" w:cs="宋体"/>
      <w:sz w:val="20"/>
      <w:szCs w:val="20"/>
      <w:lang w:eastAsia="en-US"/>
    </w:rPr>
  </w:style>
  <w:style w:type="table" w:customStyle="1" w:styleId="32">
    <w:name w:val="Table Normal"/>
    <w:semiHidden/>
    <w:unhideWhenUsed/>
    <w:qFormat/>
    <w:uiPriority w:val="0"/>
    <w:tblPr>
      <w:tblCellMar>
        <w:top w:w="0" w:type="dxa"/>
        <w:left w:w="0" w:type="dxa"/>
        <w:bottom w:w="0" w:type="dxa"/>
        <w:right w:w="0" w:type="dxa"/>
      </w:tblCellMar>
    </w:tblPr>
  </w:style>
  <w:style w:type="paragraph" w:customStyle="1" w:styleId="3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4">
    <w:name w:val="表格文字"/>
    <w:basedOn w:val="1"/>
    <w:qFormat/>
    <w:uiPriority w:val="0"/>
    <w:pPr>
      <w:spacing w:line="240" w:lineRule="auto"/>
      <w:ind w:firstLine="0"/>
      <w:jc w:val="center"/>
    </w:pPr>
    <w:rPr>
      <w:color w:val="000000"/>
      <w:kern w:val="0"/>
      <w:sz w:val="21"/>
      <w:szCs w:val="18"/>
    </w:rPr>
  </w:style>
  <w:style w:type="paragraph" w:customStyle="1" w:styleId="35">
    <w:name w:val="表格首行"/>
    <w:basedOn w:val="1"/>
    <w:next w:val="1"/>
    <w:qFormat/>
    <w:uiPriority w:val="0"/>
    <w:pPr>
      <w:jc w:val="center"/>
    </w:pPr>
    <w:rPr>
      <w:rFonts w:cs="宋体"/>
      <w:b/>
      <w:szCs w:val="20"/>
    </w:rPr>
  </w:style>
  <w:style w:type="paragraph" w:customStyle="1" w:styleId="36">
    <w:name w:val="表格内容"/>
    <w:basedOn w:val="37"/>
    <w:qFormat/>
    <w:uiPriority w:val="0"/>
    <w:pPr>
      <w:spacing w:line="240" w:lineRule="auto"/>
      <w:ind w:firstLine="0" w:firstLineChars="0"/>
      <w:jc w:val="center"/>
    </w:pPr>
    <w:rPr>
      <w:rFonts w:eastAsia="Times New Roman" w:cs="Courier New"/>
      <w:sz w:val="21"/>
      <w:szCs w:val="21"/>
    </w:rPr>
  </w:style>
  <w:style w:type="paragraph" w:customStyle="1" w:styleId="37">
    <w:name w:val="表格标题"/>
    <w:basedOn w:val="6"/>
    <w:semiHidden/>
    <w:qFormat/>
    <w:uiPriority w:val="0"/>
    <w:pPr>
      <w:autoSpaceDE w:val="0"/>
      <w:autoSpaceDN w:val="0"/>
      <w:ind w:firstLine="436"/>
      <w:outlineLvl w:val="4"/>
    </w:pPr>
    <w:rPr>
      <w:rFonts w:ascii="华文仿宋" w:hAnsi="华文仿宋" w:eastAsia="华文仿宋"/>
      <w:color w:val="000000"/>
      <w:sz w:val="22"/>
    </w:rPr>
  </w:style>
  <w:style w:type="paragraph" w:customStyle="1" w:styleId="38">
    <w:name w:val="rpt_表项"/>
    <w:basedOn w:val="1"/>
    <w:qFormat/>
    <w:uiPriority w:val="0"/>
    <w:pPr>
      <w:spacing w:before="60" w:after="60"/>
      <w:jc w:val="center"/>
    </w:pPr>
    <w:rPr>
      <w:rFonts w:cs="宋体"/>
      <w:sz w:val="22"/>
      <w:szCs w:val="20"/>
    </w:rPr>
  </w:style>
  <w:style w:type="character" w:customStyle="1" w:styleId="39">
    <w:name w:val="批注文字 字符"/>
    <w:basedOn w:val="20"/>
    <w:link w:val="7"/>
    <w:qFormat/>
    <w:uiPriority w:val="0"/>
    <w:rPr>
      <w:kern w:val="2"/>
      <w:sz w:val="24"/>
      <w:szCs w:val="24"/>
    </w:rPr>
  </w:style>
  <w:style w:type="character" w:customStyle="1" w:styleId="40">
    <w:name w:val="批注主题 字符"/>
    <w:basedOn w:val="39"/>
    <w:link w:val="17"/>
    <w:qFormat/>
    <w:uiPriority w:val="0"/>
    <w:rPr>
      <w:b/>
      <w:bCs/>
      <w:kern w:val="2"/>
      <w:sz w:val="24"/>
      <w:szCs w:val="24"/>
    </w:rPr>
  </w:style>
  <w:style w:type="character" w:customStyle="1" w:styleId="41">
    <w:name w:val="批注框文本 字符"/>
    <w:basedOn w:val="20"/>
    <w:link w:val="10"/>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jpe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eE1UUWxNa01sTWpKemFHOTNSM0pwWkNVeU1pVXpRWFJ5ZFdVbE1rTWxNakp5YVdOb1ZHVjRkQ1V5TWlVelFYUnlkV1VsTWtNbE1qSm9aV2xuYUhRbE1qSWxNMEV4TURBd0pUZEVKVEpESlRJeVpXeGxiV1Z1ZEhNbE1qSWxNMEVsTjBJbE1qSkZUSEppV0VWNWFYaHpPVEl5TXpNekpUSXlKVE5CSlRkQ0pUSXlhV1FsTWpJbE0wRWxNakpGVEhKaVdFVjVhWGh6T1RJeU16TXp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SlphVk5EWTBSelEzZzJNVGs0T0RBbE1qSWxOMFFsTWtNbE4wSWxNakp1WVcxbEpUSXlKVE5CSlRJeUpVVTFKVGt3SlRoRUpVVTNKVUUzSlVJd0pUSXlKVEpESlRJeWRIbHdaU1V5TWlVelFTVXlNbk4wY21sdVp5VXlNaVV5UXlVeU1uWmhiSFZsSlRJeUpUTkJKVEl5SlRJeUpUSkRKVEl5WTJGMFpXZHZjbmtsTWpJbE0wRWxNakprWldaaGRXeDBKVEl5SlRKREpUSXlhV1FsTWpJbE0wRWxNakpqWkZGalJrTjNUV1ZwTlRrMU9EUXh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UpVRkdKVUpESlVVMkpVSTFKVGd4SlVVMUpVSTNKVUUxSlVVM0pVRTRKVGhD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VM1pxY0VsRGRsaHFlakU1TnpNME1TVXlNaVV6UVNVM1FpVXlNbWxrSlRJeUpUTkJKVEl5VTNacWNFbERkbGhxZWpFNU56TTBNU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tiMlJ1V25GeFdGZGFNek15TWpRNEpUSXlKVGRFSlRKREpUZENKVEl5Ym1GdFpTVXlNaVV6UVNVeU1pVkZOU1U1TUNVNFJDVkZOeVZCTnlWQ01DVXlNaVV5UXlVeU1uUjVjR1VsTWpJbE0wRWxNakp6ZEhKcGJtY2xNaklsTWtNbE1qSjJZV3gxWlNVeU1pVXpRU1V5TWlVeU1pVXlReVV5TW1OaGRHVm5iM0o1SlRJeUpUTkJKVEl5WkdWbVlYVnNkQ1V5TWlVeVF5VXlNbWxrSlRJeUpUTkJKVEl5UW1GWFRIaGFRMk5xVURjek9EYzVP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TVTVReVU1UmlWRk55VTVSaVZDTXlWRk5pVTVOaVZDT1NWRk5TVkNReVU0TUNWRk5pVTRReVU1Tm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05EUVdST1lsWmlWMmM0T1RJd01UTWxNaklsTTBFbE4wSWxNakpwWkNVeU1pVXpRU1V5TWtORFFXUk9ZbFppVjJjNE9USXdNVE1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ZMEYyVTNScGJWSkNUVEU0TURFeE1DVXlNaVUzUkNVeVF5VTNRaVV5TW01aGJXVWxNaklsTTBFbE1qSWxSVFVsT1RBbE9FUWxSVGNsUVRjbFFqQWxNaklsTWtNbE1qSjBlWEJsSlRJeUpUTkJKVEl5YzNSeWFXNW5KVEl5SlRKREpUSXlkbUZzZFdVbE1qSWxNMEVsTWpJbE1qSWxNa01sTWpKallYUmxaMjl5ZVNVeU1pVXpRU1V5TW1SbFptRjFiSFFsTWpJbE1rTWxNakpwWkNVeU1pVXpRU1V5TW5sWGFubHdiazlzVjJReE9ESTRNek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WWxPRUVsUVRRbFJUVWxRaklsUWpnbFJUVWxRa0lsUWtFbFJUZ2xRVVVsUWt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SZUVsQmRYQlFjRWRhT1RRd09ETTNKVEl5SlROQkpUZENKVEl5YVdRbE1qSWxNMEVsTWpKUmVFbEJkWEJRY0VkYU9UUXdPRE0z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E50UVhaQ1ZrMUhjV0V6TkRNNE5Ea2xNaklsTjBRbE1rTWxOMElsTWpKdVlXMWxKVEl5SlROQkpUSXlKVVUxSlRrd0pUaEVKVVUzSlVFM0pVSXdKVEl5SlRKREpUSXlkSGx3WlNVeU1pVXpRU1V5TW5OMGNtbHVaeVV5TWlVeVF5VXlNblpoYkhWbEpUSXlKVE5CSlRJeUpUSXlKVEpESlRJeVkyRjBaV2R2Y25rbE1qSWxNMEVsTWpKa1pXWmhkV3gwSlRJeUpUSkRKVEl5YVdRbE1qSWxNMEVsTWpKTVYxVnFhbUpCVFVKUk9USXdNVGs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pVVTFKVGxDSlVJMEpVVTFKVUV3SlVJd0pVVTJKVGhDSlRnMkpVVTVKVGs1SlVFM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TFVFNUljV1pUZDFWQk9Ea3lOVEUzSlRJeUpUZEVKVEpESlRkQ0pUSXlibUZ0WlNVeU1pVXpRU1V5TWlWRk5TVTVNQ1U0UkNWRk55VkJOeVZDTUNVeU1pVXlReVV5TW5SNWNHVWxNaklsTTBFbE1qSnpkSEpwYm1jbE1qSWxNa01sTWpKMllXeDFaU1V5TWlVelFTVXlNaVV5TWlVeVF5VXlNbU5oZEdWbmIzSjVKVEl5SlROQkpUSXlaR1ZtWVhWc2RDVXlNaVV5UXlVeU1tbGtKVEl5SlROQkpUSXlXV1JEZUZSVlIwOVNlREUzTmpNNE5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ZbE9UWWxRa1FsUlRVbFFqY2xRVFVsUlRZbE9Ea2xPVE1sUlRVbE9VS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VkVKVEpESlRJeWNISnZjSE1sTWpJbE0wRWxOMElsTWpKNEpUSXlKVE5CTkRFNEpUSkRKVEl5ZVNVeU1pVXpRVEl4TXk0MUpUSkRKVEl5ZHlVeU1pVXpRVEV3TUNVeVF5VXlNbWdsTWpJbE0wRTBNQ1V5UXlVeU1ucHBibVJsZUNVeU1pVXpRVEV6SlRKREpUSXlZVzVuYkdVbE1qSWxNMEV3SlRkRUpUSkRKVEl5YzJoaGNHVlRkSGxzWlNVeU1pVXpRU1UzUWlVeU1tRnNjR2hoSlRJeUpUTkJNU1UzUkNVeVF5VXlNbXhwYm1WVGRIbHNaU1V5TWlVelFTVTNRaV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bFJUWWxPVFlsUWtRbFJUVWxRamNsUVRVbFJUVWxRa0VsT1VZbFJUWWxRakFsUWpRbFJUTWxPREFsT0RFbFJUVWxPVGtsUVVFbFJUVWxRVE1sUWp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FZFSlRKREpUSXljSEp2Y0hNbE1qSWxNMEVsTjBJbE1qSjRKVEl5SlROQk5ERTRKVEpESlRJeWVTVXlNaVV6UVRJNE5pNDFKVEpESlRJeWR5VXlNaVV6UVRFME1TVXlReVV5TW1nbE1qSWxNMEUwTUNVeVF5VXlNbnBwYm1SbGVDVXlNaVV6UVRFMUpUSkRKVEl5WVc1bmJHVWxNaklsTTBFd0pUZEVKVEpESlRJeWMyaGhjR1ZUZEhsc1pTVXlNaVV6UVNVM1FpVXlNbUZzY0doaEpUSXlKVE5CTVNVM1JDVXlReVV5TW14cGJtVlRkSGxzWlNVeU1pVXpRU1UzUWl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WxSVFlsT0RrbFFVTWxSVFVsUWpBbE9UZ2xSVE1sT0RBbE9ERWxSVFlsT1RZbFFrUWxSVFVsUWpjbFFUVWxSVFVsUWtFbE9VWWxSVFlsUWpBbFFqUWxSVE1sT0RBbE9ERWxSVFVsT1RrbFFVRWxSVFVsUVRNbFFq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FSQ1V5UXlVeU1uQnliM0J6SlRJeUpUTkJKVGRDSlRJeWVDVXlNaVV6UVRReE9DVXlReVV5TW5rbE1qSWxNMEV6TlRrdU5TVXlReVV5TW5jbE1qSWxNMEV5TURRbE1rTWxNakpvSlRJeUpUTkJOREFsTWtNbE1qSjZhVzVrWlhnbE1qSWxNMEV4TnlVeVF5VXlNbUZ1WjJ4bEpUSXlKVE5CTUNVM1JDVXlReVV5TW5Ob1lYQmxVM1I1YkdVbE1qSWxNMEVsTjBJbE1qSmhiSEJvWVNVeU1pVXpRVEVsTjBRbE1rTWxNakpzYVc1bFUzUjViR1VsTWpJbE0wRWxOMEl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FsTWtNbE1qSjVKVEl5SlROQk1DVXlReVV5TW5jbE1qSWxNMEVsTWpKM0pUSXlKVEpESlRJeWFDVXlNaVV6UVNVeU1tZ2xNaklsTjBRbE1rTWxNakowWlhoMEpUSXlKVE5CSlRJeUpVVTJKVGc1SlVGREpVVTFKVUl3SlRrNEpVVXpKVGd3SlRneEpVVTJKVGsySlVKRUpVVTFKVUkzSlVFMUpVVTFKVUpCSlRsR0pVVTJKVUl3SlVJMEpVVXpKVGd3SlRneEpVVTFKVGs1SlVGQkpVVTFKVUV6SlVJd0pVVXpKVGd3SlRneEpVVTFKVUpDSlVKQkpVVTNKVUZFSlRreEpVVTFKVGxGSlRnekpVVTFKVGxESlVK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jFWUmQyMTVlR3BhUmprNE1qYzROeVV5TWlVelFTVTNRaVV5TW1sa0pUSXlKVE5CSlRJeWIxVlJkMjE1ZUdwYVJqazRNamM0TnlVeU1pVXlReVV5TW01aGJXVWxNaklsTTBFbE1qSnpkR0Z1WkdGeVpGUmxlSFFsTWpJbE1rTWxNakowYVhSc1pTVXlNaVV6UVNVeU1pVXlNaVV5UXlVeU1tTmhkR1ZuYjNKNUpUSXlKVE5CSlRJeWMzUmhibVJoY21R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lVRbE1rTWxNakp3Y205d2N5VXlNaVV6UVNVM1FpVXlNbmdsTWpJbE0wRTBNak1sTWtNbE1qSjVKVEl5SlROQk5ETXlMalVsTWtNbE1qSjNKVEl5SlROQk1UWXdKVEpESlRJeWFDVXlNaVV6UVRRd0pUSkRKVEl5ZW1sdVpHVjRKVEl5SlROQk1UZ2xNa01sTWpKaGJtZHNaU1V5TWlVelFUQWxOMFFsTWtNbE1qSnphR0Z3WlZOMGVXeGxKVEl5SlROQkpUZENKVEl5WVd4d2FHRWxNaklsTTBFeEpUZEVKVEpESlRJeWJHbHVaVk4wZVd4bEpUSXlKVE5CSlRkQ0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VZGTmlVNU5pVkNSQ1ZGTlNWQ055VkJOU1ZGTlNWQ1FTVTVSaVZGTmlWQ01DVkNOQ1ZGTXlVNE1DVTRNU1ZGTlNVNU9TVkJRU1ZGTlNWQk15VkNNQ1ZGTXlVNE1DVTRNU1ZGTlNWQ1FpVkNRU1ZGTnlWQlJDVTVNU1ZGTlNVNVJTVTRNeVZGTlNVNVF5VkN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"/>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116</Pages>
  <Words>2170</Words>
  <Characters>2532</Characters>
  <Lines>611</Lines>
  <Paragraphs>172</Paragraphs>
  <TotalTime>80</TotalTime>
  <ScaleCrop>false</ScaleCrop>
  <LinksUpToDate>false</LinksUpToDate>
  <CharactersWithSpaces>2707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2026-06-22T09:01:00Z</dcterms:created>
  <dc:creator>豆豆</dc:creator>
  <cp:lastModifiedBy>等风</cp:lastModifiedBy>
  <dcterms:modified xsi:type="dcterms:W3CDTF">2026-10-04T09:38:28Z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7541131870494C088ADAA15816297B00_13</vt:lpwstr>
  </property>
  <property fmtid="{D5CDD505-2E9C-101B-9397-08002B2CF9AE}" pid="4" name="KSOTemplateDocerSaveRecord">
    <vt:lpwstr>eyJoZGlkIjoiNDE1YjM3OTVhNDdiNDkzZDkyYTdiMjQzNmVhMGI4OWIiLCJ1c2VySWQiOiI1MTQ5MTEwMzUifQ==</vt:lpwstr>
  </property>
</Properties>
</file>