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eastAsia="黑体" w:cs="Times New Roman"/>
          <w:color w:val="000000" w:themeColor="text1"/>
          <w:kern w:val="32"/>
          <w:lang w:eastAsia="zh-CN"/>
          <w14:textFill>
            <w14:solidFill>
              <w14:schemeClr w14:val="tx1"/>
            </w14:solidFill>
          </w14:textFill>
        </w:rPr>
      </w:pPr>
      <w:r>
        <w:rPr>
          <w:rFonts w:hint="eastAsia" w:eastAsia="黑体" w:cs="Times New Roman"/>
          <w:color w:val="000000" w:themeColor="text1"/>
          <w:kern w:val="32"/>
          <w:lang w:eastAsia="zh-CN"/>
          <w14:textFill>
            <w14:solidFill>
              <w14:schemeClr w14:val="tx1"/>
            </w14:solidFill>
          </w14:textFill>
        </w:rPr>
        <w:t>附件</w:t>
      </w:r>
      <w:bookmarkStart w:id="0" w:name="_GoBack"/>
      <w:bookmarkEnd w:id="0"/>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eastAsia="方正小标宋_GBK" w:cs="Times New Roman"/>
          <w:color w:val="000000" w:themeColor="text1"/>
          <w:kern w:val="32"/>
          <w:sz w:val="44"/>
          <w:szCs w:val="44"/>
          <w:lang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spacing w:val="-11"/>
          <w:kern w:val="32"/>
          <w:sz w:val="44"/>
          <w:szCs w:val="44"/>
          <w14:textFill>
            <w14:solidFill>
              <w14:schemeClr w14:val="tx1"/>
            </w14:solidFill>
          </w14:textFill>
        </w:rPr>
      </w:pPr>
      <w:r>
        <w:rPr>
          <w:rFonts w:hint="default" w:ascii="Times New Roman" w:hAnsi="Times New Roman" w:eastAsia="方正小标宋简体" w:cs="Times New Roman"/>
          <w:color w:val="000000" w:themeColor="text1"/>
          <w:spacing w:val="-11"/>
          <w:kern w:val="32"/>
          <w:sz w:val="44"/>
          <w:szCs w:val="44"/>
          <w:lang w:eastAsia="zh-CN"/>
          <w14:textFill>
            <w14:solidFill>
              <w14:schemeClr w14:val="tx1"/>
            </w14:solidFill>
          </w14:textFill>
        </w:rPr>
        <w:t>巴中市</w:t>
      </w:r>
      <w:r>
        <w:rPr>
          <w:rFonts w:hint="default" w:ascii="Times New Roman" w:hAnsi="Times New Roman" w:eastAsia="方正小标宋简体" w:cs="Times New Roman"/>
          <w:color w:val="000000" w:themeColor="text1"/>
          <w:spacing w:val="-11"/>
          <w:kern w:val="32"/>
          <w:sz w:val="44"/>
          <w:szCs w:val="44"/>
          <w14:textFill>
            <w14:solidFill>
              <w14:schemeClr w14:val="tx1"/>
            </w14:solidFill>
          </w14:textFill>
        </w:rPr>
        <w:t>人民政府</w:t>
      </w:r>
    </w:p>
    <w:p>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spacing w:val="-11"/>
          <w:kern w:val="32"/>
          <w:sz w:val="44"/>
          <w:szCs w:val="44"/>
          <w:lang w:eastAsia="zh-CN"/>
          <w14:textFill>
            <w14:solidFill>
              <w14:schemeClr w14:val="tx1"/>
            </w14:solidFill>
          </w14:textFill>
        </w:rPr>
      </w:pPr>
      <w:r>
        <w:rPr>
          <w:rFonts w:hint="default" w:ascii="Times New Roman" w:hAnsi="Times New Roman" w:eastAsia="方正小标宋简体" w:cs="Times New Roman"/>
          <w:color w:val="000000" w:themeColor="text1"/>
          <w:spacing w:val="-11"/>
          <w:kern w:val="32"/>
          <w:sz w:val="44"/>
          <w:szCs w:val="44"/>
          <w14:textFill>
            <w14:solidFill>
              <w14:schemeClr w14:val="tx1"/>
            </w14:solidFill>
          </w14:textFill>
        </w:rPr>
        <w:t>关于</w:t>
      </w:r>
      <w:r>
        <w:rPr>
          <w:rFonts w:hint="default" w:ascii="Times New Roman" w:hAnsi="Times New Roman" w:eastAsia="方正小标宋简体" w:cs="Times New Roman"/>
          <w:color w:val="000000" w:themeColor="text1"/>
          <w:spacing w:val="-11"/>
          <w:kern w:val="32"/>
          <w:sz w:val="44"/>
          <w:szCs w:val="44"/>
          <w:lang w:eastAsia="zh-CN"/>
          <w14:textFill>
            <w14:solidFill>
              <w14:schemeClr w14:val="tx1"/>
            </w14:solidFill>
          </w14:textFill>
        </w:rPr>
        <w:t>划定巴中市中心城区</w:t>
      </w:r>
      <w:r>
        <w:rPr>
          <w:rFonts w:hint="default" w:ascii="Times New Roman" w:hAnsi="Times New Roman" w:eastAsia="方正小标宋简体" w:cs="Times New Roman"/>
          <w:color w:val="000000" w:themeColor="text1"/>
          <w:spacing w:val="-11"/>
          <w:kern w:val="32"/>
          <w:sz w:val="44"/>
          <w:szCs w:val="44"/>
          <w14:textFill>
            <w14:solidFill>
              <w14:schemeClr w14:val="tx1"/>
            </w14:solidFill>
          </w14:textFill>
        </w:rPr>
        <w:t>禁止使用高排放非道路移动机械区域的通告</w:t>
      </w:r>
      <w:r>
        <w:rPr>
          <w:rFonts w:hint="default" w:ascii="Times New Roman" w:hAnsi="Times New Roman" w:eastAsia="方正小标宋简体" w:cs="Times New Roman"/>
          <w:color w:val="000000" w:themeColor="text1"/>
          <w:spacing w:val="-11"/>
          <w:kern w:val="32"/>
          <w:sz w:val="44"/>
          <w:szCs w:val="44"/>
          <w:lang w:eastAsia="zh-CN"/>
          <w14:textFill>
            <w14:solidFill>
              <w14:schemeClr w14:val="tx1"/>
            </w14:solidFill>
          </w14:textFill>
        </w:rPr>
        <w:t>（征求意见稿）</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p>
    <w:p>
      <w:pPr>
        <w:keepNext w:val="0"/>
        <w:keepLines w:val="0"/>
        <w:pageBreakBefore w:val="0"/>
        <w:widowControl w:val="0"/>
        <w:suppressLineNumbers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r>
        <w:rPr>
          <w:rFonts w:hint="default" w:ascii="Times New Roman" w:hAnsi="Times New Roman" w:eastAsia="仿宋_GB2312" w:cs="Times New Roman"/>
          <w:i w:val="0"/>
          <w:iCs w:val="0"/>
          <w:caps w:val="0"/>
          <w:color w:val="000000" w:themeColor="text1"/>
          <w:spacing w:val="0"/>
          <w:kern w:val="32"/>
          <w:sz w:val="32"/>
          <w:szCs w:val="32"/>
          <w:shd w:val="clear" w:fill="FFFFFF"/>
          <w:lang w:val="en-US" w:eastAsia="zh-CN" w:bidi="ar"/>
          <w14:textFill>
            <w14:solidFill>
              <w14:schemeClr w14:val="tx1"/>
            </w14:solidFill>
          </w14:textFill>
        </w:rPr>
        <w:t>为深入打好蓝天保卫战，进一步减少非道路移动机械污染物排放，持续改善环境空气质量</w:t>
      </w:r>
      <w:r>
        <w:rPr>
          <w:rFonts w:hint="default" w:ascii="Times New Roman" w:hAnsi="Times New Roman" w:eastAsia="仿宋_GB2312" w:cs="Times New Roman"/>
          <w:color w:val="000000" w:themeColor="text1"/>
          <w:kern w:val="32"/>
          <w:sz w:val="32"/>
          <w:szCs w:val="32"/>
          <w14:textFill>
            <w14:solidFill>
              <w14:schemeClr w14:val="tx1"/>
            </w14:solidFill>
          </w14:textFill>
        </w:rPr>
        <w:t>，保障</w:t>
      </w: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人民群众身体</w:t>
      </w:r>
      <w:r>
        <w:rPr>
          <w:rFonts w:hint="default" w:ascii="Times New Roman" w:hAnsi="Times New Roman" w:eastAsia="仿宋_GB2312" w:cs="Times New Roman"/>
          <w:color w:val="000000" w:themeColor="text1"/>
          <w:kern w:val="32"/>
          <w:sz w:val="32"/>
          <w:szCs w:val="32"/>
          <w14:textFill>
            <w14:solidFill>
              <w14:schemeClr w14:val="tx1"/>
            </w14:solidFill>
          </w14:textFill>
        </w:rPr>
        <w:t>健康</w:t>
      </w: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32"/>
          <w:sz w:val="32"/>
          <w:szCs w:val="32"/>
          <w14:textFill>
            <w14:solidFill>
              <w14:schemeClr w14:val="tx1"/>
            </w14:solidFill>
          </w14:textFill>
        </w:rPr>
        <w:t>依据《中华人民共和国生态环境法典》</w:t>
      </w: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第</w:t>
      </w:r>
      <w:r>
        <w:rPr>
          <w:rFonts w:hint="default" w:ascii="Times New Roman" w:hAnsi="Times New Roman" w:eastAsia="仿宋_GB2312" w:cs="Times New Roman"/>
          <w:color w:val="000000" w:themeColor="text1"/>
          <w:kern w:val="32"/>
          <w:sz w:val="32"/>
          <w:szCs w:val="32"/>
          <w14:textFill>
            <w14:solidFill>
              <w14:schemeClr w14:val="tx1"/>
            </w14:solidFill>
          </w14:textFill>
        </w:rPr>
        <w:t>二百三十条规定</w:t>
      </w:r>
      <w:r>
        <w:rPr>
          <w:rFonts w:hint="default" w:ascii="Times New Roman" w:hAnsi="Times New Roman" w:eastAsia="仿宋_GB2312" w:cs="Times New Roman"/>
          <w:i w:val="0"/>
          <w:iCs w:val="0"/>
          <w:caps w:val="0"/>
          <w:color w:val="000000" w:themeColor="text1"/>
          <w:spacing w:val="0"/>
          <w:kern w:val="32"/>
          <w:sz w:val="32"/>
          <w:szCs w:val="32"/>
          <w:shd w:val="clear" w:fill="FFFFFF"/>
          <w:lang w:val="en-US" w:eastAsia="zh-CN" w:bidi="ar"/>
          <w14:textFill>
            <w14:solidFill>
              <w14:schemeClr w14:val="tx1"/>
            </w14:solidFill>
          </w14:textFill>
        </w:rPr>
        <w:t>，市人民政府决定在巴中市中心城区划定禁止使用高排放非道路移动机械区域（以下简称禁用区）。</w:t>
      </w:r>
      <w:r>
        <w:rPr>
          <w:rFonts w:hint="default" w:ascii="Times New Roman" w:hAnsi="Times New Roman" w:eastAsia="仿宋_GB2312" w:cs="Times New Roman"/>
          <w:color w:val="000000" w:themeColor="text1"/>
          <w:kern w:val="32"/>
          <w:sz w:val="32"/>
          <w:szCs w:val="32"/>
          <w14:textFill>
            <w14:solidFill>
              <w14:schemeClr w14:val="tx1"/>
            </w14:solidFill>
          </w14:textFill>
        </w:rPr>
        <w:t>现将有关事项通告如下：</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黑体" w:cs="Times New Roman"/>
          <w:color w:val="000000" w:themeColor="text1"/>
          <w:kern w:val="32"/>
          <w:sz w:val="32"/>
          <w:szCs w:val="32"/>
          <w:lang w:eastAsia="zh-CN"/>
          <w14:textFill>
            <w14:solidFill>
              <w14:schemeClr w14:val="tx1"/>
            </w14:solidFill>
          </w14:textFill>
        </w:rPr>
      </w:pPr>
      <w:r>
        <w:rPr>
          <w:rFonts w:hint="default" w:ascii="Times New Roman" w:hAnsi="Times New Roman" w:eastAsia="黑体" w:cs="Times New Roman"/>
          <w:color w:val="000000" w:themeColor="text1"/>
          <w:kern w:val="32"/>
          <w:sz w:val="32"/>
          <w:szCs w:val="32"/>
          <w14:textFill>
            <w14:solidFill>
              <w14:schemeClr w14:val="tx1"/>
            </w14:solidFill>
          </w14:textFill>
        </w:rPr>
        <w:t>一、</w:t>
      </w:r>
      <w:r>
        <w:rPr>
          <w:rFonts w:hint="default" w:ascii="Times New Roman" w:hAnsi="Times New Roman" w:eastAsia="黑体" w:cs="Times New Roman"/>
          <w:color w:val="000000" w:themeColor="text1"/>
          <w:kern w:val="32"/>
          <w:sz w:val="32"/>
          <w:szCs w:val="32"/>
          <w:lang w:eastAsia="zh-CN"/>
          <w14:textFill>
            <w14:solidFill>
              <w14:schemeClr w14:val="tx1"/>
            </w14:solidFill>
          </w14:textFill>
        </w:rPr>
        <w:t>适用范围</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r>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t>本通告所称非道路移动机械，是指装配有柴油机的挖掘机、装载机、挖掘装载机、推土机、压路机、沥青摊铺机、平地机、旋挖机、叉车，以及其它适用于《非道路移动柴油机械排气烟度限值及测量方法》规定的非道路移动机械。</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黑体" w:cs="Times New Roman"/>
          <w:color w:val="000000" w:themeColor="text1"/>
          <w:kern w:val="32"/>
          <w:sz w:val="32"/>
          <w:szCs w:val="32"/>
          <w:lang w:eastAsia="zh-CN"/>
          <w14:textFill>
            <w14:solidFill>
              <w14:schemeClr w14:val="tx1"/>
            </w14:solidFill>
          </w14:textFill>
        </w:rPr>
      </w:pPr>
      <w:r>
        <w:rPr>
          <w:rFonts w:hint="default" w:ascii="Times New Roman" w:hAnsi="Times New Roman" w:eastAsia="黑体" w:cs="Times New Roman"/>
          <w:color w:val="000000" w:themeColor="text1"/>
          <w:kern w:val="32"/>
          <w:sz w:val="32"/>
          <w:szCs w:val="32"/>
          <w14:textFill>
            <w14:solidFill>
              <w14:schemeClr w14:val="tx1"/>
            </w14:solidFill>
          </w14:textFill>
        </w:rPr>
        <w:t>二、</w:t>
      </w:r>
      <w:r>
        <w:rPr>
          <w:rFonts w:hint="default" w:ascii="Times New Roman" w:hAnsi="Times New Roman" w:eastAsia="黑体" w:cs="Times New Roman"/>
          <w:color w:val="000000" w:themeColor="text1"/>
          <w:kern w:val="32"/>
          <w:sz w:val="32"/>
          <w:szCs w:val="32"/>
          <w:lang w:eastAsia="zh-CN"/>
          <w14:textFill>
            <w14:solidFill>
              <w14:schemeClr w14:val="tx1"/>
            </w14:solidFill>
          </w14:textFill>
        </w:rPr>
        <w:t>高排放非道路移动机械认定标准</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（一）</w:t>
      </w:r>
      <w:r>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t>国Ⅱ及以下（含编码登记为X阶段）排放标准的；</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（二）不符合《非道路移动柴油机械排气烟度限值及测量方法》（GB 36886—2018）中Ⅲ类限值标准的。</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黑体" w:cs="Times New Roman"/>
          <w:color w:val="000000" w:themeColor="text1"/>
          <w:kern w:val="32"/>
          <w:sz w:val="32"/>
          <w:szCs w:val="32"/>
          <w14:textFill>
            <w14:solidFill>
              <w14:schemeClr w14:val="tx1"/>
            </w14:solidFill>
          </w14:textFill>
        </w:rPr>
      </w:pPr>
      <w:r>
        <w:rPr>
          <w:rFonts w:hint="default" w:ascii="Times New Roman" w:hAnsi="Times New Roman" w:eastAsia="黑体" w:cs="Times New Roman"/>
          <w:color w:val="000000" w:themeColor="text1"/>
          <w:kern w:val="32"/>
          <w:sz w:val="32"/>
          <w:szCs w:val="32"/>
          <w14:textFill>
            <w14:solidFill>
              <w14:schemeClr w14:val="tx1"/>
            </w14:solidFill>
          </w14:textFill>
        </w:rPr>
        <w:t>三、</w:t>
      </w:r>
      <w:r>
        <w:rPr>
          <w:rFonts w:hint="default" w:ascii="Times New Roman" w:hAnsi="Times New Roman" w:eastAsia="黑体" w:cs="Times New Roman"/>
          <w:color w:val="000000" w:themeColor="text1"/>
          <w:kern w:val="32"/>
          <w:sz w:val="32"/>
          <w:szCs w:val="32"/>
          <w:lang w:val="en-US" w:eastAsia="zh-CN"/>
          <w14:textFill>
            <w14:solidFill>
              <w14:schemeClr w14:val="tx1"/>
            </w14:solidFill>
          </w14:textFill>
        </w:rPr>
        <w:t>禁用区范围</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pPr>
      <w:r>
        <w:rPr>
          <w:rFonts w:hint="default" w:ascii="Times New Roman" w:hAnsi="Times New Roman" w:eastAsia="楷体" w:cs="Times New Roman"/>
          <w:b/>
          <w:bCs/>
          <w:color w:val="000000" w:themeColor="text1"/>
          <w:kern w:val="32"/>
          <w:sz w:val="32"/>
          <w:szCs w:val="32"/>
          <w:highlight w:val="none"/>
          <w:lang w:eastAsia="zh-CN"/>
          <w14:textFill>
            <w14:solidFill>
              <w14:schemeClr w14:val="tx1"/>
            </w14:solidFill>
          </w14:textFill>
        </w:rPr>
        <w:t>巴州区：</w:t>
      </w:r>
      <w:r>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t>回风街道大佛寺社区、大溪口社区、回风亭社区、津桥湖社区、龙湖园社区、龙舌坝社区</w:t>
      </w:r>
      <w:r>
        <w:rPr>
          <w:rFonts w:hint="eastAsia" w:cs="Times New Roman"/>
          <w:color w:val="000000" w:themeColor="text1"/>
          <w:kern w:val="32"/>
          <w:sz w:val="32"/>
          <w:szCs w:val="32"/>
          <w:highlight w:val="none"/>
          <w:lang w:eastAsia="zh-CN"/>
          <w14:textFill>
            <w14:solidFill>
              <w14:schemeClr w14:val="tx1"/>
            </w14:solidFill>
          </w14:textFill>
        </w:rPr>
        <w:t>、</w:t>
      </w:r>
      <w:r>
        <w:rPr>
          <w:rFonts w:hint="eastAsia" w:cs="Times New Roman"/>
          <w:color w:val="000000" w:themeColor="text1"/>
          <w:kern w:val="32"/>
          <w:sz w:val="32"/>
          <w:szCs w:val="32"/>
          <w:highlight w:val="none"/>
          <w:lang w:val="en-US" w:eastAsia="zh-CN"/>
          <w14:textFill>
            <w14:solidFill>
              <w14:schemeClr w14:val="tx1"/>
            </w14:solidFill>
          </w14:textFill>
        </w:rPr>
        <w:t>陇桥</w:t>
      </w:r>
      <w:r>
        <w:rPr>
          <w:rFonts w:hint="eastAsia" w:cs="Times New Roman"/>
          <w:color w:val="000000" w:themeColor="text1"/>
          <w:kern w:val="32"/>
          <w:sz w:val="32"/>
          <w:szCs w:val="32"/>
          <w:highlight w:val="none"/>
          <w:lang w:eastAsia="zh-CN"/>
          <w14:textFill>
            <w14:solidFill>
              <w14:schemeClr w14:val="tx1"/>
            </w14:solidFill>
          </w14:textFill>
        </w:rPr>
        <w:t>社区</w:t>
      </w:r>
      <w:r>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t>，西城街道南龛社区、红福社区、佛阳社区、柳津桥社区、云屏社区、后坝社区、草坝社区、白马井社区</w:t>
      </w:r>
      <w:r>
        <w:rPr>
          <w:rFonts w:hint="eastAsia" w:cs="Times New Roman"/>
          <w:color w:val="000000" w:themeColor="text1"/>
          <w:kern w:val="32"/>
          <w:sz w:val="32"/>
          <w:szCs w:val="32"/>
          <w:highlight w:val="none"/>
          <w:lang w:eastAsia="zh-CN"/>
          <w14:textFill>
            <w14:solidFill>
              <w14:schemeClr w14:val="tx1"/>
            </w14:solidFill>
          </w14:textFill>
        </w:rPr>
        <w:t>、莲山湖社区、西</w:t>
      </w:r>
      <w:r>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t>龛社区，东城街道北门社区、观音井社区、鼓楼社区、大东社区、南门社区、古井子社区、南坝社区、老观桥社区、太子社区</w:t>
      </w:r>
      <w:r>
        <w:rPr>
          <w:rFonts w:hint="eastAsia" w:cs="Times New Roman"/>
          <w:color w:val="000000" w:themeColor="text1"/>
          <w:kern w:val="32"/>
          <w:sz w:val="32"/>
          <w:szCs w:val="32"/>
          <w:highlight w:val="none"/>
          <w:lang w:eastAsia="zh-CN"/>
          <w14:textFill>
            <w14:solidFill>
              <w14:schemeClr w14:val="tx1"/>
            </w14:solidFill>
          </w14:textFill>
        </w:rPr>
        <w:t>、柏杨社区</w:t>
      </w:r>
      <w:r>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t>，宕梁街道后河社区、红岩社区、中坝社区、杨坝社区，玉堂街道新桥社区、北龛社区，江北街道白云台社区、佛江社区、江北台社区、状元桥社区、龙泉社区；</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pPr>
      <w:r>
        <w:rPr>
          <w:rFonts w:hint="default" w:ascii="Times New Roman" w:hAnsi="Times New Roman" w:eastAsia="楷体" w:cs="Times New Roman"/>
          <w:b/>
          <w:bCs/>
          <w:color w:val="000000" w:themeColor="text1"/>
          <w:kern w:val="32"/>
          <w:sz w:val="32"/>
          <w:szCs w:val="32"/>
          <w:highlight w:val="none"/>
          <w:lang w:eastAsia="zh-CN"/>
          <w14:textFill>
            <w14:solidFill>
              <w14:schemeClr w14:val="tx1"/>
            </w14:solidFill>
          </w14:textFill>
        </w:rPr>
        <w:t>恩阳区：</w:t>
      </w:r>
      <w:r>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t>登科街道登科寺社区、新场社区、麻石社区、白玉社区、两路社区、石马社区，文治街道老场社区、回龙社区、文治社区、飞凤社区、马鞍社区、柏林社区、义阳社区、小观社区；</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pPr>
      <w:r>
        <w:rPr>
          <w:rFonts w:hint="default" w:ascii="Times New Roman" w:hAnsi="Times New Roman" w:eastAsia="楷体" w:cs="Times New Roman"/>
          <w:b/>
          <w:bCs/>
          <w:color w:val="000000" w:themeColor="text1"/>
          <w:kern w:val="32"/>
          <w:sz w:val="32"/>
          <w:szCs w:val="32"/>
          <w:highlight w:val="none"/>
          <w:lang w:eastAsia="zh-CN"/>
          <w14:textFill>
            <w14:solidFill>
              <w14:schemeClr w14:val="tx1"/>
            </w14:solidFill>
          </w14:textFill>
        </w:rPr>
        <w:t>巴中经开区：</w:t>
      </w:r>
      <w:r>
        <w:rPr>
          <w:rFonts w:hint="default" w:ascii="Times New Roman" w:hAnsi="Times New Roman" w:eastAsia="仿宋_GB2312" w:cs="Times New Roman"/>
          <w:color w:val="000000" w:themeColor="text1"/>
          <w:kern w:val="32"/>
          <w:sz w:val="32"/>
          <w:szCs w:val="32"/>
          <w:highlight w:val="none"/>
          <w:lang w:eastAsia="zh-CN"/>
          <w14:textFill>
            <w14:solidFill>
              <w14:schemeClr w14:val="tx1"/>
            </w14:solidFill>
          </w14:textFill>
        </w:rPr>
        <w:t>时新街道沙溪社区、双桥河社区、西溪社区、宝峰社区、双井社区、石笋堂社区、园柏社区、白塔社区、插旗山社区、西锦社区，兴文街道关公社区、牛角社区、五谷社区、文丛社区、中山社区、兴新社区、文村坝社区、东锦社区。</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32"/>
          <w:sz w:val="32"/>
          <w:szCs w:val="32"/>
          <w:highlight w:val="none"/>
          <w14:textFill>
            <w14:solidFill>
              <w14:schemeClr w14:val="tx1"/>
            </w14:solidFill>
          </w14:textFill>
        </w:rPr>
        <w:t>执行紧急任务的军用、警用、消防、救护、应急抢险机械除外。</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黑体" w:cs="Times New Roman"/>
          <w:color w:val="000000" w:themeColor="text1"/>
          <w:kern w:val="32"/>
          <w:sz w:val="32"/>
          <w:szCs w:val="32"/>
          <w:lang w:eastAsia="zh-CN"/>
          <w14:textFill>
            <w14:solidFill>
              <w14:schemeClr w14:val="tx1"/>
            </w14:solidFill>
          </w14:textFill>
        </w:rPr>
      </w:pPr>
      <w:r>
        <w:rPr>
          <w:rFonts w:hint="default" w:ascii="Times New Roman" w:hAnsi="Times New Roman" w:eastAsia="黑体" w:cs="Times New Roman"/>
          <w:color w:val="000000" w:themeColor="text1"/>
          <w:kern w:val="32"/>
          <w:sz w:val="32"/>
          <w:szCs w:val="32"/>
          <w14:textFill>
            <w14:solidFill>
              <w14:schemeClr w14:val="tx1"/>
            </w14:solidFill>
          </w14:textFill>
        </w:rPr>
        <w:t>四、</w:t>
      </w:r>
      <w:r>
        <w:rPr>
          <w:rFonts w:hint="default" w:ascii="Times New Roman" w:hAnsi="Times New Roman" w:eastAsia="黑体" w:cs="Times New Roman"/>
          <w:color w:val="000000" w:themeColor="text1"/>
          <w:kern w:val="32"/>
          <w:sz w:val="32"/>
          <w:szCs w:val="32"/>
          <w:lang w:eastAsia="zh-CN"/>
          <w14:textFill>
            <w14:solidFill>
              <w14:schemeClr w14:val="tx1"/>
            </w14:solidFill>
          </w14:textFill>
        </w:rPr>
        <w:t>其他要求</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一）巴州区人民政府、恩阳区人民政府和巴中经开区管委会负责本通告的组织实施。市经济和信息化局、市公安局、市自然资源和规划局、市生态环境局、市住房城乡建设局、市交通运输局、市水利局、市农业农村局、市商务局、市市场监管局、巴中市国有资产监督管理委员会、市综合执法局等部门应按照职责加强对本行业领域非道路移动机械的监督管理。</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（二）</w:t>
      </w:r>
      <w:r>
        <w:rPr>
          <w:rFonts w:hint="default" w:ascii="Times New Roman" w:hAnsi="Times New Roman" w:eastAsia="仿宋_GB2312" w:cs="Times New Roman"/>
          <w:color w:val="000000" w:themeColor="text1"/>
          <w:kern w:val="32"/>
          <w:sz w:val="32"/>
          <w:szCs w:val="32"/>
          <w:highlight w:val="none"/>
          <w:lang w:val="en-US" w:eastAsia="zh-CN"/>
          <w14:textFill>
            <w14:solidFill>
              <w14:schemeClr w14:val="tx1"/>
            </w14:solidFill>
          </w14:textFill>
        </w:rPr>
        <w:t>违反本通告规定的，按照《中华人民共和国生态环境法典》等相关法律法规予以处理。</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（三）</w:t>
      </w:r>
      <w:r>
        <w:rPr>
          <w:rFonts w:hint="default" w:ascii="Times New Roman" w:hAnsi="Times New Roman" w:eastAsia="仿宋_GB2312" w:cs="Times New Roman"/>
          <w:color w:val="000000" w:themeColor="text1"/>
          <w:kern w:val="32"/>
          <w:sz w:val="32"/>
          <w:szCs w:val="32"/>
          <w14:textFill>
            <w14:solidFill>
              <w14:schemeClr w14:val="tx1"/>
            </w14:solidFill>
          </w14:textFill>
        </w:rPr>
        <w:t>本通告自</w:t>
      </w:r>
      <w:r>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t>发布之日起</w:t>
      </w:r>
      <w:r>
        <w:rPr>
          <w:rFonts w:hint="default" w:ascii="Times New Roman" w:hAnsi="Times New Roman" w:eastAsia="仿宋_GB2312" w:cs="Times New Roman"/>
          <w:color w:val="000000" w:themeColor="text1"/>
          <w:kern w:val="32"/>
          <w:sz w:val="32"/>
          <w:szCs w:val="32"/>
          <w14:textFill>
            <w14:solidFill>
              <w14:schemeClr w14:val="tx1"/>
            </w14:solidFill>
          </w14:textFill>
        </w:rPr>
        <w:t>施行，</w:t>
      </w: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有效期</w:t>
      </w:r>
      <w:r>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t>5年</w:t>
      </w: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32"/>
          <w:sz w:val="32"/>
          <w:szCs w:val="32"/>
          <w14:textFill>
            <w14:solidFill>
              <w14:schemeClr w14:val="tx1"/>
            </w14:solidFill>
          </w14:textFill>
        </w:rPr>
        <w:t>《</w:t>
      </w:r>
      <w:r>
        <w:rPr>
          <w:rFonts w:hint="default" w:ascii="Times New Roman" w:hAnsi="Times New Roman" w:eastAsia="仿宋_GB2312" w:cs="Times New Roman"/>
          <w:color w:val="000000" w:themeColor="text1"/>
          <w:kern w:val="32"/>
          <w:sz w:val="32"/>
          <w:szCs w:val="32"/>
          <w:lang w:val="en-US" w:eastAsia="zh-CN" w:bidi="ar-SA"/>
          <w14:textFill>
            <w14:solidFill>
              <w14:schemeClr w14:val="tx1"/>
            </w14:solidFill>
          </w14:textFill>
        </w:rPr>
        <w:t>巴中市人民政府关于调整禁止使用高排放非道路移动机械区域的通告</w:t>
      </w:r>
      <w:r>
        <w:rPr>
          <w:rFonts w:hint="default" w:ascii="Times New Roman" w:hAnsi="Times New Roman" w:eastAsia="仿宋_GB2312" w:cs="Times New Roman"/>
          <w:color w:val="000000" w:themeColor="text1"/>
          <w:kern w:val="32"/>
          <w:sz w:val="32"/>
          <w:szCs w:val="32"/>
          <w14:textFill>
            <w14:solidFill>
              <w14:schemeClr w14:val="tx1"/>
            </w14:solidFill>
          </w14:textFill>
        </w:rPr>
        <w:t>》（〔202</w:t>
      </w:r>
      <w:r>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kern w:val="32"/>
          <w:sz w:val="32"/>
          <w:szCs w:val="32"/>
          <w14:textFill>
            <w14:solidFill>
              <w14:schemeClr w14:val="tx1"/>
            </w14:solidFill>
          </w14:textFill>
        </w:rPr>
        <w:t>〕</w:t>
      </w:r>
      <w:r>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kern w:val="32"/>
          <w:sz w:val="32"/>
          <w:szCs w:val="32"/>
          <w14:textFill>
            <w14:solidFill>
              <w14:schemeClr w14:val="tx1"/>
            </w14:solidFill>
          </w14:textFill>
        </w:rPr>
        <w:t>号）同时废止。</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r>
        <w:rPr>
          <w:rFonts w:hint="default" w:ascii="Times New Roman" w:hAnsi="Times New Roman" w:eastAsia="仿宋_GB2312" w:cs="Times New Roman"/>
          <w:color w:val="000000" w:themeColor="text1"/>
          <w:kern w:val="32"/>
          <w:sz w:val="32"/>
          <w:szCs w:val="32"/>
          <w14:textFill>
            <w14:solidFill>
              <w14:schemeClr w14:val="tx1"/>
            </w14:solidFill>
          </w14:textFill>
        </w:rPr>
        <w:t>特此通告。</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5056" w:firstLineChars="1600"/>
        <w:jc w:val="both"/>
        <w:textAlignment w:val="auto"/>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14:textFill>
            <w14:solidFill>
              <w14:schemeClr w14:val="tx1"/>
            </w14:solidFill>
          </w14:textFill>
        </w:rPr>
        <w:t>巴中市人民政府</w:t>
      </w:r>
    </w:p>
    <w:p>
      <w:pPr>
        <w:keepNext w:val="0"/>
        <w:keepLines w:val="0"/>
        <w:pageBreakBefore w:val="0"/>
        <w:widowControl w:val="0"/>
        <w:kinsoku/>
        <w:wordWrap/>
        <w:overflowPunct w:val="0"/>
        <w:topLinePunct w:val="0"/>
        <w:autoSpaceDE/>
        <w:autoSpaceDN/>
        <w:bidi w:val="0"/>
        <w:adjustRightInd/>
        <w:snapToGrid/>
        <w:spacing w:line="576" w:lineRule="exact"/>
        <w:ind w:right="1264" w:rightChars="400" w:firstLine="0" w:firstLineChars="0"/>
        <w:jc w:val="right"/>
        <w:textAlignment w:val="auto"/>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t>2026年   月   日</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cs="Times New Roman"/>
          <w:color w:val="000000" w:themeColor="text1"/>
          <w:kern w:val="32"/>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cs="Times New Roman"/>
          <w:color w:val="000000" w:themeColor="text1"/>
          <w:kern w:val="32"/>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cs="Times New Roman"/>
          <w:color w:val="000000" w:themeColor="text1"/>
          <w:kern w:val="32"/>
          <w:lang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76" w:lineRule="exact"/>
        <w:ind w:right="0" w:rightChars="0" w:firstLine="0" w:firstLineChars="0"/>
        <w:jc w:val="both"/>
        <w:textAlignment w:val="auto"/>
        <w:rPr>
          <w:rFonts w:hint="default" w:ascii="Times New Roman" w:hAnsi="Times New Roman" w:cs="Times New Roman"/>
          <w:color w:val="000000" w:themeColor="text1"/>
          <w:kern w:val="32"/>
          <w14:textFill>
            <w14:solidFill>
              <w14:schemeClr w14:val="tx1"/>
            </w14:solidFill>
          </w14:textFill>
        </w:rPr>
      </w:pPr>
    </w:p>
    <w:p/>
    <w:p/>
    <w:sectPr>
      <w:footerReference r:id="rId3" w:type="default"/>
      <w:pgSz w:w="11906" w:h="16838"/>
      <w:pgMar w:top="2098" w:right="1474" w:bottom="1984" w:left="1587" w:header="851" w:footer="1531" w:gutter="0"/>
      <w:pgNumType w:fmt="decimal"/>
      <w:cols w:space="0" w:num="1"/>
      <w:titlePg/>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2"/>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EF1637"/>
    <w:rsid w:val="0CCB09A2"/>
    <w:rsid w:val="ED31FC69"/>
    <w:rsid w:val="EDEF1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2026-08-14T22:13:00Z</dcterms:created>
  <dc:creator>ybc</dc:creator>
  <cp:lastModifiedBy>ybc</cp:lastModifiedBy>
  <dcterms:modified xsi:type="dcterms:W3CDTF">2026-08-14T15:05:41Z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5C65D5E123B75AF322B27E6A26D6E2A4_41</vt:lpwstr>
  </property>
</Properties>
</file>