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E6D7DD">
      <w:pPr>
        <w:rPr>
          <w:rFonts w:eastAsia="仿宋_GB2312"/>
          <w:color w:val="auto"/>
          <w:sz w:val="36"/>
          <w:szCs w:val="36"/>
        </w:rPr>
      </w:pPr>
      <w:bookmarkStart w:id="0" w:name="_Hlk57883707"/>
    </w:p>
    <w:p w14:paraId="3E0BEBE7">
      <w:pPr>
        <w:rPr>
          <w:rFonts w:eastAsia="仿宋_GB2312"/>
          <w:color w:val="auto"/>
          <w:sz w:val="36"/>
          <w:szCs w:val="36"/>
        </w:rPr>
      </w:pPr>
    </w:p>
    <w:p w14:paraId="0108AAE9">
      <w:pPr>
        <w:rPr>
          <w:rFonts w:eastAsia="仿宋_GB2312"/>
          <w:color w:val="auto"/>
          <w:sz w:val="36"/>
          <w:szCs w:val="36"/>
        </w:rPr>
      </w:pPr>
    </w:p>
    <w:p w14:paraId="00D8ECAA">
      <w:pPr>
        <w:rPr>
          <w:rFonts w:eastAsia="仿宋_GB2312"/>
          <w:color w:val="auto"/>
          <w:sz w:val="36"/>
          <w:szCs w:val="36"/>
        </w:rPr>
      </w:pPr>
    </w:p>
    <w:bookmarkEnd w:id="0"/>
    <w:p w14:paraId="69A9FD92">
      <w:pPr>
        <w:adjustRightInd w:val="0"/>
        <w:snapToGrid w:val="0"/>
        <w:jc w:val="center"/>
        <w:outlineLvl w:val="0"/>
        <w:rPr>
          <w:rFonts w:eastAsia="方正小标宋_GBK"/>
          <w:bCs/>
          <w:color w:val="auto"/>
          <w:sz w:val="72"/>
          <w:szCs w:val="72"/>
        </w:rPr>
      </w:pPr>
      <w:r>
        <w:rPr>
          <w:rFonts w:eastAsia="方正小标宋_GBK"/>
          <w:bCs/>
          <w:color w:val="auto"/>
          <w:sz w:val="72"/>
          <w:szCs w:val="72"/>
        </w:rPr>
        <w:t>建设项目环境影响报告表</w:t>
      </w:r>
    </w:p>
    <w:p w14:paraId="4CB56253">
      <w:pPr>
        <w:adjustRightInd w:val="0"/>
        <w:snapToGrid w:val="0"/>
        <w:spacing w:before="192" w:beforeLines="80"/>
        <w:jc w:val="center"/>
        <w:rPr>
          <w:rFonts w:eastAsia="楷体_GB2312"/>
          <w:bCs/>
          <w:color w:val="auto"/>
          <w:sz w:val="48"/>
          <w:szCs w:val="48"/>
        </w:rPr>
      </w:pPr>
      <w:r>
        <w:rPr>
          <w:rFonts w:eastAsia="楷体_GB2312"/>
          <w:bCs/>
          <w:color w:val="auto"/>
          <w:sz w:val="48"/>
          <w:szCs w:val="48"/>
        </w:rPr>
        <w:t>（生态影响类）</w:t>
      </w:r>
    </w:p>
    <w:p w14:paraId="644E7088">
      <w:pPr>
        <w:pStyle w:val="12"/>
        <w:jc w:val="center"/>
        <w:rPr>
          <w:rFonts w:ascii="Times New Roman" w:hAnsi="Times New Roman" w:eastAsia="楷体_GB2312" w:cs="Times New Roman"/>
          <w:color w:val="auto"/>
        </w:rPr>
      </w:pPr>
      <w:r>
        <w:rPr>
          <w:rFonts w:ascii="Times New Roman" w:hAnsi="Times New Roman" w:eastAsia="楷体_GB2312" w:cs="Times New Roman"/>
          <w:bCs/>
          <w:color w:val="auto"/>
          <w:sz w:val="48"/>
          <w:szCs w:val="48"/>
        </w:rPr>
        <w:t>（</w:t>
      </w:r>
      <w:r>
        <w:rPr>
          <w:rFonts w:hint="eastAsia" w:ascii="Times New Roman" w:hAnsi="Times New Roman" w:eastAsia="楷体_GB2312" w:cs="Times New Roman"/>
          <w:bCs/>
          <w:color w:val="auto"/>
          <w:sz w:val="48"/>
          <w:szCs w:val="48"/>
          <w:lang w:eastAsia="zh-CN"/>
        </w:rPr>
        <w:t>公示</w:t>
      </w:r>
      <w:r>
        <w:rPr>
          <w:rFonts w:hint="eastAsia" w:ascii="Times New Roman" w:hAnsi="Times New Roman" w:eastAsia="楷体_GB2312" w:cs="Times New Roman"/>
          <w:bCs/>
          <w:color w:val="auto"/>
          <w:sz w:val="48"/>
          <w:szCs w:val="48"/>
        </w:rPr>
        <w:t>本</w:t>
      </w:r>
      <w:r>
        <w:rPr>
          <w:rFonts w:ascii="Times New Roman" w:hAnsi="Times New Roman" w:eastAsia="楷体_GB2312" w:cs="Times New Roman"/>
          <w:bCs/>
          <w:color w:val="auto"/>
          <w:sz w:val="48"/>
          <w:szCs w:val="48"/>
        </w:rPr>
        <w:t>）</w:t>
      </w:r>
    </w:p>
    <w:p w14:paraId="053527EA">
      <w:pPr>
        <w:jc w:val="center"/>
        <w:rPr>
          <w:rFonts w:eastAsia="仿宋"/>
          <w:color w:val="auto"/>
          <w:sz w:val="52"/>
          <w:szCs w:val="52"/>
        </w:rPr>
      </w:pPr>
      <w:bookmarkStart w:id="1" w:name="_Hlk57883728"/>
    </w:p>
    <w:p w14:paraId="0D11B2DF">
      <w:pPr>
        <w:jc w:val="center"/>
        <w:rPr>
          <w:rFonts w:eastAsia="仿宋"/>
          <w:color w:val="auto"/>
          <w:sz w:val="52"/>
          <w:szCs w:val="52"/>
        </w:rPr>
      </w:pPr>
    </w:p>
    <w:p w14:paraId="67993890">
      <w:pPr>
        <w:ind w:firstLine="1040"/>
        <w:rPr>
          <w:rFonts w:eastAsia="仿宋"/>
          <w:color w:val="auto"/>
          <w:sz w:val="44"/>
          <w:szCs w:val="44"/>
        </w:rPr>
      </w:pPr>
    </w:p>
    <w:p w14:paraId="6604A434">
      <w:pPr>
        <w:rPr>
          <w:rFonts w:eastAsia="仿宋"/>
          <w:color w:val="auto"/>
          <w:sz w:val="44"/>
          <w:szCs w:val="44"/>
        </w:rPr>
      </w:pPr>
    </w:p>
    <w:bookmarkEnd w:id="1"/>
    <w:p w14:paraId="640FD5D7">
      <w:pPr>
        <w:adjustRightInd w:val="0"/>
        <w:snapToGrid w:val="0"/>
        <w:spacing w:line="288" w:lineRule="auto"/>
        <w:rPr>
          <w:rFonts w:eastAsia="仿宋_GB2312"/>
          <w:color w:val="auto"/>
          <w:sz w:val="36"/>
          <w:szCs w:val="36"/>
        </w:rPr>
      </w:pPr>
    </w:p>
    <w:p w14:paraId="6DF8FD71">
      <w:pPr>
        <w:adjustRightInd w:val="0"/>
        <w:snapToGrid w:val="0"/>
        <w:spacing w:line="288" w:lineRule="auto"/>
        <w:rPr>
          <w:rFonts w:eastAsia="仿宋_GB2312"/>
          <w:color w:val="auto"/>
          <w:sz w:val="36"/>
          <w:szCs w:val="36"/>
        </w:rPr>
      </w:pPr>
    </w:p>
    <w:p w14:paraId="63F84F3E">
      <w:pPr>
        <w:adjustRightInd w:val="0"/>
        <w:snapToGrid w:val="0"/>
        <w:spacing w:line="360" w:lineRule="auto"/>
        <w:rPr>
          <w:rFonts w:hint="eastAsia" w:eastAsia="仿宋_GB2312"/>
          <w:color w:val="auto"/>
          <w:sz w:val="36"/>
          <w:szCs w:val="36"/>
          <w:u w:val="single"/>
          <w:lang w:eastAsia="zh-CN"/>
        </w:rPr>
      </w:pPr>
      <w:r>
        <w:rPr>
          <w:rFonts w:eastAsia="仿宋_GB2312"/>
          <w:color w:val="auto"/>
          <w:sz w:val="36"/>
          <w:szCs w:val="36"/>
        </w:rPr>
        <w:t>项目名称：</w:t>
      </w:r>
      <w:r>
        <w:rPr>
          <w:rFonts w:hint="eastAsia" w:eastAsia="仿宋_GB2312"/>
          <w:color w:val="auto"/>
          <w:sz w:val="36"/>
          <w:szCs w:val="36"/>
          <w:u w:val="single"/>
          <w:lang w:eastAsia="zh-CN"/>
        </w:rPr>
        <w:t>巴中市文旅新区关坝镇关坝村保障性租赁住房项目</w:t>
      </w:r>
    </w:p>
    <w:p w14:paraId="75FC0F6B">
      <w:pPr>
        <w:adjustRightInd w:val="0"/>
        <w:snapToGrid w:val="0"/>
        <w:spacing w:line="360" w:lineRule="auto"/>
        <w:rPr>
          <w:rFonts w:eastAsia="仿宋_GB2312"/>
          <w:color w:val="auto"/>
          <w:sz w:val="36"/>
          <w:szCs w:val="36"/>
          <w:u w:val="single"/>
        </w:rPr>
      </w:pPr>
      <w:r>
        <w:rPr>
          <w:rFonts w:eastAsia="仿宋_GB2312"/>
          <w:color w:val="auto"/>
          <w:sz w:val="36"/>
          <w:szCs w:val="36"/>
        </w:rPr>
        <w:t>建设单位</w:t>
      </w:r>
      <w:r>
        <w:rPr>
          <w:rFonts w:hint="eastAsia" w:eastAsia="仿宋_GB2312"/>
          <w:color w:val="auto"/>
          <w:sz w:val="36"/>
          <w:szCs w:val="36"/>
        </w:rPr>
        <w:t>（</w:t>
      </w:r>
      <w:r>
        <w:rPr>
          <w:rFonts w:eastAsia="仿宋_GB2312"/>
          <w:color w:val="auto"/>
          <w:sz w:val="36"/>
          <w:szCs w:val="36"/>
        </w:rPr>
        <w:t>盖章</w:t>
      </w:r>
      <w:r>
        <w:rPr>
          <w:rFonts w:hint="eastAsia" w:eastAsia="仿宋_GB2312"/>
          <w:color w:val="auto"/>
          <w:sz w:val="36"/>
          <w:szCs w:val="36"/>
        </w:rPr>
        <w:t>）</w:t>
      </w:r>
      <w:r>
        <w:rPr>
          <w:rFonts w:eastAsia="仿宋_GB2312"/>
          <w:color w:val="auto"/>
          <w:sz w:val="36"/>
          <w:szCs w:val="36"/>
        </w:rPr>
        <w:t>：</w:t>
      </w:r>
      <w:r>
        <w:rPr>
          <w:rFonts w:hint="eastAsia" w:eastAsia="仿宋_GB2312"/>
          <w:color w:val="auto"/>
          <w:sz w:val="36"/>
          <w:szCs w:val="36"/>
          <w:u w:val="single"/>
        </w:rPr>
        <w:t>四川光雾山诺水河旅游发展有限公司</w:t>
      </w:r>
    </w:p>
    <w:p w14:paraId="6AE70F6A">
      <w:pPr>
        <w:adjustRightInd w:val="0"/>
        <w:snapToGrid w:val="0"/>
        <w:spacing w:line="360" w:lineRule="auto"/>
        <w:jc w:val="left"/>
        <w:rPr>
          <w:rFonts w:eastAsia="仿宋_GB2312"/>
          <w:color w:val="auto"/>
          <w:sz w:val="40"/>
          <w:szCs w:val="40"/>
          <w:u w:val="single"/>
        </w:rPr>
      </w:pPr>
      <w:r>
        <w:rPr>
          <w:rFonts w:eastAsia="仿宋_GB2312"/>
          <w:color w:val="auto"/>
          <w:sz w:val="36"/>
          <w:szCs w:val="36"/>
        </w:rPr>
        <w:t>编制日期：</w:t>
      </w:r>
      <w:r>
        <w:rPr>
          <w:rFonts w:eastAsia="仿宋_GB2312"/>
          <w:color w:val="auto"/>
          <w:sz w:val="36"/>
          <w:szCs w:val="36"/>
          <w:u w:val="single"/>
        </w:rPr>
        <w:t xml:space="preserve">          </w:t>
      </w:r>
      <w:r>
        <w:rPr>
          <w:rFonts w:hint="eastAsia" w:eastAsia="仿宋_GB2312"/>
          <w:color w:val="auto"/>
          <w:sz w:val="36"/>
          <w:szCs w:val="36"/>
          <w:u w:val="single"/>
        </w:rPr>
        <w:t xml:space="preserve"> </w:t>
      </w:r>
      <w:r>
        <w:rPr>
          <w:rFonts w:eastAsia="仿宋_GB2312"/>
          <w:color w:val="auto"/>
          <w:sz w:val="36"/>
          <w:szCs w:val="36"/>
          <w:u w:val="single"/>
        </w:rPr>
        <w:t xml:space="preserve">   </w:t>
      </w:r>
      <w:r>
        <w:rPr>
          <w:rFonts w:hint="eastAsia" w:eastAsia="仿宋_GB2312"/>
          <w:color w:val="auto"/>
          <w:sz w:val="36"/>
          <w:szCs w:val="36"/>
          <w:u w:val="single"/>
        </w:rPr>
        <w:t>202</w:t>
      </w:r>
      <w:r>
        <w:rPr>
          <w:rFonts w:hint="eastAsia" w:eastAsia="仿宋_GB2312"/>
          <w:color w:val="auto"/>
          <w:sz w:val="36"/>
          <w:szCs w:val="36"/>
          <w:u w:val="single"/>
          <w:lang w:val="en-US" w:eastAsia="zh-CN"/>
        </w:rPr>
        <w:t>6</w:t>
      </w:r>
      <w:r>
        <w:rPr>
          <w:rFonts w:eastAsia="仿宋_GB2312"/>
          <w:color w:val="auto"/>
          <w:sz w:val="36"/>
          <w:szCs w:val="36"/>
          <w:u w:val="single"/>
        </w:rPr>
        <w:t>年</w:t>
      </w:r>
      <w:r>
        <w:rPr>
          <w:rFonts w:hint="eastAsia" w:eastAsia="仿宋_GB2312"/>
          <w:color w:val="auto"/>
          <w:sz w:val="36"/>
          <w:szCs w:val="36"/>
          <w:u w:val="single"/>
          <w:lang w:val="en-US" w:eastAsia="zh-CN"/>
        </w:rPr>
        <w:t>7</w:t>
      </w:r>
      <w:r>
        <w:rPr>
          <w:rFonts w:eastAsia="仿宋_GB2312"/>
          <w:color w:val="auto"/>
          <w:sz w:val="36"/>
          <w:szCs w:val="36"/>
          <w:u w:val="single"/>
        </w:rPr>
        <w:t xml:space="preserve">月  </w:t>
      </w:r>
      <w:r>
        <w:rPr>
          <w:rFonts w:hint="eastAsia" w:eastAsia="仿宋_GB2312"/>
          <w:color w:val="auto"/>
          <w:sz w:val="36"/>
          <w:szCs w:val="36"/>
          <w:u w:val="single"/>
        </w:rPr>
        <w:t xml:space="preserve"> </w:t>
      </w:r>
      <w:r>
        <w:rPr>
          <w:rFonts w:eastAsia="仿宋_GB2312"/>
          <w:color w:val="auto"/>
          <w:sz w:val="36"/>
          <w:szCs w:val="36"/>
          <w:u w:val="single"/>
        </w:rPr>
        <w:t xml:space="preserve"> </w:t>
      </w:r>
      <w:r>
        <w:rPr>
          <w:rFonts w:hint="eastAsia" w:eastAsia="仿宋_GB2312"/>
          <w:color w:val="auto"/>
          <w:sz w:val="36"/>
          <w:szCs w:val="36"/>
          <w:u w:val="single"/>
        </w:rPr>
        <w:t xml:space="preserve">          </w:t>
      </w:r>
    </w:p>
    <w:p w14:paraId="4B4AE73A">
      <w:pPr>
        <w:adjustRightInd w:val="0"/>
        <w:snapToGrid w:val="0"/>
        <w:spacing w:line="288" w:lineRule="auto"/>
        <w:ind w:firstLine="1040"/>
        <w:rPr>
          <w:rFonts w:eastAsia="仿宋_GB2312"/>
          <w:color w:val="auto"/>
          <w:sz w:val="36"/>
          <w:szCs w:val="36"/>
          <w:u w:val="single"/>
        </w:rPr>
      </w:pPr>
    </w:p>
    <w:p w14:paraId="5B12A185">
      <w:pPr>
        <w:adjustRightInd w:val="0"/>
        <w:snapToGrid w:val="0"/>
        <w:spacing w:line="288" w:lineRule="auto"/>
        <w:ind w:firstLine="1040"/>
        <w:rPr>
          <w:rFonts w:eastAsia="仿宋_GB2312"/>
          <w:color w:val="auto"/>
          <w:sz w:val="36"/>
          <w:szCs w:val="36"/>
        </w:rPr>
      </w:pPr>
    </w:p>
    <w:p w14:paraId="085705A8">
      <w:pPr>
        <w:adjustRightInd w:val="0"/>
        <w:snapToGrid w:val="0"/>
        <w:spacing w:line="288" w:lineRule="auto"/>
        <w:rPr>
          <w:rFonts w:eastAsia="仿宋_GB2312"/>
          <w:color w:val="auto"/>
          <w:sz w:val="36"/>
          <w:szCs w:val="36"/>
        </w:rPr>
      </w:pPr>
    </w:p>
    <w:p w14:paraId="19523092">
      <w:pPr>
        <w:adjustRightInd w:val="0"/>
        <w:snapToGrid w:val="0"/>
        <w:spacing w:line="288" w:lineRule="auto"/>
        <w:rPr>
          <w:rFonts w:eastAsia="仿宋_GB2312"/>
          <w:color w:val="auto"/>
          <w:sz w:val="36"/>
          <w:szCs w:val="36"/>
        </w:rPr>
      </w:pPr>
    </w:p>
    <w:p w14:paraId="2AA3A976">
      <w:pPr>
        <w:adjustRightInd w:val="0"/>
        <w:snapToGrid w:val="0"/>
        <w:spacing w:line="288" w:lineRule="auto"/>
        <w:jc w:val="center"/>
        <w:rPr>
          <w:rFonts w:eastAsia="楷体_GB2312"/>
          <w:color w:val="auto"/>
          <w:sz w:val="36"/>
          <w:szCs w:val="36"/>
        </w:rPr>
      </w:pPr>
    </w:p>
    <w:p w14:paraId="47F9A336">
      <w:pPr>
        <w:adjustRightInd w:val="0"/>
        <w:snapToGrid w:val="0"/>
        <w:spacing w:line="288" w:lineRule="auto"/>
        <w:jc w:val="center"/>
        <w:rPr>
          <w:rFonts w:eastAsia="楷体_GB2312"/>
          <w:color w:val="auto"/>
          <w:sz w:val="36"/>
          <w:szCs w:val="36"/>
        </w:rPr>
      </w:pPr>
      <w:r>
        <w:rPr>
          <w:rFonts w:eastAsia="楷体_GB2312"/>
          <w:color w:val="auto"/>
          <w:sz w:val="36"/>
          <w:szCs w:val="36"/>
        </w:rPr>
        <w:t>中华人民共和国生态环境部制</w:t>
      </w:r>
    </w:p>
    <w:p w14:paraId="06E611AD">
      <w:pPr>
        <w:adjustRightInd w:val="0"/>
        <w:snapToGrid w:val="0"/>
        <w:spacing w:line="288" w:lineRule="auto"/>
        <w:ind w:firstLine="1040"/>
        <w:rPr>
          <w:rFonts w:eastAsia="仿宋_GB2312"/>
          <w:color w:val="auto"/>
          <w:sz w:val="36"/>
          <w:szCs w:val="36"/>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start="21"/>
          <w:cols w:space="720" w:num="1"/>
          <w:docGrid w:linePitch="312" w:charSpace="0"/>
        </w:sectPr>
      </w:pPr>
    </w:p>
    <w:p w14:paraId="00908A11">
      <w:pPr>
        <w:pStyle w:val="30"/>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sz w:val="30"/>
          <w:szCs w:val="30"/>
        </w:rPr>
        <w:t>一、建设项目基本情况</w:t>
      </w:r>
    </w:p>
    <w:tbl>
      <w:tblPr>
        <w:tblStyle w:val="34"/>
        <w:tblW w:w="903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949"/>
        <w:gridCol w:w="929"/>
        <w:gridCol w:w="2391"/>
        <w:gridCol w:w="1827"/>
        <w:gridCol w:w="2943"/>
      </w:tblGrid>
      <w:tr w14:paraId="04D107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01BDAA43">
            <w:pPr>
              <w:adjustRightInd w:val="0"/>
              <w:snapToGrid w:val="0"/>
              <w:jc w:val="center"/>
              <w:rPr>
                <w:color w:val="auto"/>
                <w:sz w:val="24"/>
              </w:rPr>
            </w:pPr>
            <w:r>
              <w:rPr>
                <w:color w:val="auto"/>
                <w:sz w:val="24"/>
              </w:rPr>
              <w:t>建设项目名称</w:t>
            </w:r>
          </w:p>
        </w:tc>
        <w:tc>
          <w:tcPr>
            <w:tcW w:w="7161" w:type="dxa"/>
            <w:gridSpan w:val="3"/>
            <w:vAlign w:val="center"/>
          </w:tcPr>
          <w:p w14:paraId="3DF0549C">
            <w:pPr>
              <w:adjustRightInd w:val="0"/>
              <w:snapToGrid w:val="0"/>
              <w:jc w:val="center"/>
              <w:rPr>
                <w:rFonts w:hint="eastAsia" w:eastAsia="宋体"/>
                <w:color w:val="auto"/>
                <w:sz w:val="24"/>
                <w:lang w:eastAsia="zh-CN"/>
              </w:rPr>
            </w:pPr>
            <w:r>
              <w:rPr>
                <w:rFonts w:hint="eastAsia"/>
                <w:color w:val="auto"/>
                <w:sz w:val="24"/>
                <w:lang w:eastAsia="zh-CN"/>
              </w:rPr>
              <w:t>巴中市文旅新区关坝镇关坝村保障性租赁住房项目</w:t>
            </w:r>
          </w:p>
        </w:tc>
      </w:tr>
      <w:tr w14:paraId="14A86D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0BE9028D">
            <w:pPr>
              <w:adjustRightInd w:val="0"/>
              <w:snapToGrid w:val="0"/>
              <w:jc w:val="center"/>
              <w:rPr>
                <w:color w:val="auto"/>
                <w:sz w:val="24"/>
              </w:rPr>
            </w:pPr>
            <w:r>
              <w:rPr>
                <w:color w:val="auto"/>
                <w:sz w:val="24"/>
              </w:rPr>
              <w:t>项目代码</w:t>
            </w:r>
          </w:p>
        </w:tc>
        <w:tc>
          <w:tcPr>
            <w:tcW w:w="7161" w:type="dxa"/>
            <w:gridSpan w:val="3"/>
            <w:vAlign w:val="center"/>
          </w:tcPr>
          <w:p w14:paraId="38986B37">
            <w:pPr>
              <w:adjustRightInd w:val="0"/>
              <w:snapToGrid w:val="0"/>
              <w:jc w:val="center"/>
              <w:rPr>
                <w:rFonts w:hint="eastAsia" w:eastAsia="宋体"/>
                <w:color w:val="auto"/>
                <w:sz w:val="24"/>
                <w:lang w:eastAsia="zh-CN"/>
              </w:rPr>
            </w:pPr>
            <w:r>
              <w:rPr>
                <w:rFonts w:hint="eastAsia"/>
                <w:color w:val="auto"/>
                <w:sz w:val="24"/>
                <w:lang w:eastAsia="zh-CN"/>
              </w:rPr>
              <w:t>2510-511922-04-01-412907</w:t>
            </w:r>
          </w:p>
        </w:tc>
      </w:tr>
      <w:tr w14:paraId="33C85B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006450EE">
            <w:pPr>
              <w:adjustRightInd w:val="0"/>
              <w:snapToGrid w:val="0"/>
              <w:jc w:val="center"/>
              <w:rPr>
                <w:color w:val="auto"/>
                <w:sz w:val="24"/>
              </w:rPr>
            </w:pPr>
            <w:r>
              <w:rPr>
                <w:color w:val="auto"/>
                <w:sz w:val="24"/>
              </w:rPr>
              <w:t>建设单位联系人</w:t>
            </w:r>
          </w:p>
        </w:tc>
        <w:tc>
          <w:tcPr>
            <w:tcW w:w="2391" w:type="dxa"/>
            <w:vAlign w:val="center"/>
          </w:tcPr>
          <w:p w14:paraId="658B4829">
            <w:pPr>
              <w:adjustRightInd w:val="0"/>
              <w:snapToGrid w:val="0"/>
              <w:jc w:val="center"/>
              <w:rPr>
                <w:rFonts w:hint="default" w:eastAsia="宋体"/>
                <w:color w:val="auto"/>
                <w:sz w:val="24"/>
                <w:lang w:val="en-US" w:eastAsia="zh-CN"/>
              </w:rPr>
            </w:pPr>
            <w:r>
              <w:rPr>
                <w:rFonts w:hint="eastAsia"/>
                <w:color w:val="auto"/>
                <w:sz w:val="24"/>
                <w:lang w:val="en-US" w:eastAsia="zh-CN"/>
              </w:rPr>
              <w:t>***</w:t>
            </w:r>
          </w:p>
        </w:tc>
        <w:tc>
          <w:tcPr>
            <w:tcW w:w="1827" w:type="dxa"/>
            <w:vAlign w:val="center"/>
          </w:tcPr>
          <w:p w14:paraId="054F32E5">
            <w:pPr>
              <w:adjustRightInd w:val="0"/>
              <w:snapToGrid w:val="0"/>
              <w:jc w:val="center"/>
              <w:rPr>
                <w:color w:val="auto"/>
                <w:sz w:val="24"/>
              </w:rPr>
            </w:pPr>
            <w:r>
              <w:rPr>
                <w:color w:val="auto"/>
                <w:sz w:val="24"/>
              </w:rPr>
              <w:t>联系方式</w:t>
            </w:r>
          </w:p>
        </w:tc>
        <w:tc>
          <w:tcPr>
            <w:tcW w:w="2943" w:type="dxa"/>
            <w:vAlign w:val="center"/>
          </w:tcPr>
          <w:p w14:paraId="242CB67F">
            <w:pPr>
              <w:adjustRightInd w:val="0"/>
              <w:snapToGrid w:val="0"/>
              <w:jc w:val="center"/>
              <w:rPr>
                <w:rFonts w:hint="default" w:eastAsia="宋体"/>
                <w:color w:val="auto"/>
                <w:sz w:val="24"/>
                <w:lang w:val="en-US" w:eastAsia="zh-CN"/>
              </w:rPr>
            </w:pPr>
            <w:r>
              <w:rPr>
                <w:rFonts w:hint="eastAsia"/>
                <w:color w:val="auto"/>
                <w:sz w:val="24"/>
                <w:lang w:val="en-US" w:eastAsia="zh-CN"/>
              </w:rPr>
              <w:t>***********</w:t>
            </w:r>
          </w:p>
        </w:tc>
      </w:tr>
      <w:tr w14:paraId="6EEC84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4BBD12DD">
            <w:pPr>
              <w:adjustRightInd w:val="0"/>
              <w:snapToGrid w:val="0"/>
              <w:jc w:val="center"/>
              <w:rPr>
                <w:color w:val="auto"/>
                <w:sz w:val="24"/>
              </w:rPr>
            </w:pPr>
            <w:r>
              <w:rPr>
                <w:color w:val="auto"/>
                <w:sz w:val="24"/>
              </w:rPr>
              <w:t>建设地点</w:t>
            </w:r>
          </w:p>
        </w:tc>
        <w:tc>
          <w:tcPr>
            <w:tcW w:w="7161" w:type="dxa"/>
            <w:gridSpan w:val="3"/>
            <w:vAlign w:val="center"/>
          </w:tcPr>
          <w:p w14:paraId="5FFAD913">
            <w:pPr>
              <w:adjustRightInd w:val="0"/>
              <w:snapToGrid w:val="0"/>
              <w:jc w:val="center"/>
              <w:rPr>
                <w:color w:val="auto"/>
                <w:sz w:val="24"/>
              </w:rPr>
            </w:pPr>
            <w:r>
              <w:rPr>
                <w:rFonts w:hint="eastAsia"/>
                <w:color w:val="auto"/>
                <w:kern w:val="0"/>
                <w:sz w:val="24"/>
              </w:rPr>
              <w:t>四川省巴中市南江县关坝镇</w:t>
            </w:r>
          </w:p>
        </w:tc>
      </w:tr>
      <w:tr w14:paraId="457E99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7528E05F">
            <w:pPr>
              <w:adjustRightInd w:val="0"/>
              <w:snapToGrid w:val="0"/>
              <w:jc w:val="center"/>
              <w:rPr>
                <w:color w:val="auto"/>
                <w:sz w:val="24"/>
              </w:rPr>
            </w:pPr>
            <w:r>
              <w:rPr>
                <w:color w:val="auto"/>
                <w:sz w:val="24"/>
              </w:rPr>
              <w:t>地理坐标</w:t>
            </w:r>
          </w:p>
        </w:tc>
        <w:tc>
          <w:tcPr>
            <w:tcW w:w="7161" w:type="dxa"/>
            <w:gridSpan w:val="3"/>
            <w:vAlign w:val="center"/>
          </w:tcPr>
          <w:p w14:paraId="3661129D">
            <w:pPr>
              <w:adjustRightInd w:val="0"/>
              <w:snapToGrid w:val="0"/>
              <w:jc w:val="center"/>
              <w:rPr>
                <w:color w:val="auto"/>
                <w:sz w:val="24"/>
              </w:rPr>
            </w:pPr>
            <w:r>
              <w:rPr>
                <w:rFonts w:hint="eastAsia"/>
                <w:color w:val="auto"/>
                <w:sz w:val="24"/>
              </w:rPr>
              <w:t>经度：</w:t>
            </w:r>
            <w:r>
              <w:rPr>
                <w:color w:val="auto"/>
                <w:sz w:val="24"/>
              </w:rPr>
              <w:t>106°5</w:t>
            </w:r>
            <w:r>
              <w:rPr>
                <w:rFonts w:hint="eastAsia"/>
                <w:color w:val="auto"/>
                <w:sz w:val="24"/>
              </w:rPr>
              <w:t>7</w:t>
            </w:r>
            <w:r>
              <w:rPr>
                <w:color w:val="auto"/>
                <w:sz w:val="24"/>
              </w:rPr>
              <w:t>′</w:t>
            </w:r>
            <w:r>
              <w:rPr>
                <w:rFonts w:hint="eastAsia"/>
                <w:color w:val="auto"/>
                <w:sz w:val="24"/>
                <w:lang w:val="en-US" w:eastAsia="zh-CN"/>
              </w:rPr>
              <w:t>52.529</w:t>
            </w:r>
            <w:r>
              <w:rPr>
                <w:color w:val="auto"/>
                <w:sz w:val="24"/>
              </w:rPr>
              <w:t>″</w:t>
            </w:r>
            <w:r>
              <w:rPr>
                <w:rFonts w:hint="eastAsia"/>
                <w:color w:val="auto"/>
                <w:sz w:val="24"/>
              </w:rPr>
              <w:t>，纬度：</w:t>
            </w:r>
            <w:r>
              <w:rPr>
                <w:color w:val="auto"/>
                <w:sz w:val="24"/>
              </w:rPr>
              <w:t>32°</w:t>
            </w:r>
            <w:r>
              <w:rPr>
                <w:rFonts w:hint="eastAsia"/>
                <w:color w:val="auto"/>
                <w:sz w:val="24"/>
              </w:rPr>
              <w:t>35</w:t>
            </w:r>
            <w:r>
              <w:rPr>
                <w:color w:val="auto"/>
                <w:sz w:val="24"/>
              </w:rPr>
              <w:t>′</w:t>
            </w:r>
            <w:r>
              <w:rPr>
                <w:rFonts w:hint="eastAsia"/>
                <w:color w:val="auto"/>
                <w:sz w:val="24"/>
              </w:rPr>
              <w:t>5</w:t>
            </w:r>
            <w:r>
              <w:rPr>
                <w:rFonts w:hint="eastAsia"/>
                <w:color w:val="auto"/>
                <w:sz w:val="24"/>
                <w:lang w:val="en-US" w:eastAsia="zh-CN"/>
              </w:rPr>
              <w:t>5.063</w:t>
            </w:r>
            <w:r>
              <w:rPr>
                <w:color w:val="auto"/>
                <w:sz w:val="24"/>
              </w:rPr>
              <w:t>″</w:t>
            </w:r>
          </w:p>
        </w:tc>
      </w:tr>
      <w:tr w14:paraId="120DBC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37AABB8F">
            <w:pPr>
              <w:adjustRightInd w:val="0"/>
              <w:snapToGrid w:val="0"/>
              <w:jc w:val="center"/>
              <w:rPr>
                <w:color w:val="auto"/>
                <w:sz w:val="24"/>
              </w:rPr>
            </w:pPr>
            <w:r>
              <w:rPr>
                <w:color w:val="auto"/>
                <w:sz w:val="24"/>
              </w:rPr>
              <w:t>建设项目</w:t>
            </w:r>
          </w:p>
          <w:p w14:paraId="72AEEA48">
            <w:pPr>
              <w:adjustRightInd w:val="0"/>
              <w:snapToGrid w:val="0"/>
              <w:jc w:val="center"/>
              <w:rPr>
                <w:color w:val="auto"/>
                <w:sz w:val="24"/>
              </w:rPr>
            </w:pPr>
            <w:r>
              <w:rPr>
                <w:color w:val="auto"/>
                <w:sz w:val="24"/>
              </w:rPr>
              <w:t>行业类别</w:t>
            </w:r>
          </w:p>
        </w:tc>
        <w:tc>
          <w:tcPr>
            <w:tcW w:w="2391" w:type="dxa"/>
            <w:vAlign w:val="center"/>
          </w:tcPr>
          <w:p w14:paraId="197522B3">
            <w:pPr>
              <w:adjustRightInd w:val="0"/>
              <w:snapToGrid w:val="0"/>
              <w:jc w:val="center"/>
              <w:rPr>
                <w:color w:val="auto"/>
                <w:sz w:val="24"/>
              </w:rPr>
            </w:pPr>
            <w:r>
              <w:rPr>
                <w:rFonts w:hint="eastAsia"/>
                <w:color w:val="auto"/>
                <w:sz w:val="24"/>
              </w:rPr>
              <w:t>四十四</w:t>
            </w:r>
            <w:r>
              <w:rPr>
                <w:color w:val="auto"/>
                <w:sz w:val="24"/>
              </w:rPr>
              <w:t>、</w:t>
            </w:r>
            <w:r>
              <w:rPr>
                <w:rFonts w:hint="eastAsia"/>
                <w:color w:val="auto"/>
                <w:sz w:val="24"/>
              </w:rPr>
              <w:t>房地产业</w:t>
            </w:r>
            <w:r>
              <w:rPr>
                <w:color w:val="auto"/>
                <w:sz w:val="24"/>
              </w:rPr>
              <w:t>；</w:t>
            </w:r>
            <w:r>
              <w:rPr>
                <w:rFonts w:hint="eastAsia"/>
                <w:color w:val="auto"/>
                <w:sz w:val="24"/>
              </w:rPr>
              <w:t>97房地产开发、商业综合体、宾馆、酒店、办公用房、标准厂房等</w:t>
            </w:r>
          </w:p>
        </w:tc>
        <w:tc>
          <w:tcPr>
            <w:tcW w:w="1827" w:type="dxa"/>
            <w:vAlign w:val="center"/>
          </w:tcPr>
          <w:p w14:paraId="54A65EEF">
            <w:pPr>
              <w:adjustRightInd w:val="0"/>
              <w:snapToGrid w:val="0"/>
              <w:jc w:val="center"/>
              <w:rPr>
                <w:color w:val="auto"/>
                <w:sz w:val="24"/>
                <w:highlight w:val="none"/>
              </w:rPr>
            </w:pPr>
            <w:r>
              <w:rPr>
                <w:color w:val="auto"/>
                <w:sz w:val="24"/>
                <w:highlight w:val="none"/>
              </w:rPr>
              <w:t>用地（用海）面积（m</w:t>
            </w:r>
            <w:r>
              <w:rPr>
                <w:color w:val="auto"/>
                <w:sz w:val="24"/>
                <w:highlight w:val="none"/>
                <w:vertAlign w:val="superscript"/>
              </w:rPr>
              <w:t>2</w:t>
            </w:r>
            <w:r>
              <w:rPr>
                <w:color w:val="auto"/>
                <w:sz w:val="24"/>
                <w:highlight w:val="none"/>
              </w:rPr>
              <w:t>）/长度（km）</w:t>
            </w:r>
          </w:p>
        </w:tc>
        <w:tc>
          <w:tcPr>
            <w:tcW w:w="2943" w:type="dxa"/>
            <w:vAlign w:val="center"/>
          </w:tcPr>
          <w:p w14:paraId="091C25D9">
            <w:pPr>
              <w:adjustRightInd w:val="0"/>
              <w:snapToGrid w:val="0"/>
              <w:jc w:val="center"/>
              <w:rPr>
                <w:color w:val="auto"/>
                <w:sz w:val="24"/>
                <w:highlight w:val="none"/>
              </w:rPr>
            </w:pPr>
            <w:r>
              <w:rPr>
                <w:rFonts w:hint="eastAsia"/>
                <w:color w:val="auto"/>
                <w:sz w:val="24"/>
                <w:highlight w:val="none"/>
                <w:lang w:val="en-US" w:eastAsia="zh-CN"/>
              </w:rPr>
              <w:t>20710.88</w:t>
            </w:r>
            <w:r>
              <w:rPr>
                <w:color w:val="auto"/>
                <w:sz w:val="24"/>
                <w:highlight w:val="none"/>
              </w:rPr>
              <w:t>m</w:t>
            </w:r>
            <w:r>
              <w:rPr>
                <w:color w:val="auto"/>
                <w:sz w:val="24"/>
                <w:highlight w:val="none"/>
                <w:vertAlign w:val="superscript"/>
              </w:rPr>
              <w:t>2</w:t>
            </w:r>
          </w:p>
        </w:tc>
      </w:tr>
      <w:tr w14:paraId="790599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878" w:type="dxa"/>
            <w:gridSpan w:val="2"/>
            <w:tcMar>
              <w:top w:w="16" w:type="dxa"/>
              <w:left w:w="16" w:type="dxa"/>
              <w:right w:w="16" w:type="dxa"/>
            </w:tcMar>
            <w:vAlign w:val="center"/>
          </w:tcPr>
          <w:p w14:paraId="1155BE58">
            <w:pPr>
              <w:adjustRightInd w:val="0"/>
              <w:snapToGrid w:val="0"/>
              <w:jc w:val="center"/>
              <w:rPr>
                <w:color w:val="auto"/>
                <w:sz w:val="24"/>
              </w:rPr>
            </w:pPr>
            <w:r>
              <w:rPr>
                <w:color w:val="auto"/>
                <w:sz w:val="24"/>
              </w:rPr>
              <w:t>建设性质</w:t>
            </w:r>
          </w:p>
        </w:tc>
        <w:tc>
          <w:tcPr>
            <w:tcW w:w="2391" w:type="dxa"/>
            <w:vAlign w:val="center"/>
          </w:tcPr>
          <w:p w14:paraId="03B701EC">
            <w:pPr>
              <w:adjustRightInd w:val="0"/>
              <w:snapToGrid w:val="0"/>
              <w:jc w:val="left"/>
              <w:rPr>
                <w:color w:val="auto"/>
                <w:sz w:val="24"/>
              </w:rPr>
            </w:pPr>
            <w:r>
              <w:rPr>
                <w:color w:val="auto"/>
                <w:sz w:val="24"/>
              </w:rPr>
              <w:t>☑新建（迁建）</w:t>
            </w:r>
          </w:p>
          <w:p w14:paraId="47FCC213">
            <w:pPr>
              <w:adjustRightInd w:val="0"/>
              <w:snapToGrid w:val="0"/>
              <w:jc w:val="left"/>
              <w:rPr>
                <w:color w:val="auto"/>
                <w:sz w:val="24"/>
              </w:rPr>
            </w:pPr>
            <w:r>
              <w:rPr>
                <w:rFonts w:hint="eastAsia"/>
                <w:color w:val="auto"/>
                <w:sz w:val="24"/>
              </w:rPr>
              <w:sym w:font="Wingdings 2" w:char="00A3"/>
            </w:r>
            <w:r>
              <w:rPr>
                <w:color w:val="auto"/>
                <w:sz w:val="24"/>
              </w:rPr>
              <w:t>改建</w:t>
            </w:r>
          </w:p>
          <w:p w14:paraId="5F51E766">
            <w:pPr>
              <w:adjustRightInd w:val="0"/>
              <w:snapToGrid w:val="0"/>
              <w:jc w:val="left"/>
              <w:rPr>
                <w:color w:val="auto"/>
                <w:sz w:val="24"/>
              </w:rPr>
            </w:pPr>
            <w:r>
              <w:rPr>
                <w:rFonts w:hint="eastAsia"/>
                <w:color w:val="auto"/>
                <w:sz w:val="24"/>
              </w:rPr>
              <w:sym w:font="Wingdings 2" w:char="00A3"/>
            </w:r>
            <w:r>
              <w:rPr>
                <w:color w:val="auto"/>
                <w:sz w:val="24"/>
              </w:rPr>
              <w:t>扩建</w:t>
            </w:r>
          </w:p>
          <w:p w14:paraId="4D08D423">
            <w:pPr>
              <w:adjustRightInd w:val="0"/>
              <w:snapToGrid w:val="0"/>
              <w:jc w:val="left"/>
              <w:rPr>
                <w:color w:val="auto"/>
                <w:sz w:val="24"/>
              </w:rPr>
            </w:pPr>
            <w:r>
              <w:rPr>
                <w:rFonts w:hint="eastAsia"/>
                <w:color w:val="auto"/>
                <w:sz w:val="24"/>
              </w:rPr>
              <w:sym w:font="Wingdings 2" w:char="00A3"/>
            </w:r>
            <w:r>
              <w:rPr>
                <w:color w:val="auto"/>
                <w:sz w:val="24"/>
              </w:rPr>
              <w:t>技术改造</w:t>
            </w:r>
          </w:p>
        </w:tc>
        <w:tc>
          <w:tcPr>
            <w:tcW w:w="1827" w:type="dxa"/>
            <w:vAlign w:val="center"/>
          </w:tcPr>
          <w:p w14:paraId="3A505602">
            <w:pPr>
              <w:adjustRightInd w:val="0"/>
              <w:snapToGrid w:val="0"/>
              <w:jc w:val="center"/>
              <w:rPr>
                <w:color w:val="auto"/>
                <w:sz w:val="24"/>
              </w:rPr>
            </w:pPr>
            <w:r>
              <w:rPr>
                <w:color w:val="auto"/>
                <w:sz w:val="24"/>
              </w:rPr>
              <w:t>建设项目</w:t>
            </w:r>
          </w:p>
          <w:p w14:paraId="1F7104F3">
            <w:pPr>
              <w:adjustRightInd w:val="0"/>
              <w:snapToGrid w:val="0"/>
              <w:jc w:val="center"/>
              <w:rPr>
                <w:color w:val="auto"/>
                <w:sz w:val="24"/>
              </w:rPr>
            </w:pPr>
            <w:r>
              <w:rPr>
                <w:color w:val="auto"/>
                <w:sz w:val="24"/>
              </w:rPr>
              <w:t>申报情形</w:t>
            </w:r>
          </w:p>
        </w:tc>
        <w:tc>
          <w:tcPr>
            <w:tcW w:w="2943" w:type="dxa"/>
            <w:vAlign w:val="center"/>
          </w:tcPr>
          <w:p w14:paraId="2E8AB148">
            <w:pPr>
              <w:adjustRightInd w:val="0"/>
              <w:snapToGrid w:val="0"/>
              <w:jc w:val="left"/>
              <w:rPr>
                <w:color w:val="auto"/>
                <w:sz w:val="24"/>
              </w:rPr>
            </w:pPr>
            <w:r>
              <w:rPr>
                <w:rFonts w:hint="eastAsia"/>
                <w:color w:val="auto"/>
                <w:sz w:val="24"/>
                <w:lang w:eastAsia="zh-CN"/>
              </w:rPr>
              <w:t>☑</w:t>
            </w:r>
            <w:r>
              <w:rPr>
                <w:color w:val="auto"/>
                <w:sz w:val="24"/>
              </w:rPr>
              <w:t>首次申报项目</w:t>
            </w:r>
          </w:p>
          <w:p w14:paraId="65E87B9C">
            <w:pPr>
              <w:adjustRightInd w:val="0"/>
              <w:snapToGrid w:val="0"/>
              <w:jc w:val="left"/>
              <w:rPr>
                <w:color w:val="auto"/>
                <w:sz w:val="24"/>
              </w:rPr>
            </w:pPr>
            <w:r>
              <w:rPr>
                <w:rFonts w:hint="eastAsia"/>
                <w:color w:val="auto"/>
                <w:sz w:val="24"/>
              </w:rPr>
              <w:sym w:font="Wingdings 2" w:char="00A3"/>
            </w:r>
            <w:r>
              <w:rPr>
                <w:color w:val="auto"/>
                <w:sz w:val="24"/>
              </w:rPr>
              <w:t>不予批准后再次申报项目</w:t>
            </w:r>
          </w:p>
          <w:p w14:paraId="52D9004C">
            <w:pPr>
              <w:adjustRightInd w:val="0"/>
              <w:snapToGrid w:val="0"/>
              <w:jc w:val="left"/>
              <w:rPr>
                <w:color w:val="auto"/>
                <w:sz w:val="24"/>
              </w:rPr>
            </w:pPr>
            <w:r>
              <w:rPr>
                <w:rFonts w:hint="eastAsia"/>
                <w:color w:val="auto"/>
                <w:sz w:val="24"/>
              </w:rPr>
              <w:sym w:font="Wingdings 2" w:char="00A3"/>
            </w:r>
            <w:r>
              <w:rPr>
                <w:color w:val="auto"/>
                <w:sz w:val="24"/>
              </w:rPr>
              <w:t>超五年重新审核项目</w:t>
            </w:r>
          </w:p>
          <w:p w14:paraId="3603AAAF">
            <w:pPr>
              <w:adjustRightInd w:val="0"/>
              <w:snapToGrid w:val="0"/>
              <w:rPr>
                <w:color w:val="auto"/>
                <w:sz w:val="24"/>
              </w:rPr>
            </w:pPr>
            <w:r>
              <w:rPr>
                <w:rFonts w:hint="eastAsia"/>
                <w:color w:val="auto"/>
                <w:sz w:val="24"/>
              </w:rPr>
              <w:sym w:font="Wingdings 2" w:char="00A3"/>
            </w:r>
            <w:r>
              <w:rPr>
                <w:color w:val="auto"/>
                <w:sz w:val="24"/>
              </w:rPr>
              <w:t>重大变动重新报批项目</w:t>
            </w:r>
          </w:p>
        </w:tc>
      </w:tr>
      <w:tr w14:paraId="74785B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6867BABD">
            <w:pPr>
              <w:adjustRightInd w:val="0"/>
              <w:snapToGrid w:val="0"/>
              <w:jc w:val="center"/>
              <w:rPr>
                <w:color w:val="auto"/>
                <w:sz w:val="24"/>
              </w:rPr>
            </w:pPr>
            <w:r>
              <w:rPr>
                <w:color w:val="auto"/>
                <w:sz w:val="24"/>
              </w:rPr>
              <w:t>项目审批（核准/</w:t>
            </w:r>
          </w:p>
          <w:p w14:paraId="07BB2988">
            <w:pPr>
              <w:adjustRightInd w:val="0"/>
              <w:snapToGrid w:val="0"/>
              <w:jc w:val="center"/>
              <w:rPr>
                <w:color w:val="auto"/>
                <w:sz w:val="24"/>
              </w:rPr>
            </w:pPr>
            <w:r>
              <w:rPr>
                <w:color w:val="auto"/>
                <w:sz w:val="24"/>
              </w:rPr>
              <w:t>备案）部门（选填）</w:t>
            </w:r>
          </w:p>
        </w:tc>
        <w:tc>
          <w:tcPr>
            <w:tcW w:w="2391" w:type="dxa"/>
            <w:vAlign w:val="center"/>
          </w:tcPr>
          <w:p w14:paraId="503390A2">
            <w:pPr>
              <w:adjustRightInd w:val="0"/>
              <w:snapToGrid w:val="0"/>
              <w:jc w:val="center"/>
              <w:rPr>
                <w:color w:val="auto"/>
                <w:sz w:val="24"/>
              </w:rPr>
            </w:pPr>
            <w:r>
              <w:rPr>
                <w:rFonts w:hint="eastAsia"/>
                <w:color w:val="auto"/>
                <w:sz w:val="24"/>
              </w:rPr>
              <w:t>南江县发展和改革局</w:t>
            </w:r>
          </w:p>
        </w:tc>
        <w:tc>
          <w:tcPr>
            <w:tcW w:w="1827" w:type="dxa"/>
            <w:vAlign w:val="center"/>
          </w:tcPr>
          <w:p w14:paraId="5987FBFB">
            <w:pPr>
              <w:adjustRightInd w:val="0"/>
              <w:snapToGrid w:val="0"/>
              <w:jc w:val="center"/>
              <w:rPr>
                <w:color w:val="auto"/>
                <w:sz w:val="24"/>
              </w:rPr>
            </w:pPr>
            <w:r>
              <w:rPr>
                <w:color w:val="auto"/>
                <w:sz w:val="24"/>
              </w:rPr>
              <w:t>项目审批（核准/</w:t>
            </w:r>
          </w:p>
          <w:p w14:paraId="435229A4">
            <w:pPr>
              <w:adjustRightInd w:val="0"/>
              <w:snapToGrid w:val="0"/>
              <w:jc w:val="center"/>
              <w:rPr>
                <w:color w:val="auto"/>
                <w:sz w:val="24"/>
              </w:rPr>
            </w:pPr>
            <w:r>
              <w:rPr>
                <w:color w:val="auto"/>
                <w:sz w:val="24"/>
              </w:rPr>
              <w:t>备案）文号（选填）</w:t>
            </w:r>
          </w:p>
        </w:tc>
        <w:tc>
          <w:tcPr>
            <w:tcW w:w="2943" w:type="dxa"/>
            <w:vAlign w:val="center"/>
          </w:tcPr>
          <w:p w14:paraId="6289DB40">
            <w:pPr>
              <w:adjustRightInd w:val="0"/>
              <w:snapToGrid w:val="0"/>
              <w:ind w:left="105" w:leftChars="50" w:right="105" w:rightChars="50"/>
              <w:jc w:val="center"/>
              <w:rPr>
                <w:color w:val="auto"/>
                <w:sz w:val="24"/>
              </w:rPr>
            </w:pPr>
            <w:r>
              <w:rPr>
                <w:rFonts w:hint="eastAsia"/>
                <w:color w:val="auto"/>
                <w:sz w:val="24"/>
              </w:rPr>
              <w:t>南发改审</w:t>
            </w:r>
            <w:r>
              <w:rPr>
                <w:color w:val="auto"/>
                <w:sz w:val="24"/>
              </w:rPr>
              <w:t>〔</w:t>
            </w:r>
            <w:r>
              <w:rPr>
                <w:rFonts w:hint="eastAsia"/>
                <w:color w:val="auto"/>
                <w:sz w:val="24"/>
              </w:rPr>
              <w:t>2025</w:t>
            </w:r>
            <w:r>
              <w:rPr>
                <w:color w:val="auto"/>
                <w:sz w:val="24"/>
              </w:rPr>
              <w:t>〕</w:t>
            </w:r>
            <w:r>
              <w:rPr>
                <w:rFonts w:hint="eastAsia"/>
                <w:color w:val="auto"/>
                <w:sz w:val="24"/>
              </w:rPr>
              <w:t>17号</w:t>
            </w:r>
          </w:p>
        </w:tc>
      </w:tr>
      <w:tr w14:paraId="6CE076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55E044B7">
            <w:pPr>
              <w:adjustRightInd w:val="0"/>
              <w:snapToGrid w:val="0"/>
              <w:jc w:val="center"/>
              <w:rPr>
                <w:color w:val="auto"/>
                <w:sz w:val="24"/>
              </w:rPr>
            </w:pPr>
            <w:r>
              <w:rPr>
                <w:color w:val="auto"/>
                <w:sz w:val="24"/>
              </w:rPr>
              <w:t>总投资（万元）</w:t>
            </w:r>
          </w:p>
        </w:tc>
        <w:tc>
          <w:tcPr>
            <w:tcW w:w="2391" w:type="dxa"/>
            <w:vAlign w:val="center"/>
          </w:tcPr>
          <w:p w14:paraId="113EADDC">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15036</w:t>
            </w:r>
          </w:p>
        </w:tc>
        <w:tc>
          <w:tcPr>
            <w:tcW w:w="1827" w:type="dxa"/>
            <w:tcMar>
              <w:top w:w="16" w:type="dxa"/>
              <w:left w:w="16" w:type="dxa"/>
              <w:right w:w="16" w:type="dxa"/>
            </w:tcMar>
            <w:vAlign w:val="center"/>
          </w:tcPr>
          <w:p w14:paraId="4D359445">
            <w:pPr>
              <w:adjustRightInd w:val="0"/>
              <w:snapToGrid w:val="0"/>
              <w:jc w:val="center"/>
              <w:rPr>
                <w:color w:val="auto"/>
                <w:sz w:val="24"/>
                <w:highlight w:val="none"/>
              </w:rPr>
            </w:pPr>
            <w:r>
              <w:rPr>
                <w:color w:val="auto"/>
                <w:sz w:val="24"/>
                <w:highlight w:val="none"/>
              </w:rPr>
              <w:t>环保投资（万元）</w:t>
            </w:r>
          </w:p>
        </w:tc>
        <w:tc>
          <w:tcPr>
            <w:tcW w:w="2943" w:type="dxa"/>
            <w:vAlign w:val="center"/>
          </w:tcPr>
          <w:p w14:paraId="3477FCBF">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159</w:t>
            </w:r>
          </w:p>
        </w:tc>
      </w:tr>
      <w:tr w14:paraId="191AC0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2B0BD40E">
            <w:pPr>
              <w:adjustRightInd w:val="0"/>
              <w:snapToGrid w:val="0"/>
              <w:jc w:val="center"/>
              <w:rPr>
                <w:color w:val="auto"/>
                <w:sz w:val="24"/>
              </w:rPr>
            </w:pPr>
            <w:r>
              <w:rPr>
                <w:color w:val="auto"/>
                <w:sz w:val="24"/>
              </w:rPr>
              <w:t>环保投资占比（%）</w:t>
            </w:r>
          </w:p>
        </w:tc>
        <w:tc>
          <w:tcPr>
            <w:tcW w:w="2391" w:type="dxa"/>
            <w:vAlign w:val="center"/>
          </w:tcPr>
          <w:p w14:paraId="0FC0E5D6">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1.06</w:t>
            </w:r>
          </w:p>
        </w:tc>
        <w:tc>
          <w:tcPr>
            <w:tcW w:w="1827" w:type="dxa"/>
            <w:tcMar>
              <w:top w:w="16" w:type="dxa"/>
              <w:left w:w="16" w:type="dxa"/>
              <w:right w:w="16" w:type="dxa"/>
            </w:tcMar>
            <w:vAlign w:val="center"/>
          </w:tcPr>
          <w:p w14:paraId="083BFC9D">
            <w:pPr>
              <w:adjustRightInd w:val="0"/>
              <w:snapToGrid w:val="0"/>
              <w:jc w:val="center"/>
              <w:rPr>
                <w:color w:val="auto"/>
                <w:sz w:val="24"/>
                <w:highlight w:val="none"/>
              </w:rPr>
            </w:pPr>
            <w:r>
              <w:rPr>
                <w:color w:val="auto"/>
                <w:sz w:val="24"/>
                <w:highlight w:val="none"/>
              </w:rPr>
              <w:t>施工工期</w:t>
            </w:r>
          </w:p>
        </w:tc>
        <w:tc>
          <w:tcPr>
            <w:tcW w:w="2943" w:type="dxa"/>
            <w:vAlign w:val="center"/>
          </w:tcPr>
          <w:p w14:paraId="16C201AB">
            <w:pPr>
              <w:adjustRightInd w:val="0"/>
              <w:snapToGrid w:val="0"/>
              <w:jc w:val="center"/>
              <w:rPr>
                <w:color w:val="auto"/>
                <w:sz w:val="24"/>
                <w:highlight w:val="none"/>
              </w:rPr>
            </w:pPr>
            <w:r>
              <w:rPr>
                <w:rFonts w:hint="eastAsia"/>
                <w:color w:val="auto"/>
                <w:sz w:val="24"/>
                <w:highlight w:val="none"/>
              </w:rPr>
              <w:t>24</w:t>
            </w:r>
            <w:r>
              <w:rPr>
                <w:color w:val="auto"/>
                <w:sz w:val="24"/>
                <w:highlight w:val="none"/>
              </w:rPr>
              <w:t>个月</w:t>
            </w:r>
          </w:p>
        </w:tc>
      </w:tr>
      <w:tr w14:paraId="120AA2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878" w:type="dxa"/>
            <w:gridSpan w:val="2"/>
            <w:tcMar>
              <w:top w:w="16" w:type="dxa"/>
              <w:left w:w="16" w:type="dxa"/>
              <w:right w:w="16" w:type="dxa"/>
            </w:tcMar>
            <w:vAlign w:val="center"/>
          </w:tcPr>
          <w:p w14:paraId="3DCFFC91">
            <w:pPr>
              <w:adjustRightInd w:val="0"/>
              <w:snapToGrid w:val="0"/>
              <w:jc w:val="center"/>
              <w:rPr>
                <w:color w:val="auto"/>
                <w:sz w:val="24"/>
              </w:rPr>
            </w:pPr>
            <w:r>
              <w:rPr>
                <w:color w:val="auto"/>
                <w:sz w:val="24"/>
              </w:rPr>
              <w:t>是否开工建设</w:t>
            </w:r>
          </w:p>
        </w:tc>
        <w:tc>
          <w:tcPr>
            <w:tcW w:w="7161" w:type="dxa"/>
            <w:gridSpan w:val="3"/>
            <w:vAlign w:val="center"/>
          </w:tcPr>
          <w:p w14:paraId="624FD862">
            <w:pPr>
              <w:adjustRightInd w:val="0"/>
              <w:snapToGrid w:val="0"/>
              <w:ind w:firstLine="105"/>
              <w:jc w:val="left"/>
              <w:rPr>
                <w:color w:val="auto"/>
                <w:sz w:val="24"/>
              </w:rPr>
            </w:pPr>
            <w:r>
              <w:rPr>
                <w:color w:val="auto"/>
                <w:sz w:val="24"/>
              </w:rPr>
              <w:t>☑否：</w:t>
            </w:r>
          </w:p>
          <w:p w14:paraId="5FC85524">
            <w:pPr>
              <w:adjustRightInd w:val="0"/>
              <w:snapToGrid w:val="0"/>
              <w:ind w:firstLine="92"/>
              <w:jc w:val="left"/>
              <w:rPr>
                <w:color w:val="auto"/>
                <w:sz w:val="24"/>
              </w:rPr>
            </w:pPr>
            <w:r>
              <w:rPr>
                <w:rFonts w:hint="eastAsia"/>
                <w:color w:val="auto"/>
                <w:sz w:val="24"/>
              </w:rPr>
              <w:sym w:font="Wingdings 2" w:char="00A3"/>
            </w:r>
            <w:r>
              <w:rPr>
                <w:color w:val="auto"/>
                <w:sz w:val="24"/>
              </w:rPr>
              <w:t>是：</w:t>
            </w:r>
            <w:r>
              <w:rPr>
                <w:color w:val="auto"/>
                <w:sz w:val="24"/>
                <w:u w:val="single"/>
              </w:rPr>
              <w:t xml:space="preserve">                                    </w:t>
            </w:r>
          </w:p>
        </w:tc>
      </w:tr>
      <w:tr w14:paraId="637744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878" w:type="dxa"/>
            <w:gridSpan w:val="2"/>
            <w:tcMar>
              <w:top w:w="16" w:type="dxa"/>
              <w:left w:w="16" w:type="dxa"/>
              <w:right w:w="16" w:type="dxa"/>
            </w:tcMar>
            <w:vAlign w:val="center"/>
          </w:tcPr>
          <w:p w14:paraId="12AA3B6E">
            <w:pPr>
              <w:autoSpaceDE w:val="0"/>
              <w:autoSpaceDN w:val="0"/>
              <w:adjustRightInd w:val="0"/>
              <w:snapToGrid w:val="0"/>
              <w:jc w:val="center"/>
              <w:rPr>
                <w:color w:val="auto"/>
                <w:kern w:val="0"/>
                <w:sz w:val="24"/>
              </w:rPr>
            </w:pPr>
            <w:r>
              <w:rPr>
                <w:color w:val="auto"/>
                <w:kern w:val="0"/>
                <w:sz w:val="24"/>
              </w:rPr>
              <w:t>专项评价设置</w:t>
            </w:r>
          </w:p>
          <w:p w14:paraId="33206FC5">
            <w:pPr>
              <w:autoSpaceDE w:val="0"/>
              <w:autoSpaceDN w:val="0"/>
              <w:adjustRightInd w:val="0"/>
              <w:snapToGrid w:val="0"/>
              <w:jc w:val="center"/>
              <w:rPr>
                <w:color w:val="auto"/>
                <w:kern w:val="0"/>
                <w:sz w:val="24"/>
              </w:rPr>
            </w:pPr>
            <w:r>
              <w:rPr>
                <w:color w:val="auto"/>
                <w:kern w:val="0"/>
                <w:sz w:val="24"/>
              </w:rPr>
              <w:t>情况</w:t>
            </w:r>
          </w:p>
        </w:tc>
        <w:tc>
          <w:tcPr>
            <w:tcW w:w="7161" w:type="dxa"/>
            <w:gridSpan w:val="3"/>
            <w:tcMar>
              <w:top w:w="16" w:type="dxa"/>
              <w:left w:w="16" w:type="dxa"/>
              <w:right w:w="16" w:type="dxa"/>
            </w:tcMar>
            <w:vAlign w:val="center"/>
          </w:tcPr>
          <w:p w14:paraId="07DEB9CF">
            <w:pPr>
              <w:autoSpaceDE w:val="0"/>
              <w:autoSpaceDN w:val="0"/>
              <w:adjustRightInd w:val="0"/>
              <w:snapToGrid w:val="0"/>
              <w:spacing w:line="360" w:lineRule="auto"/>
              <w:ind w:firstLine="480" w:firstLineChars="200"/>
              <w:rPr>
                <w:rFonts w:hint="eastAsia" w:eastAsia="宋体"/>
                <w:color w:val="auto"/>
                <w:kern w:val="0"/>
                <w:sz w:val="24"/>
                <w:lang w:val="en-US" w:eastAsia="zh-CN"/>
              </w:rPr>
            </w:pPr>
            <w:r>
              <w:rPr>
                <w:color w:val="auto"/>
                <w:kern w:val="0"/>
                <w:sz w:val="24"/>
              </w:rPr>
              <w:t>根据《建设项目环境影响报告表编制技术指南（生态影响类）》专项评价设置原则表</w:t>
            </w:r>
            <w:r>
              <w:rPr>
                <w:rFonts w:hint="eastAsia"/>
                <w:color w:val="auto"/>
                <w:kern w:val="0"/>
                <w:sz w:val="24"/>
              </w:rPr>
              <w:t>：</w:t>
            </w:r>
            <w:r>
              <w:rPr>
                <w:rFonts w:hint="eastAsia"/>
                <w:color w:val="auto"/>
                <w:kern w:val="0"/>
                <w:sz w:val="24"/>
                <w:lang w:val="en-US" w:eastAsia="zh-CN"/>
              </w:rPr>
              <w:t xml:space="preserve"> </w:t>
            </w:r>
          </w:p>
          <w:p w14:paraId="2D0CDCF7">
            <w:pPr>
              <w:tabs>
                <w:tab w:val="left" w:pos="662"/>
              </w:tabs>
              <w:kinsoku w:val="0"/>
              <w:overflowPunct w:val="0"/>
              <w:autoSpaceDE w:val="0"/>
              <w:autoSpaceDN w:val="0"/>
              <w:adjustRightInd w:val="0"/>
              <w:jc w:val="center"/>
              <w:rPr>
                <w:color w:val="auto"/>
                <w:kern w:val="0"/>
                <w:szCs w:val="21"/>
              </w:rPr>
            </w:pPr>
            <w:r>
              <w:rPr>
                <w:b/>
                <w:bCs/>
                <w:color w:val="auto"/>
                <w:kern w:val="0"/>
                <w:szCs w:val="21"/>
              </w:rPr>
              <w:t>表1-1</w:t>
            </w:r>
            <w:r>
              <w:rPr>
                <w:rFonts w:hint="eastAsia"/>
                <w:b/>
                <w:bCs/>
                <w:color w:val="auto"/>
                <w:kern w:val="0"/>
                <w:szCs w:val="21"/>
              </w:rPr>
              <w:t xml:space="preserve">  </w:t>
            </w:r>
            <w:r>
              <w:rPr>
                <w:b/>
                <w:bCs/>
                <w:color w:val="auto"/>
                <w:kern w:val="0"/>
                <w:szCs w:val="21"/>
              </w:rPr>
              <w:t>本项目专项评价设置一览表</w:t>
            </w:r>
          </w:p>
          <w:tbl>
            <w:tblPr>
              <w:tblStyle w:val="34"/>
              <w:tblW w:w="49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993"/>
              <w:gridCol w:w="4361"/>
              <w:gridCol w:w="1158"/>
              <w:gridCol w:w="546"/>
            </w:tblGrid>
            <w:tr w14:paraId="6C306E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3" w:type="pct"/>
                  <w:tcBorders>
                    <w:tl2br w:val="nil"/>
                    <w:tr2bl w:val="nil"/>
                  </w:tcBorders>
                  <w:vAlign w:val="center"/>
                </w:tcPr>
                <w:p w14:paraId="240E37B8">
                  <w:pPr>
                    <w:adjustRightInd w:val="0"/>
                    <w:snapToGrid w:val="0"/>
                    <w:jc w:val="center"/>
                    <w:rPr>
                      <w:b/>
                      <w:color w:val="auto"/>
                      <w:szCs w:val="21"/>
                    </w:rPr>
                  </w:pPr>
                  <w:r>
                    <w:rPr>
                      <w:b/>
                      <w:color w:val="auto"/>
                      <w:szCs w:val="21"/>
                    </w:rPr>
                    <w:t>专项评价的类别</w:t>
                  </w:r>
                </w:p>
              </w:tc>
              <w:tc>
                <w:tcPr>
                  <w:tcW w:w="3088" w:type="pct"/>
                  <w:tcBorders>
                    <w:tl2br w:val="nil"/>
                    <w:tr2bl w:val="nil"/>
                  </w:tcBorders>
                  <w:vAlign w:val="center"/>
                </w:tcPr>
                <w:p w14:paraId="6F97DF7C">
                  <w:pPr>
                    <w:adjustRightInd w:val="0"/>
                    <w:snapToGrid w:val="0"/>
                    <w:jc w:val="center"/>
                    <w:rPr>
                      <w:b/>
                      <w:color w:val="auto"/>
                      <w:szCs w:val="21"/>
                    </w:rPr>
                  </w:pPr>
                  <w:r>
                    <w:rPr>
                      <w:rFonts w:hint="eastAsia"/>
                      <w:b/>
                      <w:color w:val="auto"/>
                      <w:szCs w:val="21"/>
                    </w:rPr>
                    <w:t>涉及项目类别</w:t>
                  </w:r>
                </w:p>
              </w:tc>
              <w:tc>
                <w:tcPr>
                  <w:tcW w:w="820" w:type="pct"/>
                  <w:tcBorders>
                    <w:tl2br w:val="nil"/>
                    <w:tr2bl w:val="nil"/>
                  </w:tcBorders>
                  <w:vAlign w:val="center"/>
                </w:tcPr>
                <w:p w14:paraId="1A76F6C4">
                  <w:pPr>
                    <w:adjustRightInd w:val="0"/>
                    <w:snapToGrid w:val="0"/>
                    <w:jc w:val="center"/>
                    <w:rPr>
                      <w:b/>
                      <w:color w:val="auto"/>
                      <w:szCs w:val="21"/>
                    </w:rPr>
                  </w:pPr>
                  <w:r>
                    <w:rPr>
                      <w:b/>
                      <w:color w:val="auto"/>
                      <w:szCs w:val="21"/>
                    </w:rPr>
                    <w:t>本项目</w:t>
                  </w:r>
                </w:p>
              </w:tc>
              <w:tc>
                <w:tcPr>
                  <w:tcW w:w="387" w:type="pct"/>
                  <w:tcBorders>
                    <w:tl2br w:val="nil"/>
                    <w:tr2bl w:val="nil"/>
                  </w:tcBorders>
                  <w:vAlign w:val="center"/>
                </w:tcPr>
                <w:p w14:paraId="4B66E3DA">
                  <w:pPr>
                    <w:adjustRightInd w:val="0"/>
                    <w:snapToGrid w:val="0"/>
                    <w:jc w:val="center"/>
                    <w:rPr>
                      <w:b/>
                      <w:color w:val="auto"/>
                      <w:szCs w:val="21"/>
                    </w:rPr>
                  </w:pPr>
                  <w:r>
                    <w:rPr>
                      <w:b/>
                      <w:color w:val="auto"/>
                      <w:szCs w:val="21"/>
                    </w:rPr>
                    <w:t>是否设置</w:t>
                  </w:r>
                </w:p>
              </w:tc>
            </w:tr>
            <w:tr w14:paraId="73A5C0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3" w:type="pct"/>
                  <w:tcBorders>
                    <w:tl2br w:val="nil"/>
                    <w:tr2bl w:val="nil"/>
                  </w:tcBorders>
                  <w:vAlign w:val="center"/>
                </w:tcPr>
                <w:p w14:paraId="53E028DA">
                  <w:pPr>
                    <w:adjustRightInd w:val="0"/>
                    <w:snapToGrid w:val="0"/>
                    <w:jc w:val="center"/>
                    <w:rPr>
                      <w:bCs/>
                      <w:color w:val="auto"/>
                      <w:szCs w:val="21"/>
                    </w:rPr>
                  </w:pPr>
                  <w:r>
                    <w:rPr>
                      <w:rFonts w:hint="eastAsia"/>
                      <w:bCs/>
                      <w:color w:val="auto"/>
                      <w:szCs w:val="21"/>
                    </w:rPr>
                    <w:t>地表水</w:t>
                  </w:r>
                </w:p>
              </w:tc>
              <w:tc>
                <w:tcPr>
                  <w:tcW w:w="3088" w:type="pct"/>
                  <w:tcBorders>
                    <w:tl2br w:val="nil"/>
                    <w:tr2bl w:val="nil"/>
                  </w:tcBorders>
                  <w:vAlign w:val="center"/>
                </w:tcPr>
                <w:p w14:paraId="5F5839D0">
                  <w:pPr>
                    <w:adjustRightInd w:val="0"/>
                    <w:snapToGrid w:val="0"/>
                    <w:ind w:left="102"/>
                    <w:jc w:val="left"/>
                    <w:rPr>
                      <w:bCs/>
                      <w:color w:val="auto"/>
                      <w:szCs w:val="21"/>
                    </w:rPr>
                  </w:pPr>
                  <w:r>
                    <w:rPr>
                      <w:rFonts w:hint="eastAsia"/>
                      <w:bCs/>
                      <w:color w:val="auto"/>
                      <w:szCs w:val="21"/>
                    </w:rPr>
                    <w:t>水力发电：引水式发电、涉及调峰发电的项目；</w:t>
                  </w:r>
                </w:p>
                <w:p w14:paraId="480F3F00">
                  <w:pPr>
                    <w:adjustRightInd w:val="0"/>
                    <w:snapToGrid w:val="0"/>
                    <w:ind w:left="102"/>
                    <w:jc w:val="left"/>
                    <w:rPr>
                      <w:bCs/>
                      <w:color w:val="auto"/>
                      <w:szCs w:val="21"/>
                    </w:rPr>
                  </w:pPr>
                  <w:r>
                    <w:rPr>
                      <w:rFonts w:hint="eastAsia"/>
                      <w:bCs/>
                      <w:color w:val="auto"/>
                      <w:szCs w:val="21"/>
                    </w:rPr>
                    <w:t>人工湖、人工湿地：全部；</w:t>
                  </w:r>
                </w:p>
                <w:p w14:paraId="37A0271A">
                  <w:pPr>
                    <w:adjustRightInd w:val="0"/>
                    <w:snapToGrid w:val="0"/>
                    <w:ind w:left="102"/>
                    <w:jc w:val="left"/>
                    <w:rPr>
                      <w:bCs/>
                      <w:color w:val="auto"/>
                      <w:szCs w:val="21"/>
                    </w:rPr>
                  </w:pPr>
                  <w:r>
                    <w:rPr>
                      <w:rFonts w:hint="eastAsia"/>
                      <w:bCs/>
                      <w:color w:val="auto"/>
                      <w:szCs w:val="21"/>
                    </w:rPr>
                    <w:t>水库：全部；</w:t>
                  </w:r>
                </w:p>
                <w:p w14:paraId="4C4AAE7C">
                  <w:pPr>
                    <w:adjustRightInd w:val="0"/>
                    <w:snapToGrid w:val="0"/>
                    <w:ind w:left="102"/>
                    <w:jc w:val="left"/>
                    <w:rPr>
                      <w:bCs/>
                      <w:color w:val="auto"/>
                      <w:szCs w:val="21"/>
                    </w:rPr>
                  </w:pPr>
                  <w:r>
                    <w:rPr>
                      <w:rFonts w:hint="eastAsia"/>
                      <w:bCs/>
                      <w:color w:val="auto"/>
                      <w:szCs w:val="21"/>
                    </w:rPr>
                    <w:t>引水工程：全部（配套的管线工程等除外）；</w:t>
                  </w:r>
                </w:p>
                <w:p w14:paraId="244242FA">
                  <w:pPr>
                    <w:adjustRightInd w:val="0"/>
                    <w:snapToGrid w:val="0"/>
                    <w:ind w:left="102"/>
                    <w:jc w:val="left"/>
                    <w:rPr>
                      <w:bCs/>
                      <w:color w:val="auto"/>
                      <w:szCs w:val="21"/>
                    </w:rPr>
                  </w:pPr>
                  <w:r>
                    <w:rPr>
                      <w:rFonts w:hint="eastAsia"/>
                      <w:bCs/>
                      <w:color w:val="auto"/>
                      <w:szCs w:val="21"/>
                    </w:rPr>
                    <w:t>防洪除涝工程：包含水库的项目；</w:t>
                  </w:r>
                </w:p>
                <w:p w14:paraId="20E63EB5">
                  <w:pPr>
                    <w:adjustRightInd w:val="0"/>
                    <w:snapToGrid w:val="0"/>
                    <w:ind w:left="102"/>
                    <w:jc w:val="left"/>
                    <w:rPr>
                      <w:bCs/>
                      <w:color w:val="auto"/>
                      <w:szCs w:val="21"/>
                    </w:rPr>
                  </w:pPr>
                  <w:r>
                    <w:rPr>
                      <w:rFonts w:hint="eastAsia"/>
                      <w:bCs/>
                      <w:color w:val="auto"/>
                      <w:szCs w:val="21"/>
                    </w:rPr>
                    <w:t>河湖整治：涉及清淤且底泥存在重金属污染的项目。</w:t>
                  </w:r>
                </w:p>
              </w:tc>
              <w:tc>
                <w:tcPr>
                  <w:tcW w:w="820" w:type="pct"/>
                  <w:tcBorders>
                    <w:tl2br w:val="nil"/>
                    <w:tr2bl w:val="nil"/>
                  </w:tcBorders>
                  <w:vAlign w:val="center"/>
                </w:tcPr>
                <w:p w14:paraId="09CC99EC">
                  <w:pPr>
                    <w:adjustRightInd w:val="0"/>
                    <w:snapToGrid w:val="0"/>
                    <w:jc w:val="center"/>
                    <w:rPr>
                      <w:bCs/>
                      <w:color w:val="auto"/>
                      <w:szCs w:val="21"/>
                    </w:rPr>
                  </w:pPr>
                  <w:r>
                    <w:rPr>
                      <w:rFonts w:hint="eastAsia"/>
                      <w:bCs/>
                      <w:color w:val="auto"/>
                      <w:szCs w:val="21"/>
                    </w:rPr>
                    <w:t>不涉及</w:t>
                  </w:r>
                </w:p>
              </w:tc>
              <w:tc>
                <w:tcPr>
                  <w:tcW w:w="387" w:type="pct"/>
                  <w:tcBorders>
                    <w:tl2br w:val="nil"/>
                    <w:tr2bl w:val="nil"/>
                  </w:tcBorders>
                  <w:vAlign w:val="center"/>
                </w:tcPr>
                <w:p w14:paraId="226B4FD1">
                  <w:pPr>
                    <w:adjustRightInd w:val="0"/>
                    <w:snapToGrid w:val="0"/>
                    <w:ind w:left="102"/>
                    <w:jc w:val="center"/>
                    <w:rPr>
                      <w:bCs/>
                      <w:color w:val="auto"/>
                      <w:szCs w:val="21"/>
                    </w:rPr>
                  </w:pPr>
                  <w:r>
                    <w:rPr>
                      <w:rFonts w:hint="eastAsia"/>
                      <w:bCs/>
                      <w:color w:val="auto"/>
                      <w:szCs w:val="21"/>
                    </w:rPr>
                    <w:t>否</w:t>
                  </w:r>
                </w:p>
              </w:tc>
            </w:tr>
            <w:tr w14:paraId="03542F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3" w:type="pct"/>
                  <w:tcBorders>
                    <w:tl2br w:val="nil"/>
                    <w:tr2bl w:val="nil"/>
                  </w:tcBorders>
                  <w:vAlign w:val="center"/>
                </w:tcPr>
                <w:p w14:paraId="155CC785">
                  <w:pPr>
                    <w:adjustRightInd w:val="0"/>
                    <w:snapToGrid w:val="0"/>
                    <w:jc w:val="center"/>
                    <w:rPr>
                      <w:bCs/>
                      <w:color w:val="auto"/>
                      <w:szCs w:val="21"/>
                    </w:rPr>
                  </w:pPr>
                  <w:r>
                    <w:rPr>
                      <w:rFonts w:hint="eastAsia"/>
                      <w:bCs/>
                      <w:color w:val="auto"/>
                      <w:szCs w:val="21"/>
                    </w:rPr>
                    <w:t>地下水</w:t>
                  </w:r>
                </w:p>
              </w:tc>
              <w:tc>
                <w:tcPr>
                  <w:tcW w:w="3088" w:type="pct"/>
                  <w:tcBorders>
                    <w:tl2br w:val="nil"/>
                    <w:tr2bl w:val="nil"/>
                  </w:tcBorders>
                  <w:vAlign w:val="center"/>
                </w:tcPr>
                <w:p w14:paraId="17C32A27">
                  <w:pPr>
                    <w:adjustRightInd w:val="0"/>
                    <w:snapToGrid w:val="0"/>
                    <w:ind w:left="102"/>
                    <w:jc w:val="left"/>
                    <w:rPr>
                      <w:bCs/>
                      <w:color w:val="auto"/>
                      <w:szCs w:val="21"/>
                    </w:rPr>
                  </w:pPr>
                  <w:r>
                    <w:rPr>
                      <w:rFonts w:hint="eastAsia"/>
                      <w:bCs/>
                      <w:color w:val="auto"/>
                      <w:szCs w:val="21"/>
                    </w:rPr>
                    <w:t>陆地石油和天然气开采：全部；</w:t>
                  </w:r>
                </w:p>
                <w:p w14:paraId="3FC91458">
                  <w:pPr>
                    <w:adjustRightInd w:val="0"/>
                    <w:snapToGrid w:val="0"/>
                    <w:ind w:left="102"/>
                    <w:jc w:val="left"/>
                    <w:rPr>
                      <w:bCs/>
                      <w:color w:val="auto"/>
                      <w:szCs w:val="21"/>
                    </w:rPr>
                  </w:pPr>
                  <w:r>
                    <w:rPr>
                      <w:rFonts w:hint="eastAsia"/>
                      <w:bCs/>
                      <w:color w:val="auto"/>
                      <w:szCs w:val="21"/>
                    </w:rPr>
                    <w:t>地下水（含矿泉水）开采：全部；</w:t>
                  </w:r>
                </w:p>
                <w:p w14:paraId="2035AEE8">
                  <w:pPr>
                    <w:adjustRightInd w:val="0"/>
                    <w:snapToGrid w:val="0"/>
                    <w:ind w:left="102"/>
                    <w:jc w:val="left"/>
                    <w:rPr>
                      <w:bCs/>
                      <w:color w:val="auto"/>
                      <w:szCs w:val="21"/>
                    </w:rPr>
                  </w:pPr>
                  <w:r>
                    <w:rPr>
                      <w:rFonts w:hint="eastAsia"/>
                      <w:bCs/>
                      <w:color w:val="auto"/>
                      <w:szCs w:val="21"/>
                    </w:rPr>
                    <w:t>水利、水电、交通等：含穿越可溶岩地层隧道的项目。</w:t>
                  </w:r>
                </w:p>
              </w:tc>
              <w:tc>
                <w:tcPr>
                  <w:tcW w:w="820" w:type="pct"/>
                  <w:tcBorders>
                    <w:tl2br w:val="nil"/>
                    <w:tr2bl w:val="nil"/>
                  </w:tcBorders>
                  <w:vAlign w:val="center"/>
                </w:tcPr>
                <w:p w14:paraId="4AB73B41">
                  <w:pPr>
                    <w:adjustRightInd w:val="0"/>
                    <w:snapToGrid w:val="0"/>
                    <w:jc w:val="center"/>
                    <w:rPr>
                      <w:bCs/>
                      <w:color w:val="auto"/>
                      <w:szCs w:val="21"/>
                    </w:rPr>
                  </w:pPr>
                  <w:r>
                    <w:rPr>
                      <w:rFonts w:hint="eastAsia"/>
                      <w:bCs/>
                      <w:color w:val="auto"/>
                      <w:szCs w:val="21"/>
                    </w:rPr>
                    <w:t>不涉及</w:t>
                  </w:r>
                </w:p>
              </w:tc>
              <w:tc>
                <w:tcPr>
                  <w:tcW w:w="387" w:type="pct"/>
                  <w:tcBorders>
                    <w:tl2br w:val="nil"/>
                    <w:tr2bl w:val="nil"/>
                  </w:tcBorders>
                  <w:vAlign w:val="center"/>
                </w:tcPr>
                <w:p w14:paraId="4B80B6AA">
                  <w:pPr>
                    <w:adjustRightInd w:val="0"/>
                    <w:snapToGrid w:val="0"/>
                    <w:ind w:left="102"/>
                    <w:jc w:val="center"/>
                    <w:rPr>
                      <w:bCs/>
                      <w:color w:val="auto"/>
                      <w:szCs w:val="21"/>
                    </w:rPr>
                  </w:pPr>
                  <w:r>
                    <w:rPr>
                      <w:rFonts w:hint="eastAsia"/>
                      <w:bCs/>
                      <w:color w:val="auto"/>
                      <w:szCs w:val="21"/>
                    </w:rPr>
                    <w:t>否</w:t>
                  </w:r>
                </w:p>
              </w:tc>
            </w:tr>
            <w:tr w14:paraId="70B8FC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3" w:type="pct"/>
                  <w:tcBorders>
                    <w:tl2br w:val="nil"/>
                    <w:tr2bl w:val="nil"/>
                  </w:tcBorders>
                  <w:vAlign w:val="center"/>
                </w:tcPr>
                <w:p w14:paraId="1FCB1D78">
                  <w:pPr>
                    <w:adjustRightInd w:val="0"/>
                    <w:snapToGrid w:val="0"/>
                    <w:jc w:val="center"/>
                    <w:rPr>
                      <w:bCs/>
                      <w:color w:val="auto"/>
                      <w:szCs w:val="21"/>
                    </w:rPr>
                  </w:pPr>
                  <w:r>
                    <w:rPr>
                      <w:rFonts w:hint="eastAsia"/>
                      <w:bCs/>
                      <w:color w:val="auto"/>
                      <w:szCs w:val="21"/>
                    </w:rPr>
                    <w:t>生态</w:t>
                  </w:r>
                </w:p>
              </w:tc>
              <w:tc>
                <w:tcPr>
                  <w:tcW w:w="3088" w:type="pct"/>
                  <w:tcBorders>
                    <w:tl2br w:val="nil"/>
                    <w:tr2bl w:val="nil"/>
                  </w:tcBorders>
                  <w:vAlign w:val="center"/>
                </w:tcPr>
                <w:p w14:paraId="2554A936">
                  <w:pPr>
                    <w:adjustRightInd w:val="0"/>
                    <w:snapToGrid w:val="0"/>
                    <w:jc w:val="left"/>
                    <w:rPr>
                      <w:bCs/>
                      <w:color w:val="auto"/>
                      <w:szCs w:val="21"/>
                    </w:rPr>
                  </w:pPr>
                  <w:r>
                    <w:rPr>
                      <w:rFonts w:hint="eastAsia"/>
                      <w:bCs/>
                      <w:color w:val="auto"/>
                      <w:szCs w:val="21"/>
                    </w:rPr>
                    <w:t>涉及环境敏感区（不包括饮用水水源保护区，以居住、医疗卫生、文化教育、科研、行政办公为主要功能的区域，以及文物保护单位）的项目。</w:t>
                  </w:r>
                </w:p>
              </w:tc>
              <w:tc>
                <w:tcPr>
                  <w:tcW w:w="820" w:type="pct"/>
                  <w:tcBorders>
                    <w:tl2br w:val="nil"/>
                    <w:tr2bl w:val="nil"/>
                  </w:tcBorders>
                  <w:vAlign w:val="center"/>
                </w:tcPr>
                <w:p w14:paraId="05657ECF">
                  <w:pPr>
                    <w:adjustRightInd w:val="0"/>
                    <w:snapToGrid w:val="0"/>
                    <w:jc w:val="center"/>
                    <w:rPr>
                      <w:bCs/>
                      <w:color w:val="auto"/>
                      <w:szCs w:val="21"/>
                    </w:rPr>
                  </w:pPr>
                  <w:r>
                    <w:rPr>
                      <w:rFonts w:hint="eastAsia"/>
                      <w:bCs/>
                      <w:color w:val="auto"/>
                      <w:szCs w:val="21"/>
                    </w:rPr>
                    <w:t>本项目位于光雾山-诺水河世界地质公园</w:t>
                  </w:r>
                  <w:r>
                    <w:rPr>
                      <w:rFonts w:hint="eastAsia"/>
                      <w:bCs/>
                      <w:color w:val="auto"/>
                      <w:szCs w:val="21"/>
                      <w:lang w:eastAsia="zh-CN"/>
                    </w:rPr>
                    <w:t>综合服务区</w:t>
                  </w:r>
                  <w:r>
                    <w:rPr>
                      <w:rFonts w:hint="eastAsia"/>
                      <w:bCs/>
                      <w:color w:val="auto"/>
                      <w:szCs w:val="21"/>
                    </w:rPr>
                    <w:t>内。</w:t>
                  </w:r>
                </w:p>
              </w:tc>
              <w:tc>
                <w:tcPr>
                  <w:tcW w:w="387" w:type="pct"/>
                  <w:tcBorders>
                    <w:tl2br w:val="nil"/>
                    <w:tr2bl w:val="nil"/>
                  </w:tcBorders>
                  <w:vAlign w:val="center"/>
                </w:tcPr>
                <w:p w14:paraId="253E0E61">
                  <w:pPr>
                    <w:adjustRightInd w:val="0"/>
                    <w:snapToGrid w:val="0"/>
                    <w:ind w:left="102"/>
                    <w:jc w:val="center"/>
                    <w:rPr>
                      <w:bCs/>
                      <w:color w:val="auto"/>
                      <w:szCs w:val="21"/>
                    </w:rPr>
                  </w:pPr>
                  <w:r>
                    <w:rPr>
                      <w:rFonts w:hint="eastAsia"/>
                      <w:bCs/>
                      <w:color w:val="auto"/>
                      <w:szCs w:val="21"/>
                    </w:rPr>
                    <w:t>是</w:t>
                  </w:r>
                </w:p>
              </w:tc>
            </w:tr>
            <w:tr w14:paraId="2E13DC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3" w:type="pct"/>
                  <w:tcBorders>
                    <w:tl2br w:val="nil"/>
                    <w:tr2bl w:val="nil"/>
                  </w:tcBorders>
                  <w:vAlign w:val="center"/>
                </w:tcPr>
                <w:p w14:paraId="5D2A1F18">
                  <w:pPr>
                    <w:adjustRightInd w:val="0"/>
                    <w:snapToGrid w:val="0"/>
                    <w:jc w:val="center"/>
                    <w:rPr>
                      <w:bCs/>
                      <w:color w:val="auto"/>
                      <w:szCs w:val="21"/>
                    </w:rPr>
                  </w:pPr>
                  <w:r>
                    <w:rPr>
                      <w:rFonts w:hint="eastAsia"/>
                      <w:bCs/>
                      <w:color w:val="auto"/>
                      <w:szCs w:val="21"/>
                    </w:rPr>
                    <w:t>大气</w:t>
                  </w:r>
                </w:p>
              </w:tc>
              <w:tc>
                <w:tcPr>
                  <w:tcW w:w="3088" w:type="pct"/>
                  <w:tcBorders>
                    <w:tl2br w:val="nil"/>
                    <w:tr2bl w:val="nil"/>
                  </w:tcBorders>
                  <w:vAlign w:val="center"/>
                </w:tcPr>
                <w:p w14:paraId="7779658D">
                  <w:pPr>
                    <w:adjustRightInd w:val="0"/>
                    <w:snapToGrid w:val="0"/>
                    <w:ind w:left="102"/>
                    <w:jc w:val="left"/>
                    <w:rPr>
                      <w:bCs/>
                      <w:color w:val="auto"/>
                      <w:szCs w:val="21"/>
                    </w:rPr>
                  </w:pPr>
                  <w:r>
                    <w:rPr>
                      <w:rFonts w:hint="eastAsia"/>
                      <w:bCs/>
                      <w:color w:val="auto"/>
                      <w:szCs w:val="21"/>
                    </w:rPr>
                    <w:t>油气、液体化工码头：全部；</w:t>
                  </w:r>
                </w:p>
                <w:p w14:paraId="1F7C8466">
                  <w:pPr>
                    <w:adjustRightInd w:val="0"/>
                    <w:snapToGrid w:val="0"/>
                    <w:ind w:left="102"/>
                    <w:jc w:val="left"/>
                    <w:rPr>
                      <w:bCs/>
                      <w:color w:val="auto"/>
                      <w:szCs w:val="21"/>
                    </w:rPr>
                  </w:pPr>
                  <w:r>
                    <w:rPr>
                      <w:rFonts w:hint="eastAsia"/>
                      <w:bCs/>
                      <w:color w:val="auto"/>
                      <w:szCs w:val="21"/>
                    </w:rPr>
                    <w:t>干散货（含煤炭、矿石）、件杂、多用途、通用码头：涉及粉尘、挥发性有机物排放的项目。</w:t>
                  </w:r>
                </w:p>
              </w:tc>
              <w:tc>
                <w:tcPr>
                  <w:tcW w:w="820" w:type="pct"/>
                  <w:tcBorders>
                    <w:tl2br w:val="nil"/>
                    <w:tr2bl w:val="nil"/>
                  </w:tcBorders>
                  <w:vAlign w:val="center"/>
                </w:tcPr>
                <w:p w14:paraId="261882AE">
                  <w:pPr>
                    <w:adjustRightInd w:val="0"/>
                    <w:snapToGrid w:val="0"/>
                    <w:jc w:val="center"/>
                    <w:rPr>
                      <w:bCs/>
                      <w:color w:val="auto"/>
                      <w:szCs w:val="21"/>
                    </w:rPr>
                  </w:pPr>
                  <w:r>
                    <w:rPr>
                      <w:rFonts w:hint="eastAsia"/>
                      <w:bCs/>
                      <w:color w:val="auto"/>
                      <w:szCs w:val="21"/>
                    </w:rPr>
                    <w:t>不涉及</w:t>
                  </w:r>
                </w:p>
              </w:tc>
              <w:tc>
                <w:tcPr>
                  <w:tcW w:w="387" w:type="pct"/>
                  <w:tcBorders>
                    <w:tl2br w:val="nil"/>
                    <w:tr2bl w:val="nil"/>
                  </w:tcBorders>
                  <w:vAlign w:val="center"/>
                </w:tcPr>
                <w:p w14:paraId="2DD1FD3D">
                  <w:pPr>
                    <w:adjustRightInd w:val="0"/>
                    <w:snapToGrid w:val="0"/>
                    <w:ind w:left="102"/>
                    <w:jc w:val="center"/>
                    <w:rPr>
                      <w:bCs/>
                      <w:color w:val="auto"/>
                      <w:szCs w:val="21"/>
                    </w:rPr>
                  </w:pPr>
                  <w:r>
                    <w:rPr>
                      <w:rFonts w:hint="eastAsia"/>
                      <w:bCs/>
                      <w:color w:val="auto"/>
                      <w:szCs w:val="21"/>
                    </w:rPr>
                    <w:t>否</w:t>
                  </w:r>
                </w:p>
              </w:tc>
            </w:tr>
            <w:tr w14:paraId="374428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3" w:type="pct"/>
                  <w:tcBorders>
                    <w:tl2br w:val="nil"/>
                    <w:tr2bl w:val="nil"/>
                  </w:tcBorders>
                  <w:vAlign w:val="center"/>
                </w:tcPr>
                <w:p w14:paraId="0E324773">
                  <w:pPr>
                    <w:adjustRightInd w:val="0"/>
                    <w:snapToGrid w:val="0"/>
                    <w:jc w:val="center"/>
                    <w:rPr>
                      <w:bCs/>
                      <w:color w:val="auto"/>
                      <w:szCs w:val="21"/>
                    </w:rPr>
                  </w:pPr>
                  <w:r>
                    <w:rPr>
                      <w:rFonts w:hint="eastAsia"/>
                      <w:bCs/>
                      <w:color w:val="auto"/>
                      <w:szCs w:val="21"/>
                    </w:rPr>
                    <w:t>噪声</w:t>
                  </w:r>
                </w:p>
              </w:tc>
              <w:tc>
                <w:tcPr>
                  <w:tcW w:w="3088" w:type="pct"/>
                  <w:tcBorders>
                    <w:tl2br w:val="nil"/>
                    <w:tr2bl w:val="nil"/>
                  </w:tcBorders>
                  <w:vAlign w:val="center"/>
                </w:tcPr>
                <w:p w14:paraId="353AC748">
                  <w:pPr>
                    <w:adjustRightInd w:val="0"/>
                    <w:snapToGrid w:val="0"/>
                    <w:ind w:left="102"/>
                    <w:jc w:val="left"/>
                    <w:rPr>
                      <w:bCs/>
                      <w:color w:val="auto"/>
                      <w:szCs w:val="21"/>
                    </w:rPr>
                  </w:pPr>
                  <w:r>
                    <w:rPr>
                      <w:rFonts w:hint="eastAsia"/>
                      <w:bCs/>
                      <w:color w:val="auto"/>
                      <w:szCs w:val="21"/>
                    </w:rPr>
                    <w:t>公路、铁路、机场等交通运输业涉及环境敏感区（以居住、医疗卫生、文化教育、科研、行政办公为主要功能的区域）的项目；</w:t>
                  </w:r>
                </w:p>
                <w:p w14:paraId="1C5178F6">
                  <w:pPr>
                    <w:adjustRightInd w:val="0"/>
                    <w:snapToGrid w:val="0"/>
                    <w:ind w:left="102"/>
                    <w:jc w:val="left"/>
                    <w:rPr>
                      <w:bCs/>
                      <w:color w:val="auto"/>
                      <w:szCs w:val="21"/>
                    </w:rPr>
                  </w:pPr>
                  <w:r>
                    <w:rPr>
                      <w:rFonts w:hint="eastAsia"/>
                      <w:bCs/>
                      <w:color w:val="auto"/>
                      <w:szCs w:val="21"/>
                    </w:rPr>
                    <w:t>城市道路（不含维护，不含支路、人行天桥、人行地道）：全部。</w:t>
                  </w:r>
                </w:p>
              </w:tc>
              <w:tc>
                <w:tcPr>
                  <w:tcW w:w="820" w:type="pct"/>
                  <w:tcBorders>
                    <w:tl2br w:val="nil"/>
                    <w:tr2bl w:val="nil"/>
                  </w:tcBorders>
                  <w:vAlign w:val="center"/>
                </w:tcPr>
                <w:p w14:paraId="7D1B4F6D">
                  <w:pPr>
                    <w:adjustRightInd w:val="0"/>
                    <w:snapToGrid w:val="0"/>
                    <w:jc w:val="center"/>
                    <w:rPr>
                      <w:bCs/>
                      <w:color w:val="auto"/>
                      <w:szCs w:val="21"/>
                    </w:rPr>
                  </w:pPr>
                  <w:r>
                    <w:rPr>
                      <w:rFonts w:hint="eastAsia"/>
                      <w:bCs/>
                      <w:color w:val="auto"/>
                      <w:szCs w:val="21"/>
                    </w:rPr>
                    <w:t>不涉及</w:t>
                  </w:r>
                </w:p>
              </w:tc>
              <w:tc>
                <w:tcPr>
                  <w:tcW w:w="387" w:type="pct"/>
                  <w:tcBorders>
                    <w:tl2br w:val="nil"/>
                    <w:tr2bl w:val="nil"/>
                  </w:tcBorders>
                  <w:vAlign w:val="center"/>
                </w:tcPr>
                <w:p w14:paraId="26686CB3">
                  <w:pPr>
                    <w:adjustRightInd w:val="0"/>
                    <w:snapToGrid w:val="0"/>
                    <w:ind w:left="102"/>
                    <w:jc w:val="center"/>
                    <w:rPr>
                      <w:bCs/>
                      <w:color w:val="auto"/>
                      <w:szCs w:val="21"/>
                    </w:rPr>
                  </w:pPr>
                  <w:r>
                    <w:rPr>
                      <w:rFonts w:hint="eastAsia"/>
                      <w:bCs/>
                      <w:color w:val="auto"/>
                      <w:szCs w:val="21"/>
                    </w:rPr>
                    <w:t>否</w:t>
                  </w:r>
                </w:p>
              </w:tc>
            </w:tr>
            <w:tr w14:paraId="1D35DA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3" w:type="pct"/>
                  <w:tcBorders>
                    <w:tl2br w:val="nil"/>
                    <w:tr2bl w:val="nil"/>
                  </w:tcBorders>
                  <w:vAlign w:val="center"/>
                </w:tcPr>
                <w:p w14:paraId="57B0F337">
                  <w:pPr>
                    <w:adjustRightInd w:val="0"/>
                    <w:snapToGrid w:val="0"/>
                    <w:jc w:val="center"/>
                    <w:rPr>
                      <w:bCs/>
                      <w:color w:val="auto"/>
                      <w:szCs w:val="21"/>
                    </w:rPr>
                  </w:pPr>
                  <w:r>
                    <w:rPr>
                      <w:rFonts w:hint="eastAsia"/>
                      <w:bCs/>
                      <w:color w:val="auto"/>
                      <w:szCs w:val="21"/>
                    </w:rPr>
                    <w:t>环境风险</w:t>
                  </w:r>
                </w:p>
              </w:tc>
              <w:tc>
                <w:tcPr>
                  <w:tcW w:w="3088" w:type="pct"/>
                  <w:tcBorders>
                    <w:tl2br w:val="nil"/>
                    <w:tr2bl w:val="nil"/>
                  </w:tcBorders>
                  <w:vAlign w:val="center"/>
                </w:tcPr>
                <w:p w14:paraId="6D056BE3">
                  <w:pPr>
                    <w:adjustRightInd w:val="0"/>
                    <w:snapToGrid w:val="0"/>
                    <w:ind w:left="102"/>
                    <w:jc w:val="left"/>
                    <w:rPr>
                      <w:bCs/>
                      <w:color w:val="auto"/>
                      <w:szCs w:val="21"/>
                    </w:rPr>
                  </w:pPr>
                  <w:r>
                    <w:rPr>
                      <w:rFonts w:hint="eastAsia"/>
                      <w:bCs/>
                      <w:color w:val="auto"/>
                      <w:szCs w:val="21"/>
                    </w:rPr>
                    <w:t>石油和天然气开采：全部；</w:t>
                  </w:r>
                </w:p>
                <w:p w14:paraId="41B39875">
                  <w:pPr>
                    <w:adjustRightInd w:val="0"/>
                    <w:snapToGrid w:val="0"/>
                    <w:ind w:left="102"/>
                    <w:jc w:val="left"/>
                    <w:rPr>
                      <w:bCs/>
                      <w:color w:val="auto"/>
                      <w:szCs w:val="21"/>
                    </w:rPr>
                  </w:pPr>
                  <w:r>
                    <w:rPr>
                      <w:rFonts w:hint="eastAsia"/>
                      <w:bCs/>
                      <w:color w:val="auto"/>
                      <w:szCs w:val="21"/>
                    </w:rPr>
                    <w:t>油气、液体化工码头：全部；</w:t>
                  </w:r>
                </w:p>
                <w:p w14:paraId="176A913E">
                  <w:pPr>
                    <w:adjustRightInd w:val="0"/>
                    <w:snapToGrid w:val="0"/>
                    <w:ind w:left="102"/>
                    <w:jc w:val="left"/>
                    <w:rPr>
                      <w:bCs/>
                      <w:color w:val="auto"/>
                      <w:szCs w:val="21"/>
                    </w:rPr>
                  </w:pPr>
                  <w:r>
                    <w:rPr>
                      <w:rFonts w:hint="eastAsia"/>
                      <w:bCs/>
                      <w:color w:val="auto"/>
                      <w:szCs w:val="21"/>
                    </w:rPr>
                    <w:t>原油、成品油、天然气管线（不含城镇天然气管线、企业厂区内管线），危险化学品输送管线（不含企业厂区内管线）：全部。</w:t>
                  </w:r>
                </w:p>
              </w:tc>
              <w:tc>
                <w:tcPr>
                  <w:tcW w:w="820" w:type="pct"/>
                  <w:tcBorders>
                    <w:tl2br w:val="nil"/>
                    <w:tr2bl w:val="nil"/>
                  </w:tcBorders>
                  <w:vAlign w:val="center"/>
                </w:tcPr>
                <w:p w14:paraId="4F6CF405">
                  <w:pPr>
                    <w:adjustRightInd w:val="0"/>
                    <w:snapToGrid w:val="0"/>
                    <w:jc w:val="center"/>
                    <w:rPr>
                      <w:bCs/>
                      <w:color w:val="auto"/>
                      <w:szCs w:val="21"/>
                    </w:rPr>
                  </w:pPr>
                  <w:r>
                    <w:rPr>
                      <w:rFonts w:hint="eastAsia"/>
                      <w:bCs/>
                      <w:color w:val="auto"/>
                      <w:szCs w:val="21"/>
                    </w:rPr>
                    <w:t>不涉及</w:t>
                  </w:r>
                </w:p>
              </w:tc>
              <w:tc>
                <w:tcPr>
                  <w:tcW w:w="387" w:type="pct"/>
                  <w:tcBorders>
                    <w:tl2br w:val="nil"/>
                    <w:tr2bl w:val="nil"/>
                  </w:tcBorders>
                  <w:vAlign w:val="center"/>
                </w:tcPr>
                <w:p w14:paraId="478C4CD1">
                  <w:pPr>
                    <w:adjustRightInd w:val="0"/>
                    <w:snapToGrid w:val="0"/>
                    <w:ind w:left="102"/>
                    <w:jc w:val="center"/>
                    <w:rPr>
                      <w:bCs/>
                      <w:color w:val="auto"/>
                      <w:szCs w:val="21"/>
                    </w:rPr>
                  </w:pPr>
                  <w:r>
                    <w:rPr>
                      <w:rFonts w:hint="eastAsia"/>
                      <w:bCs/>
                      <w:color w:val="auto"/>
                      <w:szCs w:val="21"/>
                    </w:rPr>
                    <w:t>否</w:t>
                  </w:r>
                </w:p>
              </w:tc>
            </w:tr>
          </w:tbl>
          <w:p w14:paraId="0A6459CF">
            <w:pPr>
              <w:autoSpaceDE w:val="0"/>
              <w:autoSpaceDN w:val="0"/>
              <w:adjustRightInd w:val="0"/>
              <w:snapToGrid w:val="0"/>
              <w:spacing w:before="120" w:beforeLines="50" w:line="360" w:lineRule="auto"/>
              <w:ind w:firstLine="480" w:firstLineChars="200"/>
              <w:rPr>
                <w:color w:val="auto"/>
                <w:kern w:val="0"/>
                <w:sz w:val="24"/>
              </w:rPr>
            </w:pPr>
            <w:r>
              <w:rPr>
                <w:color w:val="auto"/>
                <w:kern w:val="0"/>
                <w:sz w:val="24"/>
              </w:rPr>
              <w:t>本项目位于</w:t>
            </w:r>
            <w:r>
              <w:rPr>
                <w:rFonts w:hint="eastAsia"/>
                <w:color w:val="auto"/>
                <w:kern w:val="0"/>
                <w:sz w:val="24"/>
              </w:rPr>
              <w:t>四川省巴中市南江县关坝镇</w:t>
            </w:r>
            <w:r>
              <w:rPr>
                <w:color w:val="auto"/>
                <w:kern w:val="0"/>
                <w:sz w:val="24"/>
              </w:rPr>
              <w:t>，</w:t>
            </w:r>
            <w:r>
              <w:rPr>
                <w:rFonts w:hint="eastAsia"/>
                <w:color w:val="auto"/>
                <w:kern w:val="0"/>
                <w:sz w:val="24"/>
              </w:rPr>
              <w:t>为</w:t>
            </w:r>
            <w:r>
              <w:rPr>
                <w:rFonts w:hint="eastAsia"/>
                <w:color w:val="auto"/>
                <w:sz w:val="24"/>
              </w:rPr>
              <w:t>光雾山-诺水河世界地质公园（自然公园）</w:t>
            </w:r>
            <w:r>
              <w:rPr>
                <w:rFonts w:hint="eastAsia"/>
                <w:color w:val="auto"/>
                <w:sz w:val="24"/>
                <w:lang w:eastAsia="zh-CN"/>
              </w:rPr>
              <w:t>综合服务</w:t>
            </w:r>
            <w:r>
              <w:rPr>
                <w:rFonts w:hint="eastAsia"/>
                <w:color w:val="auto"/>
                <w:sz w:val="24"/>
              </w:rPr>
              <w:t>区</w:t>
            </w:r>
            <w:r>
              <w:rPr>
                <w:rFonts w:hint="eastAsia"/>
                <w:color w:val="auto"/>
                <w:kern w:val="0"/>
                <w:sz w:val="24"/>
              </w:rPr>
              <w:t>。</w:t>
            </w:r>
            <w:r>
              <w:rPr>
                <w:color w:val="auto"/>
                <w:kern w:val="0"/>
                <w:sz w:val="24"/>
              </w:rPr>
              <w:t>因此，本次评价</w:t>
            </w:r>
            <w:r>
              <w:rPr>
                <w:rFonts w:hint="eastAsia"/>
                <w:color w:val="auto"/>
                <w:kern w:val="0"/>
                <w:sz w:val="24"/>
              </w:rPr>
              <w:t>需</w:t>
            </w:r>
            <w:r>
              <w:rPr>
                <w:rFonts w:hint="eastAsia"/>
                <w:color w:val="auto"/>
                <w:sz w:val="24"/>
              </w:rPr>
              <w:t>设置生态</w:t>
            </w:r>
            <w:r>
              <w:rPr>
                <w:color w:val="auto"/>
                <w:sz w:val="24"/>
              </w:rPr>
              <w:t>专项评价。</w:t>
            </w:r>
          </w:p>
        </w:tc>
      </w:tr>
      <w:tr w14:paraId="513D5D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878" w:type="dxa"/>
            <w:gridSpan w:val="2"/>
            <w:tcMar>
              <w:top w:w="16" w:type="dxa"/>
              <w:left w:w="16" w:type="dxa"/>
              <w:right w:w="16" w:type="dxa"/>
            </w:tcMar>
            <w:vAlign w:val="center"/>
          </w:tcPr>
          <w:p w14:paraId="08714292">
            <w:pPr>
              <w:autoSpaceDE w:val="0"/>
              <w:autoSpaceDN w:val="0"/>
              <w:adjustRightInd w:val="0"/>
              <w:snapToGrid w:val="0"/>
              <w:jc w:val="center"/>
              <w:rPr>
                <w:color w:val="auto"/>
                <w:kern w:val="0"/>
                <w:sz w:val="24"/>
              </w:rPr>
            </w:pPr>
            <w:r>
              <w:rPr>
                <w:color w:val="auto"/>
                <w:sz w:val="24"/>
              </w:rPr>
              <w:t>规划情况</w:t>
            </w:r>
          </w:p>
        </w:tc>
        <w:tc>
          <w:tcPr>
            <w:tcW w:w="7161" w:type="dxa"/>
            <w:gridSpan w:val="3"/>
            <w:tcMar>
              <w:top w:w="16" w:type="dxa"/>
              <w:left w:w="16" w:type="dxa"/>
              <w:right w:w="16" w:type="dxa"/>
            </w:tcMar>
            <w:vAlign w:val="center"/>
          </w:tcPr>
          <w:p w14:paraId="55362436">
            <w:pPr>
              <w:autoSpaceDE w:val="0"/>
              <w:autoSpaceDN w:val="0"/>
              <w:adjustRightInd w:val="0"/>
              <w:snapToGrid w:val="0"/>
              <w:spacing w:line="360" w:lineRule="auto"/>
              <w:ind w:firstLine="480" w:firstLineChars="200"/>
              <w:jc w:val="both"/>
              <w:rPr>
                <w:rFonts w:hint="eastAsia" w:eastAsia="宋体"/>
                <w:color w:val="auto"/>
                <w:sz w:val="24"/>
                <w:lang w:val="en-US" w:eastAsia="zh-CN"/>
              </w:rPr>
            </w:pPr>
            <w:r>
              <w:rPr>
                <w:rFonts w:hint="eastAsia"/>
                <w:color w:val="auto"/>
                <w:sz w:val="24"/>
                <w:lang w:val="en-US" w:eastAsia="zh-CN"/>
              </w:rPr>
              <w:t>1、规划名称：《光雾山诺水河文旅融合发展示范片区（南江片区）国土空间总体规划（2021-2035年）》</w:t>
            </w:r>
          </w:p>
          <w:p w14:paraId="35940EA8">
            <w:pPr>
              <w:autoSpaceDE w:val="0"/>
              <w:autoSpaceDN w:val="0"/>
              <w:adjustRightInd w:val="0"/>
              <w:snapToGrid w:val="0"/>
              <w:spacing w:line="360" w:lineRule="auto"/>
              <w:ind w:firstLine="480" w:firstLineChars="200"/>
              <w:jc w:val="both"/>
              <w:rPr>
                <w:rFonts w:hint="default" w:eastAsia="宋体"/>
                <w:color w:val="auto"/>
                <w:sz w:val="24"/>
                <w:lang w:val="en-US" w:eastAsia="zh-CN"/>
              </w:rPr>
            </w:pPr>
            <w:r>
              <w:rPr>
                <w:rFonts w:hint="eastAsia"/>
                <w:color w:val="auto"/>
                <w:sz w:val="24"/>
                <w:lang w:val="en-US" w:eastAsia="zh-CN"/>
              </w:rPr>
              <w:t>审批机关：巴中市人民政府</w:t>
            </w:r>
          </w:p>
          <w:p w14:paraId="30450C70">
            <w:pPr>
              <w:autoSpaceDE w:val="0"/>
              <w:autoSpaceDN w:val="0"/>
              <w:adjustRightInd w:val="0"/>
              <w:snapToGrid w:val="0"/>
              <w:spacing w:line="360" w:lineRule="auto"/>
              <w:ind w:firstLine="480" w:firstLineChars="200"/>
              <w:jc w:val="both"/>
              <w:rPr>
                <w:rFonts w:hint="eastAsia"/>
                <w:color w:val="auto"/>
                <w:sz w:val="24"/>
              </w:rPr>
            </w:pPr>
            <w:r>
              <w:rPr>
                <w:rFonts w:hint="eastAsia"/>
                <w:color w:val="auto"/>
                <w:sz w:val="24"/>
                <w:lang w:val="en-US" w:eastAsia="zh-CN"/>
              </w:rPr>
              <w:t>审批文件名称及文号：巴中市人民政府关于《南江县集州生态工业及现代服务业发展片区等6个乡镇级片区国土空间总体规划（2021-2035年）的批复》（巴府函〔2025〕66号）</w:t>
            </w:r>
          </w:p>
          <w:p w14:paraId="6E8F8D2F">
            <w:pPr>
              <w:autoSpaceDE w:val="0"/>
              <w:autoSpaceDN w:val="0"/>
              <w:adjustRightInd w:val="0"/>
              <w:snapToGrid w:val="0"/>
              <w:spacing w:line="360" w:lineRule="auto"/>
              <w:ind w:firstLine="480" w:firstLineChars="200"/>
              <w:jc w:val="left"/>
              <w:rPr>
                <w:color w:val="auto"/>
                <w:sz w:val="24"/>
              </w:rPr>
            </w:pPr>
            <w:r>
              <w:rPr>
                <w:rFonts w:hint="eastAsia"/>
                <w:color w:val="auto"/>
                <w:sz w:val="24"/>
                <w:lang w:val="en-US" w:eastAsia="zh-CN"/>
              </w:rPr>
              <w:t>2、</w:t>
            </w:r>
            <w:r>
              <w:rPr>
                <w:rFonts w:hint="eastAsia"/>
                <w:color w:val="auto"/>
                <w:sz w:val="24"/>
              </w:rPr>
              <w:t>规划名称：《光雾山-诺水河世界地质公园规划（2021—2035年）》</w:t>
            </w:r>
          </w:p>
          <w:p w14:paraId="155BF346">
            <w:pPr>
              <w:autoSpaceDE w:val="0"/>
              <w:autoSpaceDN w:val="0"/>
              <w:adjustRightInd w:val="0"/>
              <w:snapToGrid w:val="0"/>
              <w:spacing w:line="360" w:lineRule="auto"/>
              <w:ind w:firstLine="480" w:firstLineChars="200"/>
              <w:jc w:val="left"/>
              <w:rPr>
                <w:color w:val="auto"/>
                <w:sz w:val="24"/>
              </w:rPr>
            </w:pPr>
            <w:r>
              <w:rPr>
                <w:rFonts w:hint="eastAsia"/>
                <w:color w:val="auto"/>
                <w:sz w:val="24"/>
              </w:rPr>
              <w:t>审批机关：巴中市人民政府</w:t>
            </w:r>
          </w:p>
          <w:p w14:paraId="3FD4B1E0">
            <w:pPr>
              <w:autoSpaceDE w:val="0"/>
              <w:autoSpaceDN w:val="0"/>
              <w:adjustRightInd w:val="0"/>
              <w:snapToGrid w:val="0"/>
              <w:spacing w:line="360" w:lineRule="auto"/>
              <w:ind w:firstLine="480" w:firstLineChars="200"/>
              <w:jc w:val="left"/>
              <w:rPr>
                <w:color w:val="auto"/>
                <w:sz w:val="24"/>
              </w:rPr>
            </w:pPr>
            <w:r>
              <w:rPr>
                <w:rFonts w:hint="eastAsia"/>
                <w:color w:val="auto"/>
                <w:sz w:val="24"/>
              </w:rPr>
              <w:t>审批文件名称及文号：巴中市人民政府关于《光雾山-诺水河世界地质公园规划（2021—2035年）》的批复（巴府函〔2022〕147号）</w:t>
            </w:r>
          </w:p>
        </w:tc>
      </w:tr>
      <w:tr w14:paraId="160AF0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72" w:hRule="atLeast"/>
          <w:jc w:val="center"/>
        </w:trPr>
        <w:tc>
          <w:tcPr>
            <w:tcW w:w="1878" w:type="dxa"/>
            <w:gridSpan w:val="2"/>
            <w:tcMar>
              <w:top w:w="16" w:type="dxa"/>
              <w:left w:w="16" w:type="dxa"/>
              <w:right w:w="16" w:type="dxa"/>
            </w:tcMar>
            <w:vAlign w:val="center"/>
          </w:tcPr>
          <w:p w14:paraId="71E6599F">
            <w:pPr>
              <w:autoSpaceDE w:val="0"/>
              <w:autoSpaceDN w:val="0"/>
              <w:adjustRightInd w:val="0"/>
              <w:snapToGrid w:val="0"/>
              <w:jc w:val="center"/>
              <w:rPr>
                <w:color w:val="auto"/>
                <w:sz w:val="24"/>
              </w:rPr>
            </w:pPr>
            <w:r>
              <w:rPr>
                <w:color w:val="auto"/>
                <w:sz w:val="24"/>
              </w:rPr>
              <w:t>规划环境影响</w:t>
            </w:r>
          </w:p>
          <w:p w14:paraId="30578878">
            <w:pPr>
              <w:autoSpaceDE w:val="0"/>
              <w:autoSpaceDN w:val="0"/>
              <w:adjustRightInd w:val="0"/>
              <w:snapToGrid w:val="0"/>
              <w:jc w:val="center"/>
              <w:rPr>
                <w:color w:val="auto"/>
                <w:kern w:val="0"/>
                <w:sz w:val="24"/>
              </w:rPr>
            </w:pPr>
            <w:r>
              <w:rPr>
                <w:color w:val="auto"/>
                <w:sz w:val="24"/>
              </w:rPr>
              <w:t>评价情况</w:t>
            </w:r>
          </w:p>
        </w:tc>
        <w:tc>
          <w:tcPr>
            <w:tcW w:w="7161" w:type="dxa"/>
            <w:gridSpan w:val="3"/>
            <w:tcMar>
              <w:top w:w="16" w:type="dxa"/>
              <w:left w:w="16" w:type="dxa"/>
              <w:right w:w="16" w:type="dxa"/>
            </w:tcMar>
            <w:vAlign w:val="center"/>
          </w:tcPr>
          <w:p w14:paraId="336E77A8">
            <w:pPr>
              <w:adjustRightInd w:val="0"/>
              <w:snapToGrid w:val="0"/>
              <w:jc w:val="center"/>
              <w:rPr>
                <w:color w:val="auto"/>
                <w:kern w:val="0"/>
                <w:sz w:val="24"/>
              </w:rPr>
            </w:pPr>
            <w:r>
              <w:rPr>
                <w:color w:val="auto"/>
                <w:kern w:val="0"/>
                <w:sz w:val="24"/>
              </w:rPr>
              <w:t>无</w:t>
            </w:r>
          </w:p>
        </w:tc>
      </w:tr>
      <w:tr w14:paraId="2A5CEB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949" w:type="dxa"/>
            <w:tcMar>
              <w:top w:w="16" w:type="dxa"/>
              <w:left w:w="16" w:type="dxa"/>
              <w:right w:w="16" w:type="dxa"/>
            </w:tcMar>
            <w:vAlign w:val="center"/>
          </w:tcPr>
          <w:p w14:paraId="7C0FE5DC">
            <w:pPr>
              <w:autoSpaceDE w:val="0"/>
              <w:autoSpaceDN w:val="0"/>
              <w:adjustRightInd w:val="0"/>
              <w:snapToGrid w:val="0"/>
              <w:jc w:val="center"/>
              <w:rPr>
                <w:color w:val="auto"/>
                <w:kern w:val="0"/>
                <w:sz w:val="24"/>
              </w:rPr>
            </w:pPr>
            <w:r>
              <w:rPr>
                <w:color w:val="auto"/>
                <w:kern w:val="0"/>
                <w:sz w:val="24"/>
              </w:rPr>
              <w:t>规划及</w:t>
            </w:r>
            <w:r>
              <w:rPr>
                <w:color w:val="auto"/>
                <w:sz w:val="24"/>
              </w:rPr>
              <w:t>规划环境影响评价</w:t>
            </w:r>
            <w:r>
              <w:rPr>
                <w:color w:val="auto"/>
                <w:kern w:val="0"/>
                <w:sz w:val="24"/>
              </w:rPr>
              <w:t>符合性分析</w:t>
            </w:r>
          </w:p>
        </w:tc>
        <w:tc>
          <w:tcPr>
            <w:tcW w:w="8090" w:type="dxa"/>
            <w:gridSpan w:val="4"/>
            <w:tcMar>
              <w:top w:w="16" w:type="dxa"/>
              <w:left w:w="16" w:type="dxa"/>
              <w:right w:w="16" w:type="dxa"/>
            </w:tcMar>
            <w:vAlign w:val="center"/>
          </w:tcPr>
          <w:p w14:paraId="52261DD7">
            <w:pPr>
              <w:adjustRightInd w:val="0"/>
              <w:snapToGrid w:val="0"/>
              <w:spacing w:line="360" w:lineRule="auto"/>
              <w:ind w:firstLine="482" w:firstLineChars="200"/>
              <w:rPr>
                <w:rFonts w:hint="default" w:eastAsia="宋体"/>
                <w:b/>
                <w:bCs/>
                <w:color w:val="auto"/>
                <w:sz w:val="24"/>
                <w:lang w:val="en-US" w:eastAsia="zh-CN"/>
              </w:rPr>
            </w:pPr>
            <w:r>
              <w:rPr>
                <w:rFonts w:hint="eastAsia"/>
                <w:b/>
                <w:bCs/>
                <w:color w:val="auto"/>
                <w:sz w:val="24"/>
                <w:lang w:val="en-US" w:eastAsia="zh-CN"/>
              </w:rPr>
              <w:t>一、与光雾山诺水河文旅融合发展示范片区（南江片区）国土空间总体规划（2021-2035年）的规划符合性</w:t>
            </w:r>
          </w:p>
          <w:p w14:paraId="68A5AE8B">
            <w:pPr>
              <w:adjustRightInd w:val="0"/>
              <w:snapToGrid w:val="0"/>
              <w:spacing w:line="360" w:lineRule="auto"/>
              <w:ind w:firstLine="482" w:firstLineChars="200"/>
              <w:rPr>
                <w:rFonts w:hint="eastAsia"/>
                <w:b w:val="0"/>
                <w:bCs w:val="0"/>
                <w:color w:val="auto"/>
                <w:sz w:val="24"/>
                <w:lang w:val="en-US" w:eastAsia="zh-CN"/>
              </w:rPr>
            </w:pPr>
            <w:r>
              <w:rPr>
                <w:rFonts w:hint="eastAsia"/>
                <w:b/>
                <w:bCs/>
                <w:color w:val="auto"/>
                <w:sz w:val="24"/>
                <w:lang w:val="en-US" w:eastAsia="zh-CN"/>
              </w:rPr>
              <w:t>规划基本情况：</w:t>
            </w:r>
            <w:r>
              <w:rPr>
                <w:rFonts w:hint="eastAsia"/>
                <w:b w:val="0"/>
                <w:bCs w:val="0"/>
                <w:color w:val="auto"/>
                <w:sz w:val="24"/>
                <w:lang w:val="en-US" w:eastAsia="zh-CN"/>
              </w:rPr>
              <w:t>光雾山诺水河文旅融合发展示范片区（南江片区）位于川陕交界处、南江县北部，米仓山东段南麓，北连陕西省汉中市南郑区、南邻南江县集州生态工业及现代服务业发展片区（坪河镇、杨坝镇、桥亭镇、赶场镇）、西靠旺苍县、东接通江县。该片区处于川、陕、渝旅游“金三角”地带，G85银昆高速（巴陕段）设有落地互通，国道G244国道穿境而过。</w:t>
            </w:r>
          </w:p>
          <w:p w14:paraId="20BE079F">
            <w:pPr>
              <w:adjustRightInd w:val="0"/>
              <w:snapToGrid w:val="0"/>
              <w:spacing w:line="360" w:lineRule="auto"/>
              <w:ind w:firstLine="480" w:firstLineChars="200"/>
              <w:rPr>
                <w:rFonts w:hint="eastAsia"/>
                <w:b w:val="0"/>
                <w:bCs w:val="0"/>
                <w:color w:val="auto"/>
                <w:sz w:val="24"/>
                <w:lang w:val="en-US" w:eastAsia="zh-CN"/>
              </w:rPr>
            </w:pPr>
            <w:r>
              <w:rPr>
                <w:rFonts w:hint="eastAsia"/>
                <w:b w:val="0"/>
                <w:bCs w:val="0"/>
                <w:color w:val="auto"/>
                <w:sz w:val="24"/>
                <w:lang w:val="en-US" w:eastAsia="zh-CN"/>
              </w:rPr>
              <w:t>该片区内下辖4个乡镇，包括光雾山镇、关坝镇、贵民镇、神门乡，下辖12个社区、28个村庄、5个林场，幅员面积906.20平方千米。户籍人口2.88万人；常住人口1.79万人，其中城镇人口0.23万人，城镇化率为12.8%。境内文旅资源丰富，生态良好，品牌众多。有光雾山国家级风景名胜区、米仓山国家森林公园、光雾山-诺水河世界地质公园、神门省级风景名胜区，以及光雾山5A、米仓山4A级旅游景区。</w:t>
            </w:r>
          </w:p>
          <w:p w14:paraId="4C733C89">
            <w:pPr>
              <w:adjustRightInd w:val="0"/>
              <w:snapToGrid w:val="0"/>
              <w:spacing w:line="360" w:lineRule="auto"/>
              <w:ind w:firstLine="480" w:firstLineChars="200"/>
              <w:rPr>
                <w:rFonts w:hint="eastAsia"/>
                <w:b w:val="0"/>
                <w:bCs w:val="0"/>
                <w:color w:val="auto"/>
                <w:sz w:val="24"/>
                <w:lang w:val="en-US" w:eastAsia="zh-CN"/>
              </w:rPr>
            </w:pPr>
            <w:r>
              <w:rPr>
                <w:rFonts w:hint="eastAsia"/>
                <w:b w:val="0"/>
                <w:bCs w:val="0"/>
                <w:color w:val="auto"/>
                <w:sz w:val="24"/>
                <w:lang w:val="en-US" w:eastAsia="zh-CN"/>
              </w:rPr>
              <w:t>光雾山诺水河文旅融合发展示范片区（南江片区）土地总面积为90619.97公顷，其中耕地面积3414.50公顷，园地面积732.28公顷，林地面积83484.62公顷，草地面积62.61公顷，湿地面积40.85公顷，农业设施建设用地面积205.31公顷，城乡建设用地面积701.87公顷（城镇用地47.37公顷，村庄用地654.50公顷），区域基础设施建设用地面积331.69公顷，其他建设用地面积43.94公顷，陆地水域面积788.68公顷，其他土地面积813.60公顷。</w:t>
            </w:r>
          </w:p>
          <w:p w14:paraId="05DF03AA">
            <w:pPr>
              <w:adjustRightInd w:val="0"/>
              <w:snapToGrid w:val="0"/>
              <w:spacing w:line="360" w:lineRule="auto"/>
              <w:ind w:firstLine="482" w:firstLineChars="200"/>
              <w:rPr>
                <w:rFonts w:hint="eastAsia"/>
                <w:b w:val="0"/>
                <w:bCs w:val="0"/>
                <w:color w:val="auto"/>
                <w:sz w:val="24"/>
                <w:highlight w:val="none"/>
                <w:lang w:val="en-US" w:eastAsia="zh-CN"/>
              </w:rPr>
            </w:pPr>
            <w:r>
              <w:rPr>
                <w:rFonts w:hint="eastAsia"/>
                <w:b/>
                <w:bCs/>
                <w:color w:val="auto"/>
                <w:sz w:val="24"/>
                <w:highlight w:val="none"/>
                <w:lang w:val="en-US" w:eastAsia="zh-CN"/>
              </w:rPr>
              <w:t>发展定位：</w:t>
            </w:r>
            <w:r>
              <w:rPr>
                <w:rFonts w:hint="eastAsia"/>
                <w:b w:val="0"/>
                <w:bCs w:val="0"/>
                <w:color w:val="auto"/>
                <w:sz w:val="24"/>
                <w:highlight w:val="none"/>
                <w:lang w:val="en-US" w:eastAsia="zh-CN"/>
              </w:rPr>
              <w:t>规划立足区位优势和资源禀赋，加强功能协作和服务配套，围绕文旅示范区“一区三地”的战略定位，加快建设文化和产业融合发展示范区、“两山”理论创新实践高地、国际休闲旅游目的地、中国内陆全龄康养胜地。统筹研究确定光雾山诺水河文旅融合发展示范片区（南江片区）的功能定位为：以光雾山-米仓山观光康养、神门-贵民体旅融合为特色的大光雾山文旅融合发展示范区。规划确定“中心镇—一般（乡）镇—中心村—一般村"的四级镇村体系，其中关坝镇为中心镇，承担文旅示范区的综合服务、旅游交通集散的功能；光雾山镇、贵民镇、神门乡为一般（乡）镇；关坝镇的小田村、玉泉村，光雾山镇的槐树社区、桃园社区、普陀村，贵民镇的新立社区、三园村，神门乡的咸丰村等8个村庄为中心村；其余村庄、社区为一般村。</w:t>
            </w:r>
          </w:p>
          <w:p w14:paraId="2A695D45">
            <w:pPr>
              <w:adjustRightInd w:val="0"/>
              <w:snapToGrid w:val="0"/>
              <w:spacing w:line="360" w:lineRule="auto"/>
              <w:ind w:firstLine="480" w:firstLineChars="200"/>
              <w:rPr>
                <w:rFonts w:hint="eastAsia"/>
                <w:b w:val="0"/>
                <w:bCs w:val="0"/>
                <w:color w:val="auto"/>
                <w:sz w:val="24"/>
                <w:highlight w:val="none"/>
                <w:lang w:val="en-US" w:eastAsia="zh-CN"/>
              </w:rPr>
            </w:pPr>
            <w:r>
              <w:rPr>
                <w:rFonts w:hint="eastAsia"/>
                <w:b w:val="0"/>
                <w:bCs w:val="0"/>
                <w:color w:val="auto"/>
                <w:sz w:val="24"/>
                <w:highlight w:val="none"/>
                <w:lang w:val="en-US" w:eastAsia="zh-CN"/>
              </w:rPr>
              <w:t>关坝镇镇区定位为旅游综合服务为主的</w:t>
            </w:r>
            <w:r>
              <w:rPr>
                <w:rFonts w:hint="eastAsia"/>
                <w:b w:val="0"/>
                <w:bCs w:val="0"/>
                <w:color w:val="auto"/>
                <w:sz w:val="24"/>
                <w:lang w:val="en-US" w:eastAsia="zh-CN"/>
              </w:rPr>
              <w:t>光雾山诺水河文旅融合发展示范片区（南江片区）</w:t>
            </w:r>
            <w:r>
              <w:rPr>
                <w:rFonts w:hint="eastAsia"/>
                <w:b w:val="0"/>
                <w:bCs w:val="0"/>
                <w:color w:val="auto"/>
                <w:sz w:val="24"/>
                <w:highlight w:val="none"/>
                <w:lang w:val="en-US" w:eastAsia="zh-CN"/>
              </w:rPr>
              <w:t>中心镇。关坝镇是片区主要到达入口，也是全域交通集散枢纽之一。依托旅游集散枢纽功能，以秦巴资源展示、大型会议研讨、旅游集散、商业购物、旅游住宿等功能业态为核心，拟建设秦巴地区面向世界的“秦巴之窗”。配合片区发展，适时建设关坝会议中心、展示中心、新区规划展览馆、中国气候科技馆、米仓蜀道历史博物馆等重点会议展览和互动体验、科普展示空间；谋划川陕驿站露营地，建设可承载大型演艺活动的米仓文化演艺中心。同步打造数字媒体、影视动漫、智慧文旅研发等内容的文创街区，成为片区未来文化产业的动力引擎。依托关坝集镇建设，谋划含购物、餐饮、酒吧等设施的特色商业街，以及体现米仓户外运动特色的户外运动商品城，户外运动商品专卖店，户外运动体验店等；以特色美食、酒店民宿、民俗文化体验活动为特色的烟火集市；以秦巴特色农产品商贸为特色的绿色食品贸易中心，绿色食品展示、贸易中心、电商中心、物流数据中心、特色农产品商店、工坊体验店等，打造一站式的特产购物公园。</w:t>
            </w:r>
          </w:p>
          <w:p w14:paraId="117FBC62">
            <w:pPr>
              <w:adjustRightInd w:val="0"/>
              <w:snapToGrid w:val="0"/>
              <w:spacing w:line="360" w:lineRule="auto"/>
              <w:ind w:firstLine="482" w:firstLineChars="200"/>
              <w:rPr>
                <w:rFonts w:hint="default" w:eastAsia="宋体"/>
                <w:b/>
                <w:bCs/>
                <w:color w:val="auto"/>
                <w:sz w:val="24"/>
                <w:lang w:val="en-US" w:eastAsia="zh-CN"/>
              </w:rPr>
            </w:pPr>
            <w:r>
              <w:rPr>
                <w:rFonts w:hint="eastAsia"/>
                <w:b/>
                <w:bCs/>
                <w:color w:val="auto"/>
                <w:sz w:val="24"/>
                <w:lang w:val="en-US" w:eastAsia="zh-CN"/>
              </w:rPr>
              <w:t>本项</w:t>
            </w:r>
            <w:r>
              <w:rPr>
                <w:rFonts w:hint="eastAsia"/>
                <w:b/>
                <w:bCs/>
                <w:color w:val="auto"/>
                <w:sz w:val="24"/>
                <w:highlight w:val="none"/>
                <w:lang w:val="en-US" w:eastAsia="zh-CN"/>
              </w:rPr>
              <w:t>目位于</w:t>
            </w:r>
            <w:r>
              <w:rPr>
                <w:rFonts w:hint="eastAsia"/>
                <w:b/>
                <w:bCs/>
                <w:color w:val="auto"/>
                <w:sz w:val="24"/>
                <w:lang w:val="en-US" w:eastAsia="zh-CN"/>
              </w:rPr>
              <w:t>关坝镇，属于光</w:t>
            </w:r>
            <w:r>
              <w:rPr>
                <w:rFonts w:hint="eastAsia"/>
                <w:b/>
                <w:bCs/>
                <w:color w:val="auto"/>
                <w:sz w:val="24"/>
                <w:highlight w:val="none"/>
                <w:lang w:val="en-US" w:eastAsia="zh-CN"/>
              </w:rPr>
              <w:t>雾山诺水河文旅融合发展示范片区（南江片区）国土空间总体规划中的关坝镇范围，项目</w:t>
            </w:r>
            <w:r>
              <w:rPr>
                <w:rFonts w:hint="eastAsia"/>
                <w:b/>
                <w:bCs/>
                <w:color w:val="auto"/>
                <w:sz w:val="24"/>
                <w:lang w:val="en-US" w:eastAsia="zh-CN"/>
              </w:rPr>
              <w:t>主要进行关坝镇保障性租赁住房建设，有利于缓解文旅新区南江片区发展带来的新市民、青年人等住房困难群体的阶段性住房问题，促进当地旅游业发展，符合光雾山诺水河文旅融合发展示范片区（南江片区）国土空间总体规划要求。</w:t>
            </w:r>
          </w:p>
          <w:p w14:paraId="3C824319">
            <w:pPr>
              <w:adjustRightInd w:val="0"/>
              <w:snapToGrid w:val="0"/>
              <w:spacing w:line="360" w:lineRule="auto"/>
              <w:ind w:firstLine="482" w:firstLineChars="200"/>
              <w:rPr>
                <w:rFonts w:hint="eastAsia" w:eastAsia="宋体"/>
                <w:b/>
                <w:bCs/>
                <w:color w:val="auto"/>
                <w:sz w:val="24"/>
                <w:lang w:eastAsia="zh-CN"/>
              </w:rPr>
            </w:pPr>
            <w:r>
              <w:rPr>
                <w:rFonts w:hint="eastAsia"/>
                <w:b/>
                <w:bCs/>
                <w:color w:val="auto"/>
                <w:sz w:val="24"/>
                <w:lang w:eastAsia="zh-CN"/>
              </w:rPr>
              <w:t>二、</w:t>
            </w:r>
            <w:r>
              <w:rPr>
                <w:rFonts w:hint="eastAsia"/>
                <w:b/>
                <w:bCs/>
                <w:color w:val="auto"/>
                <w:sz w:val="24"/>
                <w:lang w:val="en-US" w:eastAsia="zh-CN"/>
              </w:rPr>
              <w:t>与</w:t>
            </w:r>
            <w:r>
              <w:rPr>
                <w:rFonts w:hint="eastAsia"/>
                <w:b/>
                <w:bCs/>
                <w:color w:val="auto"/>
                <w:sz w:val="24"/>
              </w:rPr>
              <w:t>《光雾山-诺水河世界地质公园规划（2021—2035年）》</w:t>
            </w:r>
            <w:r>
              <w:rPr>
                <w:rFonts w:hint="eastAsia"/>
                <w:b/>
                <w:bCs/>
                <w:color w:val="auto"/>
                <w:sz w:val="24"/>
                <w:lang w:val="en-US" w:eastAsia="zh-CN"/>
              </w:rPr>
              <w:t>符合性分析</w:t>
            </w:r>
          </w:p>
          <w:p w14:paraId="1ABD0E59">
            <w:pPr>
              <w:adjustRightInd w:val="0"/>
              <w:snapToGrid w:val="0"/>
              <w:spacing w:line="360" w:lineRule="auto"/>
              <w:ind w:firstLine="482" w:firstLineChars="200"/>
              <w:rPr>
                <w:b/>
                <w:bCs/>
                <w:color w:val="auto"/>
                <w:sz w:val="24"/>
              </w:rPr>
            </w:pPr>
            <w:r>
              <w:rPr>
                <w:rFonts w:hint="eastAsia"/>
                <w:b/>
                <w:bCs/>
                <w:color w:val="auto"/>
                <w:sz w:val="24"/>
              </w:rPr>
              <w:t>（一）光雾山-诺水河世界地质公园范围与面积</w:t>
            </w:r>
          </w:p>
          <w:p w14:paraId="56FA8133">
            <w:pPr>
              <w:adjustRightInd w:val="0"/>
              <w:snapToGrid w:val="0"/>
              <w:spacing w:line="360" w:lineRule="auto"/>
              <w:ind w:firstLine="480" w:firstLineChars="200"/>
              <w:rPr>
                <w:rFonts w:ascii="Times New Roman" w:hAnsi="Times New Roman" w:eastAsia="宋体" w:cs="Times New Roman"/>
                <w:color w:val="auto"/>
                <w:sz w:val="24"/>
              </w:rPr>
            </w:pPr>
            <w:r>
              <w:rPr>
                <w:rFonts w:ascii="Times New Roman" w:hAnsi="Times New Roman" w:eastAsia="宋体" w:cs="Times New Roman"/>
                <w:color w:val="auto"/>
                <w:sz w:val="24"/>
              </w:rPr>
              <w:t>2006年12月，原四川省国土资源厅（川国土资函〔2006〕1246号）批准南江光雾山、通江诺水河为省级地质公园</w:t>
            </w:r>
            <w:r>
              <w:rPr>
                <w:rFonts w:hint="eastAsia" w:ascii="Times New Roman" w:hAnsi="Times New Roman" w:eastAsia="宋体" w:cs="Times New Roman"/>
                <w:color w:val="auto"/>
                <w:sz w:val="24"/>
              </w:rPr>
              <w:t>；</w:t>
            </w:r>
            <w:r>
              <w:rPr>
                <w:rFonts w:ascii="Times New Roman" w:hAnsi="Times New Roman" w:eastAsia="宋体" w:cs="Times New Roman"/>
                <w:color w:val="auto"/>
                <w:sz w:val="24"/>
              </w:rPr>
              <w:t>2009年，原国土资源部授予四川光雾山-诺水河国家地质公园资格（国土资发〔2009〕110号）。2018年4月，联合国教科文执行局第204次会议，光雾山-诺水河地质公园被正式批准加入联合国教科文组织世界地质公园</w:t>
            </w:r>
            <w:r>
              <w:rPr>
                <w:rFonts w:hint="eastAsia" w:ascii="Times New Roman" w:hAnsi="Times New Roman" w:eastAsia="宋体" w:cs="Times New Roman"/>
                <w:color w:val="auto"/>
                <w:sz w:val="24"/>
                <w:lang w:eastAsia="zh-CN"/>
              </w:rPr>
              <w:t>。</w:t>
            </w:r>
          </w:p>
          <w:p w14:paraId="076B7F13">
            <w:pPr>
              <w:adjustRightInd w:val="0"/>
              <w:snapToGrid w:val="0"/>
              <w:spacing w:line="360" w:lineRule="auto"/>
              <w:ind w:firstLine="480" w:firstLineChars="200"/>
              <w:rPr>
                <w:color w:val="auto"/>
                <w:sz w:val="24"/>
              </w:rPr>
            </w:pPr>
            <w:r>
              <w:rPr>
                <w:rFonts w:ascii="Times New Roman" w:hAnsi="Times New Roman" w:eastAsia="宋体" w:cs="Times New Roman"/>
                <w:color w:val="auto"/>
                <w:sz w:val="24"/>
              </w:rPr>
              <w:t>光</w:t>
            </w:r>
            <w:r>
              <w:rPr>
                <w:color w:val="auto"/>
                <w:sz w:val="24"/>
              </w:rPr>
              <w:t>雾山-诺水河世界地质公园地处中国南北地质、地理过渡带；位于秦岭南坡</w:t>
            </w:r>
            <w:r>
              <w:rPr>
                <w:color w:val="auto"/>
                <w:sz w:val="24"/>
                <w:szCs w:val="18"/>
              </w:rPr>
              <w:t>四川省巴中市南江县（光雾山园区）、通江县（诺水河园区）境内</w:t>
            </w:r>
            <w:r>
              <w:rPr>
                <w:color w:val="auto"/>
                <w:sz w:val="24"/>
              </w:rPr>
              <w:t>，含巴中市光雾山诺水河文旅融合发展示范区（下文简称：文旅新区）大部分区域。地理坐标：东经：106°38′11.01″～107°26′06.67″，北纬：32°18′41.74″～32°44′31.25″。海拔高度：480～2507m</w:t>
            </w:r>
            <w:r>
              <w:rPr>
                <w:rFonts w:hint="eastAsia"/>
                <w:color w:val="auto"/>
                <w:sz w:val="24"/>
              </w:rPr>
              <w:t>。</w:t>
            </w:r>
          </w:p>
          <w:p w14:paraId="2F9C7A8B">
            <w:pPr>
              <w:adjustRightInd w:val="0"/>
              <w:snapToGrid w:val="0"/>
              <w:spacing w:line="360" w:lineRule="auto"/>
              <w:ind w:firstLine="480" w:firstLineChars="200"/>
              <w:rPr>
                <w:color w:val="auto"/>
                <w:sz w:val="24"/>
              </w:rPr>
            </w:pPr>
            <w:r>
              <w:rPr>
                <w:color w:val="auto"/>
                <w:sz w:val="24"/>
              </w:rPr>
              <w:t>公园范围北以与陕西省界为边界，西以与旺苍县界为边界，东以大通江为边界，南以地质遗迹展布和主要的山脊沟谷为边界，即沿临江寺‐铁厂河‐黄泥坝‐尖峰顶‐金场坝一线，由209个边界拐点圈闭形成，面积1818km</w:t>
            </w:r>
            <w:r>
              <w:rPr>
                <w:color w:val="auto"/>
                <w:sz w:val="24"/>
                <w:vertAlign w:val="superscript"/>
              </w:rPr>
              <w:t>2</w:t>
            </w:r>
            <w:r>
              <w:rPr>
                <w:color w:val="auto"/>
                <w:sz w:val="24"/>
              </w:rPr>
              <w:t>，其中，属南江县面积1376km</w:t>
            </w:r>
            <w:r>
              <w:rPr>
                <w:color w:val="auto"/>
                <w:sz w:val="24"/>
                <w:vertAlign w:val="superscript"/>
              </w:rPr>
              <w:t>2</w:t>
            </w:r>
            <w:r>
              <w:rPr>
                <w:color w:val="auto"/>
                <w:sz w:val="24"/>
              </w:rPr>
              <w:t>、通江县面积442km</w:t>
            </w:r>
            <w:r>
              <w:rPr>
                <w:color w:val="auto"/>
                <w:sz w:val="24"/>
                <w:vertAlign w:val="superscript"/>
              </w:rPr>
              <w:t>2</w:t>
            </w:r>
            <w:r>
              <w:rPr>
                <w:color w:val="auto"/>
                <w:sz w:val="24"/>
              </w:rPr>
              <w:t>。文旅新区在公园分布面积1334km</w:t>
            </w:r>
            <w:r>
              <w:rPr>
                <w:color w:val="auto"/>
                <w:sz w:val="24"/>
                <w:vertAlign w:val="superscript"/>
              </w:rPr>
              <w:t>2</w:t>
            </w:r>
            <w:r>
              <w:rPr>
                <w:color w:val="auto"/>
                <w:sz w:val="24"/>
              </w:rPr>
              <w:t>。</w:t>
            </w:r>
          </w:p>
          <w:p w14:paraId="028CF438">
            <w:pPr>
              <w:adjustRightInd w:val="0"/>
              <w:snapToGrid w:val="0"/>
              <w:spacing w:line="360" w:lineRule="auto"/>
              <w:ind w:firstLine="482" w:firstLineChars="200"/>
              <w:rPr>
                <w:b/>
                <w:bCs/>
                <w:color w:val="auto"/>
                <w:sz w:val="24"/>
              </w:rPr>
            </w:pPr>
            <w:r>
              <w:rPr>
                <w:rFonts w:hint="eastAsia"/>
                <w:b/>
                <w:bCs/>
                <w:color w:val="auto"/>
                <w:sz w:val="24"/>
              </w:rPr>
              <w:t>（二）总体布局</w:t>
            </w:r>
          </w:p>
          <w:p w14:paraId="6205884B">
            <w:pPr>
              <w:adjustRightInd w:val="0"/>
              <w:snapToGrid w:val="0"/>
              <w:spacing w:line="360" w:lineRule="auto"/>
              <w:ind w:firstLine="482" w:firstLineChars="200"/>
              <w:rPr>
                <w:b/>
                <w:bCs/>
                <w:color w:val="auto"/>
                <w:sz w:val="24"/>
              </w:rPr>
            </w:pPr>
            <w:r>
              <w:rPr>
                <w:rFonts w:hint="eastAsia"/>
                <w:b/>
                <w:bCs/>
                <w:color w:val="auto"/>
                <w:sz w:val="24"/>
              </w:rPr>
              <w:t>1、地质遗迹分布形态</w:t>
            </w:r>
          </w:p>
          <w:p w14:paraId="45D8299D">
            <w:pPr>
              <w:adjustRightInd w:val="0"/>
              <w:snapToGrid w:val="0"/>
              <w:spacing w:line="360" w:lineRule="auto"/>
              <w:ind w:firstLine="480" w:firstLineChars="200"/>
              <w:rPr>
                <w:color w:val="auto"/>
                <w:sz w:val="24"/>
              </w:rPr>
            </w:pPr>
            <w:r>
              <w:rPr>
                <w:rFonts w:hint="eastAsia"/>
                <w:color w:val="auto"/>
                <w:sz w:val="24"/>
              </w:rPr>
              <w:t>沿焦家河、韩溪河、农林河、十八月潭、小巫峡、神门、诺水河、临江河、空山天盆呈带状分布。</w:t>
            </w:r>
          </w:p>
          <w:p w14:paraId="084A23CE">
            <w:pPr>
              <w:adjustRightInd w:val="0"/>
              <w:snapToGrid w:val="0"/>
              <w:spacing w:line="360" w:lineRule="auto"/>
              <w:ind w:firstLine="482" w:firstLineChars="200"/>
              <w:rPr>
                <w:b/>
                <w:bCs/>
                <w:color w:val="auto"/>
                <w:sz w:val="24"/>
              </w:rPr>
            </w:pPr>
            <w:r>
              <w:rPr>
                <w:rFonts w:hint="eastAsia"/>
                <w:b/>
                <w:bCs/>
                <w:color w:val="auto"/>
                <w:sz w:val="24"/>
              </w:rPr>
              <w:t>2、空间布局</w:t>
            </w:r>
          </w:p>
          <w:p w14:paraId="7EABC949">
            <w:pPr>
              <w:adjustRightInd w:val="0"/>
              <w:snapToGrid w:val="0"/>
              <w:spacing w:line="360" w:lineRule="auto"/>
              <w:ind w:firstLine="480" w:firstLineChars="200"/>
              <w:rPr>
                <w:color w:val="auto"/>
                <w:sz w:val="24"/>
              </w:rPr>
            </w:pPr>
            <w:r>
              <w:rPr>
                <w:rFonts w:hint="eastAsia"/>
                <w:color w:val="auto"/>
                <w:sz w:val="24"/>
              </w:rPr>
              <w:t>根据资源的自然组合分布状况，结合行政区划和便于管理，将公园划为相对独立的园区及旅游景区，构成公园相互联系的“11227”总体空间布局，即：“一轴一环两园两心七区”：</w:t>
            </w:r>
          </w:p>
          <w:p w14:paraId="6D4A296A">
            <w:pPr>
              <w:adjustRightInd w:val="0"/>
              <w:snapToGrid w:val="0"/>
              <w:spacing w:line="360" w:lineRule="auto"/>
              <w:ind w:firstLine="480" w:firstLineChars="200"/>
              <w:rPr>
                <w:color w:val="auto"/>
                <w:sz w:val="24"/>
              </w:rPr>
            </w:pPr>
            <w:r>
              <w:rPr>
                <w:rFonts w:hint="eastAsia"/>
                <w:color w:val="auto"/>
                <w:sz w:val="24"/>
              </w:rPr>
              <w:t>一轴：“空山天盆—临江丽峡—诺水洞天—神门洞—陈家山—桃园—蜀门秦关”米仓大道游览主轴（S408（或空山天盆至临江丽峡乡道）—S204—S301—米仓大道—G244）；</w:t>
            </w:r>
          </w:p>
          <w:p w14:paraId="3A3F6C6B">
            <w:pPr>
              <w:adjustRightInd w:val="0"/>
              <w:snapToGrid w:val="0"/>
              <w:spacing w:line="360" w:lineRule="auto"/>
              <w:ind w:firstLine="480" w:firstLineChars="200"/>
              <w:rPr>
                <w:color w:val="auto"/>
                <w:sz w:val="24"/>
              </w:rPr>
            </w:pPr>
            <w:r>
              <w:rPr>
                <w:rFonts w:hint="eastAsia"/>
                <w:color w:val="auto"/>
                <w:sz w:val="24"/>
              </w:rPr>
              <w:t>一环：“神门洞—香炉山—大小兰沟—天然画廊—燕子岭峰丛—太极天坑—十八月潭—小巫峡—神门洞”光雾山游览环线（S301—关坝至香炉山乡道—大坝至铁炉坝旅游道路—G244—S301—G244—陈家山至十八月潭旅游公路—XY31—G244—S408—XY12—S301）；</w:t>
            </w:r>
          </w:p>
          <w:p w14:paraId="21D14A84">
            <w:pPr>
              <w:adjustRightInd w:val="0"/>
              <w:snapToGrid w:val="0"/>
              <w:spacing w:line="360" w:lineRule="auto"/>
              <w:ind w:firstLine="480" w:firstLineChars="200"/>
              <w:rPr>
                <w:color w:val="auto"/>
                <w:sz w:val="24"/>
              </w:rPr>
            </w:pPr>
            <w:r>
              <w:rPr>
                <w:rFonts w:hint="eastAsia"/>
                <w:color w:val="auto"/>
                <w:sz w:val="24"/>
              </w:rPr>
              <w:t>两园：光雾山园区、诺水河园区；</w:t>
            </w:r>
          </w:p>
          <w:p w14:paraId="0759B0AB">
            <w:pPr>
              <w:adjustRightInd w:val="0"/>
              <w:snapToGrid w:val="0"/>
              <w:spacing w:line="360" w:lineRule="auto"/>
              <w:ind w:firstLine="480" w:firstLineChars="200"/>
              <w:rPr>
                <w:color w:val="auto"/>
                <w:sz w:val="24"/>
              </w:rPr>
            </w:pPr>
            <w:r>
              <w:rPr>
                <w:rFonts w:hint="eastAsia"/>
                <w:color w:val="auto"/>
                <w:sz w:val="24"/>
              </w:rPr>
              <w:t>两心：一主核心，铁炉坝光雾山-诺水河世界地质公园博物馆、主碑；一副核心，楼子诺水河地质博物馆、副碑；</w:t>
            </w:r>
          </w:p>
          <w:p w14:paraId="28460258">
            <w:pPr>
              <w:adjustRightInd w:val="0"/>
              <w:snapToGrid w:val="0"/>
              <w:spacing w:line="360" w:lineRule="auto"/>
              <w:ind w:firstLine="480" w:firstLineChars="200"/>
              <w:rPr>
                <w:color w:val="auto"/>
                <w:sz w:val="24"/>
              </w:rPr>
            </w:pPr>
            <w:r>
              <w:rPr>
                <w:rFonts w:hint="eastAsia"/>
                <w:color w:val="auto"/>
                <w:sz w:val="24"/>
              </w:rPr>
              <w:t>七区：光雾山旅游景区、米仓山旅游景区、十八月潭旅游景区、神门旅游景区、诺水洞天旅游景区、临江丽峡旅游景区、空山天盆旅游景区。</w:t>
            </w:r>
          </w:p>
          <w:p w14:paraId="471A19AA">
            <w:pPr>
              <w:adjustRightInd w:val="0"/>
              <w:snapToGrid w:val="0"/>
              <w:spacing w:line="360" w:lineRule="auto"/>
              <w:ind w:firstLine="482" w:firstLineChars="200"/>
              <w:rPr>
                <w:b/>
                <w:bCs/>
                <w:color w:val="auto"/>
                <w:sz w:val="24"/>
              </w:rPr>
            </w:pPr>
            <w:r>
              <w:rPr>
                <w:rFonts w:hint="eastAsia"/>
                <w:b/>
                <w:bCs/>
                <w:color w:val="auto"/>
                <w:sz w:val="24"/>
              </w:rPr>
              <w:t>（三）功能区划分</w:t>
            </w:r>
          </w:p>
          <w:p w14:paraId="2260B035">
            <w:pPr>
              <w:adjustRightInd w:val="0"/>
              <w:snapToGrid w:val="0"/>
              <w:spacing w:line="360" w:lineRule="auto"/>
              <w:ind w:firstLine="480" w:firstLineChars="200"/>
              <w:rPr>
                <w:color w:val="auto"/>
                <w:sz w:val="24"/>
              </w:rPr>
            </w:pPr>
            <w:r>
              <w:rPr>
                <w:color w:val="auto"/>
                <w:sz w:val="24"/>
              </w:rPr>
              <w:t>公园规划为7类不同的功能区域：地质遗迹景观区、人文景观区、</w:t>
            </w:r>
            <w:r>
              <w:rPr>
                <w:rFonts w:hint="eastAsia"/>
                <w:color w:val="auto"/>
                <w:sz w:val="24"/>
              </w:rPr>
              <w:t>综合服务区</w:t>
            </w:r>
            <w:r>
              <w:rPr>
                <w:color w:val="auto"/>
                <w:sz w:val="24"/>
              </w:rPr>
              <w:t>、居民点保留区、矿业遗迹展示区</w:t>
            </w:r>
            <w:r>
              <w:rPr>
                <w:rFonts w:hint="eastAsia"/>
                <w:color w:val="auto"/>
                <w:sz w:val="24"/>
              </w:rPr>
              <w:t>、康养体验区和</w:t>
            </w:r>
            <w:r>
              <w:rPr>
                <w:color w:val="auto"/>
                <w:sz w:val="24"/>
              </w:rPr>
              <w:t>自然生态区。</w:t>
            </w:r>
          </w:p>
          <w:p w14:paraId="37C4670D">
            <w:pPr>
              <w:snapToGrid w:val="0"/>
              <w:spacing w:line="360" w:lineRule="auto"/>
              <w:ind w:firstLine="482" w:firstLineChars="200"/>
              <w:rPr>
                <w:b/>
                <w:color w:val="auto"/>
                <w:sz w:val="24"/>
              </w:rPr>
            </w:pPr>
            <w:r>
              <w:rPr>
                <w:rFonts w:hint="eastAsia"/>
                <w:b/>
                <w:color w:val="auto"/>
                <w:sz w:val="24"/>
              </w:rPr>
              <w:t>1、</w:t>
            </w:r>
            <w:r>
              <w:rPr>
                <w:b/>
                <w:color w:val="auto"/>
                <w:sz w:val="24"/>
              </w:rPr>
              <w:t>地质遗迹景观区</w:t>
            </w:r>
          </w:p>
          <w:p w14:paraId="1460269B">
            <w:pPr>
              <w:snapToGrid w:val="0"/>
              <w:spacing w:line="360" w:lineRule="auto"/>
              <w:ind w:firstLine="480" w:firstLineChars="200"/>
              <w:rPr>
                <w:color w:val="auto"/>
                <w:sz w:val="24"/>
              </w:rPr>
            </w:pPr>
            <w:r>
              <w:rPr>
                <w:color w:val="auto"/>
                <w:sz w:val="24"/>
              </w:rPr>
              <w:t>根据公园内地质遗迹的展布情况、地质遗迹的珍稀程度，共划有11个地质遗迹景观区，面积245.03km</w:t>
            </w:r>
            <w:r>
              <w:rPr>
                <w:color w:val="auto"/>
                <w:sz w:val="24"/>
                <w:vertAlign w:val="superscript"/>
              </w:rPr>
              <w:t>2</w:t>
            </w:r>
            <w:r>
              <w:rPr>
                <w:color w:val="auto"/>
                <w:sz w:val="24"/>
              </w:rPr>
              <w:t>，占公园面积约13.48%。分别为：万字格地质遗迹景观区（D</w:t>
            </w:r>
            <w:r>
              <w:rPr>
                <w:color w:val="auto"/>
                <w:sz w:val="24"/>
                <w:vertAlign w:val="subscript"/>
              </w:rPr>
              <w:t>1</w:t>
            </w:r>
            <w:r>
              <w:rPr>
                <w:color w:val="auto"/>
                <w:sz w:val="24"/>
              </w:rPr>
              <w:t>）</w:t>
            </w:r>
            <w:r>
              <w:rPr>
                <w:rFonts w:hint="eastAsia"/>
                <w:color w:val="auto"/>
                <w:sz w:val="24"/>
              </w:rPr>
              <w:t>、焦家河</w:t>
            </w:r>
            <w:r>
              <w:rPr>
                <w:color w:val="auto"/>
                <w:sz w:val="24"/>
              </w:rPr>
              <w:t>地质遗迹景观区（D</w:t>
            </w:r>
            <w:r>
              <w:rPr>
                <w:color w:val="auto"/>
                <w:sz w:val="24"/>
                <w:vertAlign w:val="subscript"/>
              </w:rPr>
              <w:t>2</w:t>
            </w:r>
            <w:r>
              <w:rPr>
                <w:color w:val="auto"/>
                <w:sz w:val="24"/>
              </w:rPr>
              <w:t>）</w:t>
            </w:r>
            <w:r>
              <w:rPr>
                <w:rFonts w:hint="eastAsia"/>
                <w:color w:val="auto"/>
                <w:sz w:val="24"/>
              </w:rPr>
              <w:t>、</w:t>
            </w:r>
            <w:r>
              <w:rPr>
                <w:color w:val="auto"/>
                <w:sz w:val="24"/>
              </w:rPr>
              <w:t>贾郭山地质遗迹景观区（D</w:t>
            </w:r>
            <w:r>
              <w:rPr>
                <w:color w:val="auto"/>
                <w:sz w:val="24"/>
                <w:vertAlign w:val="subscript"/>
              </w:rPr>
              <w:t>3</w:t>
            </w:r>
            <w:r>
              <w:rPr>
                <w:color w:val="auto"/>
                <w:sz w:val="24"/>
              </w:rPr>
              <w:t>）</w:t>
            </w:r>
            <w:r>
              <w:rPr>
                <w:rFonts w:hint="eastAsia"/>
                <w:color w:val="auto"/>
                <w:sz w:val="24"/>
              </w:rPr>
              <w:t>、</w:t>
            </w:r>
            <w:r>
              <w:rPr>
                <w:color w:val="auto"/>
                <w:sz w:val="24"/>
              </w:rPr>
              <w:t>大小兰沟地质遗迹景观区（D</w:t>
            </w:r>
            <w:r>
              <w:rPr>
                <w:color w:val="auto"/>
                <w:sz w:val="24"/>
                <w:vertAlign w:val="subscript"/>
              </w:rPr>
              <w:t>4</w:t>
            </w:r>
            <w:r>
              <w:rPr>
                <w:color w:val="auto"/>
                <w:sz w:val="24"/>
              </w:rPr>
              <w:t>）</w:t>
            </w:r>
            <w:r>
              <w:rPr>
                <w:rFonts w:hint="eastAsia"/>
                <w:color w:val="auto"/>
                <w:sz w:val="24"/>
              </w:rPr>
              <w:t>、十八月潭</w:t>
            </w:r>
            <w:r>
              <w:rPr>
                <w:color w:val="auto"/>
                <w:sz w:val="24"/>
              </w:rPr>
              <w:t>地质遗迹景观区（D</w:t>
            </w:r>
            <w:r>
              <w:rPr>
                <w:color w:val="auto"/>
                <w:sz w:val="24"/>
                <w:vertAlign w:val="subscript"/>
              </w:rPr>
              <w:t>5</w:t>
            </w:r>
            <w:r>
              <w:rPr>
                <w:color w:val="auto"/>
                <w:sz w:val="24"/>
              </w:rPr>
              <w:t>）</w:t>
            </w:r>
            <w:r>
              <w:rPr>
                <w:rFonts w:hint="eastAsia"/>
                <w:color w:val="auto"/>
                <w:sz w:val="24"/>
              </w:rPr>
              <w:t>、</w:t>
            </w:r>
            <w:r>
              <w:rPr>
                <w:color w:val="auto"/>
                <w:sz w:val="24"/>
              </w:rPr>
              <w:t>神门地质遗迹景观区（D</w:t>
            </w:r>
            <w:r>
              <w:rPr>
                <w:color w:val="auto"/>
                <w:sz w:val="24"/>
                <w:vertAlign w:val="subscript"/>
              </w:rPr>
              <w:t>6</w:t>
            </w:r>
            <w:r>
              <w:rPr>
                <w:color w:val="auto"/>
                <w:sz w:val="24"/>
              </w:rPr>
              <w:t>）</w:t>
            </w:r>
            <w:r>
              <w:rPr>
                <w:rFonts w:hint="eastAsia"/>
                <w:color w:val="auto"/>
                <w:sz w:val="24"/>
              </w:rPr>
              <w:t>、</w:t>
            </w:r>
            <w:r>
              <w:rPr>
                <w:color w:val="auto"/>
                <w:sz w:val="24"/>
              </w:rPr>
              <w:t>小巫峡东坡地质遗迹景观区（D</w:t>
            </w:r>
            <w:r>
              <w:rPr>
                <w:color w:val="auto"/>
                <w:sz w:val="24"/>
                <w:vertAlign w:val="subscript"/>
              </w:rPr>
              <w:t>7</w:t>
            </w:r>
            <w:r>
              <w:rPr>
                <w:color w:val="auto"/>
                <w:sz w:val="24"/>
              </w:rPr>
              <w:t>）</w:t>
            </w:r>
            <w:r>
              <w:rPr>
                <w:rFonts w:hint="eastAsia"/>
                <w:color w:val="auto"/>
                <w:sz w:val="24"/>
              </w:rPr>
              <w:t>、</w:t>
            </w:r>
            <w:r>
              <w:rPr>
                <w:color w:val="auto"/>
                <w:sz w:val="24"/>
              </w:rPr>
              <w:t>石龙寨地质遗迹景观区（D</w:t>
            </w:r>
            <w:r>
              <w:rPr>
                <w:color w:val="auto"/>
                <w:sz w:val="24"/>
                <w:vertAlign w:val="subscript"/>
              </w:rPr>
              <w:t>8</w:t>
            </w:r>
            <w:r>
              <w:rPr>
                <w:color w:val="auto"/>
                <w:sz w:val="24"/>
              </w:rPr>
              <w:t>）</w:t>
            </w:r>
            <w:r>
              <w:rPr>
                <w:rFonts w:hint="eastAsia"/>
                <w:color w:val="auto"/>
                <w:sz w:val="24"/>
              </w:rPr>
              <w:t>、</w:t>
            </w:r>
            <w:r>
              <w:rPr>
                <w:color w:val="auto"/>
                <w:sz w:val="24"/>
              </w:rPr>
              <w:t>诺水河峡谷地质遗迹景观区（D</w:t>
            </w:r>
            <w:r>
              <w:rPr>
                <w:color w:val="auto"/>
                <w:sz w:val="24"/>
                <w:vertAlign w:val="subscript"/>
              </w:rPr>
              <w:t>9</w:t>
            </w:r>
            <w:r>
              <w:rPr>
                <w:color w:val="auto"/>
                <w:sz w:val="24"/>
              </w:rPr>
              <w:t>）</w:t>
            </w:r>
            <w:r>
              <w:rPr>
                <w:rFonts w:hint="eastAsia"/>
                <w:color w:val="auto"/>
                <w:sz w:val="24"/>
              </w:rPr>
              <w:t>、</w:t>
            </w:r>
            <w:r>
              <w:rPr>
                <w:color w:val="auto"/>
                <w:sz w:val="24"/>
              </w:rPr>
              <w:t>临江丽峡地质遗迹景观区（D</w:t>
            </w:r>
            <w:r>
              <w:rPr>
                <w:color w:val="auto"/>
                <w:sz w:val="24"/>
                <w:vertAlign w:val="subscript"/>
              </w:rPr>
              <w:t>10</w:t>
            </w:r>
            <w:r>
              <w:rPr>
                <w:color w:val="auto"/>
                <w:sz w:val="24"/>
              </w:rPr>
              <w:t>）</w:t>
            </w:r>
            <w:r>
              <w:rPr>
                <w:rFonts w:hint="eastAsia"/>
                <w:color w:val="auto"/>
                <w:sz w:val="24"/>
              </w:rPr>
              <w:t>、</w:t>
            </w:r>
            <w:r>
              <w:rPr>
                <w:color w:val="auto"/>
                <w:sz w:val="24"/>
              </w:rPr>
              <w:t>大通江西岸地质遗迹景观区（D</w:t>
            </w:r>
            <w:r>
              <w:rPr>
                <w:color w:val="auto"/>
                <w:sz w:val="24"/>
                <w:vertAlign w:val="subscript"/>
              </w:rPr>
              <w:t>11</w:t>
            </w:r>
            <w:r>
              <w:rPr>
                <w:color w:val="auto"/>
                <w:sz w:val="24"/>
              </w:rPr>
              <w:t>）。</w:t>
            </w:r>
          </w:p>
          <w:p w14:paraId="2BC06A45">
            <w:pPr>
              <w:snapToGrid w:val="0"/>
              <w:spacing w:line="360" w:lineRule="auto"/>
              <w:ind w:firstLine="482" w:firstLineChars="200"/>
              <w:rPr>
                <w:b/>
                <w:color w:val="auto"/>
                <w:sz w:val="24"/>
              </w:rPr>
            </w:pPr>
            <w:r>
              <w:rPr>
                <w:rFonts w:hint="eastAsia"/>
                <w:b/>
                <w:color w:val="auto"/>
                <w:sz w:val="24"/>
              </w:rPr>
              <w:t>2</w:t>
            </w:r>
            <w:r>
              <w:rPr>
                <w:b/>
                <w:color w:val="auto"/>
                <w:sz w:val="24"/>
              </w:rPr>
              <w:t>、人文景观区</w:t>
            </w:r>
          </w:p>
          <w:p w14:paraId="44DC271B">
            <w:pPr>
              <w:adjustRightInd w:val="0"/>
              <w:snapToGrid w:val="0"/>
              <w:spacing w:line="360" w:lineRule="auto"/>
              <w:ind w:firstLine="480" w:firstLineChars="200"/>
              <w:rPr>
                <w:color w:val="auto"/>
                <w:sz w:val="24"/>
              </w:rPr>
            </w:pPr>
            <w:bookmarkStart w:id="2" w:name="_Hlk68123454"/>
            <w:r>
              <w:rPr>
                <w:color w:val="auto"/>
                <w:sz w:val="24"/>
              </w:rPr>
              <w:t>规划1处人文景观区和巴山游击队纪念馆、桃园李先念骨灰撒放地2处</w:t>
            </w:r>
            <w:bookmarkStart w:id="3" w:name="_Hlk68123386"/>
            <w:r>
              <w:rPr>
                <w:color w:val="auto"/>
                <w:sz w:val="24"/>
              </w:rPr>
              <w:t>人文景观地</w:t>
            </w:r>
            <w:bookmarkEnd w:id="3"/>
            <w:r>
              <w:rPr>
                <w:color w:val="auto"/>
                <w:sz w:val="24"/>
              </w:rPr>
              <w:t>。</w:t>
            </w:r>
            <w:bookmarkEnd w:id="2"/>
          </w:p>
          <w:p w14:paraId="1A40B2F1">
            <w:pPr>
              <w:snapToGrid w:val="0"/>
              <w:spacing w:line="360" w:lineRule="auto"/>
              <w:ind w:firstLine="482" w:firstLineChars="200"/>
              <w:rPr>
                <w:b/>
                <w:color w:val="auto"/>
                <w:sz w:val="24"/>
              </w:rPr>
            </w:pPr>
            <w:r>
              <w:rPr>
                <w:rFonts w:hint="eastAsia"/>
                <w:b/>
                <w:color w:val="auto"/>
                <w:sz w:val="24"/>
              </w:rPr>
              <w:t>3</w:t>
            </w:r>
            <w:r>
              <w:rPr>
                <w:b/>
                <w:color w:val="auto"/>
                <w:sz w:val="24"/>
              </w:rPr>
              <w:t>、</w:t>
            </w:r>
            <w:r>
              <w:rPr>
                <w:rFonts w:hint="eastAsia"/>
                <w:b/>
                <w:color w:val="auto"/>
                <w:sz w:val="24"/>
              </w:rPr>
              <w:t>综合服务区</w:t>
            </w:r>
          </w:p>
          <w:p w14:paraId="11BDE0F0">
            <w:pPr>
              <w:adjustRightInd w:val="0"/>
              <w:snapToGrid w:val="0"/>
              <w:spacing w:line="360" w:lineRule="auto"/>
              <w:ind w:firstLine="480" w:firstLineChars="200"/>
              <w:rPr>
                <w:color w:val="auto"/>
                <w:sz w:val="24"/>
              </w:rPr>
            </w:pPr>
            <w:r>
              <w:rPr>
                <w:color w:val="auto"/>
                <w:sz w:val="24"/>
              </w:rPr>
              <w:t>共划分有三类</w:t>
            </w:r>
            <w:r>
              <w:rPr>
                <w:rFonts w:hint="eastAsia"/>
                <w:color w:val="auto"/>
                <w:sz w:val="24"/>
              </w:rPr>
              <w:t>综合服务区</w:t>
            </w:r>
            <w:r>
              <w:rPr>
                <w:color w:val="auto"/>
                <w:sz w:val="24"/>
              </w:rPr>
              <w:t>：旅游服务区、公园管理区与门区。</w:t>
            </w:r>
          </w:p>
          <w:p w14:paraId="67BB2A4C">
            <w:pPr>
              <w:adjustRightInd w:val="0"/>
              <w:snapToGrid w:val="0"/>
              <w:spacing w:line="360" w:lineRule="auto"/>
              <w:ind w:firstLine="480" w:firstLineChars="200"/>
              <w:rPr>
                <w:color w:val="auto"/>
                <w:sz w:val="24"/>
              </w:rPr>
            </w:pPr>
            <w:r>
              <w:rPr>
                <w:rFonts w:hint="eastAsia"/>
                <w:color w:val="auto"/>
                <w:sz w:val="24"/>
              </w:rPr>
              <w:t>（1）</w:t>
            </w:r>
            <w:r>
              <w:rPr>
                <w:color w:val="auto"/>
                <w:sz w:val="24"/>
              </w:rPr>
              <w:t>旅游服务区</w:t>
            </w:r>
          </w:p>
          <w:p w14:paraId="58E18186">
            <w:pPr>
              <w:adjustRightInd w:val="0"/>
              <w:snapToGrid w:val="0"/>
              <w:spacing w:line="360" w:lineRule="auto"/>
              <w:ind w:firstLine="480" w:firstLineChars="200"/>
              <w:rPr>
                <w:color w:val="auto"/>
                <w:sz w:val="24"/>
              </w:rPr>
            </w:pPr>
            <w:r>
              <w:rPr>
                <w:color w:val="auto"/>
                <w:sz w:val="24"/>
              </w:rPr>
              <w:t>是旅游集散中心、旅游集散地、旅游服务中心、旅游服务站和旅游服务点所在区域，也包括现有的旅游服务设施所在区域及旅游城镇区。其面积为5.91km</w:t>
            </w:r>
            <w:r>
              <w:rPr>
                <w:color w:val="auto"/>
                <w:sz w:val="24"/>
                <w:vertAlign w:val="superscript"/>
              </w:rPr>
              <w:t>2</w:t>
            </w:r>
            <w:r>
              <w:rPr>
                <w:color w:val="auto"/>
                <w:sz w:val="24"/>
              </w:rPr>
              <w:t>，占公园面积的0.33%。</w:t>
            </w:r>
          </w:p>
          <w:p w14:paraId="00E67284">
            <w:pPr>
              <w:adjustRightInd w:val="0"/>
              <w:snapToGrid w:val="0"/>
              <w:spacing w:line="360" w:lineRule="auto"/>
              <w:ind w:firstLine="480" w:firstLineChars="200"/>
              <w:rPr>
                <w:color w:val="auto"/>
                <w:sz w:val="24"/>
              </w:rPr>
            </w:pPr>
            <w:r>
              <w:rPr>
                <w:color w:val="auto"/>
                <w:sz w:val="24"/>
              </w:rPr>
              <w:t>（</w:t>
            </w:r>
            <w:r>
              <w:rPr>
                <w:rFonts w:hint="eastAsia"/>
                <w:color w:val="auto"/>
                <w:sz w:val="24"/>
              </w:rPr>
              <w:t>2</w:t>
            </w:r>
            <w:r>
              <w:rPr>
                <w:color w:val="auto"/>
                <w:sz w:val="24"/>
              </w:rPr>
              <w:t>）公园管理区</w:t>
            </w:r>
          </w:p>
          <w:p w14:paraId="7F2757DA">
            <w:pPr>
              <w:snapToGrid w:val="0"/>
              <w:spacing w:line="360" w:lineRule="auto"/>
              <w:ind w:firstLine="480" w:firstLineChars="200"/>
              <w:rPr>
                <w:color w:val="auto"/>
                <w:sz w:val="24"/>
              </w:rPr>
            </w:pPr>
            <w:r>
              <w:rPr>
                <w:color w:val="auto"/>
                <w:sz w:val="24"/>
              </w:rPr>
              <w:t>共规划8处，分别位于旅游集散地、旅游服务中心、旅游服务站、旅游服务点。另外还包含公园内所有售票、检票点。</w:t>
            </w:r>
          </w:p>
          <w:p w14:paraId="224829DD">
            <w:pPr>
              <w:adjustRightInd w:val="0"/>
              <w:snapToGrid w:val="0"/>
              <w:spacing w:line="360" w:lineRule="auto"/>
              <w:ind w:firstLine="480" w:firstLineChars="200"/>
              <w:rPr>
                <w:color w:val="auto"/>
                <w:sz w:val="24"/>
              </w:rPr>
            </w:pPr>
            <w:r>
              <w:rPr>
                <w:color w:val="auto"/>
                <w:sz w:val="24"/>
              </w:rPr>
              <w:t>（</w:t>
            </w:r>
            <w:r>
              <w:rPr>
                <w:rFonts w:hint="eastAsia"/>
                <w:color w:val="auto"/>
                <w:sz w:val="24"/>
              </w:rPr>
              <w:t>3</w:t>
            </w:r>
            <w:r>
              <w:rPr>
                <w:color w:val="auto"/>
                <w:sz w:val="24"/>
              </w:rPr>
              <w:t>）门区</w:t>
            </w:r>
          </w:p>
          <w:p w14:paraId="4C92914D">
            <w:pPr>
              <w:adjustRightInd w:val="0"/>
              <w:snapToGrid w:val="0"/>
              <w:spacing w:line="360" w:lineRule="auto"/>
              <w:ind w:firstLine="480" w:firstLineChars="200"/>
              <w:rPr>
                <w:color w:val="auto"/>
                <w:sz w:val="24"/>
              </w:rPr>
            </w:pPr>
            <w:r>
              <w:rPr>
                <w:color w:val="auto"/>
                <w:sz w:val="24"/>
              </w:rPr>
              <w:t>共规划3个门区，分别位于空山天盆主干道入口、诺水河北入口和铁炉坝米仓山旅游景区大门。</w:t>
            </w:r>
          </w:p>
          <w:p w14:paraId="503FB429">
            <w:pPr>
              <w:snapToGrid w:val="0"/>
              <w:spacing w:line="360" w:lineRule="auto"/>
              <w:ind w:firstLine="482" w:firstLineChars="200"/>
              <w:rPr>
                <w:b/>
                <w:color w:val="auto"/>
                <w:sz w:val="24"/>
              </w:rPr>
            </w:pPr>
            <w:r>
              <w:rPr>
                <w:rFonts w:hint="eastAsia"/>
                <w:b/>
                <w:color w:val="auto"/>
                <w:sz w:val="24"/>
              </w:rPr>
              <w:t>4</w:t>
            </w:r>
            <w:r>
              <w:rPr>
                <w:b/>
                <w:color w:val="auto"/>
                <w:sz w:val="24"/>
              </w:rPr>
              <w:t>、居民点保留区</w:t>
            </w:r>
          </w:p>
          <w:p w14:paraId="0BE5F092">
            <w:pPr>
              <w:adjustRightInd w:val="0"/>
              <w:snapToGrid w:val="0"/>
              <w:spacing w:line="360" w:lineRule="auto"/>
              <w:ind w:firstLine="480" w:firstLineChars="200"/>
              <w:rPr>
                <w:color w:val="auto"/>
                <w:sz w:val="24"/>
              </w:rPr>
            </w:pPr>
            <w:r>
              <w:rPr>
                <w:color w:val="auto"/>
                <w:sz w:val="24"/>
              </w:rPr>
              <w:t>用于原住居民生活、工农业及其它生产经营等配套设施建设。公园规划居民生活区，面积为16.40km</w:t>
            </w:r>
            <w:r>
              <w:rPr>
                <w:color w:val="auto"/>
                <w:sz w:val="24"/>
                <w:vertAlign w:val="superscript"/>
              </w:rPr>
              <w:t>2</w:t>
            </w:r>
            <w:r>
              <w:rPr>
                <w:color w:val="auto"/>
                <w:sz w:val="24"/>
              </w:rPr>
              <w:t>，占公园总面积的0.90%，主要分布于赶场镇、桃园、</w:t>
            </w:r>
            <w:r>
              <w:rPr>
                <w:rFonts w:hint="eastAsia"/>
                <w:color w:val="auto"/>
                <w:sz w:val="24"/>
              </w:rPr>
              <w:t>关坝镇</w:t>
            </w:r>
            <w:r>
              <w:rPr>
                <w:color w:val="auto"/>
                <w:sz w:val="24"/>
              </w:rPr>
              <w:t>、神门乡、贵民镇、关坝镇、诺水河镇、空山镇等城镇聚集区。</w:t>
            </w:r>
          </w:p>
          <w:p w14:paraId="36A7D202">
            <w:pPr>
              <w:snapToGrid w:val="0"/>
              <w:spacing w:line="360" w:lineRule="auto"/>
              <w:ind w:firstLine="482" w:firstLineChars="200"/>
              <w:rPr>
                <w:b/>
                <w:color w:val="auto"/>
                <w:sz w:val="24"/>
              </w:rPr>
            </w:pPr>
            <w:r>
              <w:rPr>
                <w:rFonts w:hint="eastAsia"/>
                <w:b/>
                <w:color w:val="auto"/>
                <w:sz w:val="24"/>
              </w:rPr>
              <w:t>5</w:t>
            </w:r>
            <w:r>
              <w:rPr>
                <w:b/>
                <w:color w:val="auto"/>
                <w:sz w:val="24"/>
              </w:rPr>
              <w:t>、矿业遗迹展示区</w:t>
            </w:r>
          </w:p>
          <w:p w14:paraId="4BBD9F51">
            <w:pPr>
              <w:adjustRightInd w:val="0"/>
              <w:snapToGrid w:val="0"/>
              <w:spacing w:line="360" w:lineRule="auto"/>
              <w:ind w:firstLine="480" w:firstLineChars="200"/>
              <w:rPr>
                <w:color w:val="auto"/>
                <w:sz w:val="24"/>
              </w:rPr>
            </w:pPr>
            <w:r>
              <w:rPr>
                <w:color w:val="auto"/>
                <w:sz w:val="24"/>
              </w:rPr>
              <w:t>现规划26处矿业遗迹展示区，用于矿石开采（加强生态环境保护和矿山恢复治理）和矿业遗迹展示，</w:t>
            </w:r>
            <w:bookmarkStart w:id="4" w:name="_Hlk87629092"/>
            <w:r>
              <w:rPr>
                <w:color w:val="auto"/>
                <w:sz w:val="24"/>
              </w:rPr>
              <w:t>面积17.99km</w:t>
            </w:r>
            <w:r>
              <w:rPr>
                <w:color w:val="auto"/>
                <w:sz w:val="24"/>
                <w:vertAlign w:val="superscript"/>
              </w:rPr>
              <w:t>2</w:t>
            </w:r>
            <w:r>
              <w:rPr>
                <w:color w:val="auto"/>
                <w:sz w:val="24"/>
              </w:rPr>
              <w:t>，占公园面积约</w:t>
            </w:r>
            <w:r>
              <w:rPr>
                <w:color w:val="auto"/>
                <w:kern w:val="0"/>
                <w:sz w:val="24"/>
              </w:rPr>
              <w:t>0.99</w:t>
            </w:r>
            <w:r>
              <w:rPr>
                <w:color w:val="auto"/>
                <w:sz w:val="24"/>
              </w:rPr>
              <w:t>%</w:t>
            </w:r>
            <w:bookmarkEnd w:id="4"/>
            <w:r>
              <w:rPr>
                <w:color w:val="auto"/>
                <w:sz w:val="24"/>
              </w:rPr>
              <w:t>。</w:t>
            </w:r>
          </w:p>
          <w:p w14:paraId="320760DB">
            <w:pPr>
              <w:snapToGrid w:val="0"/>
              <w:spacing w:line="360" w:lineRule="auto"/>
              <w:ind w:firstLine="482" w:firstLineChars="200"/>
              <w:rPr>
                <w:b/>
                <w:color w:val="auto"/>
                <w:sz w:val="24"/>
              </w:rPr>
            </w:pPr>
            <w:r>
              <w:rPr>
                <w:rFonts w:hint="eastAsia"/>
                <w:b/>
                <w:color w:val="auto"/>
                <w:sz w:val="24"/>
              </w:rPr>
              <w:t>6</w:t>
            </w:r>
            <w:r>
              <w:rPr>
                <w:b/>
                <w:color w:val="auto"/>
                <w:sz w:val="24"/>
              </w:rPr>
              <w:t>、</w:t>
            </w:r>
            <w:r>
              <w:rPr>
                <w:rFonts w:hint="eastAsia"/>
                <w:b/>
                <w:color w:val="auto"/>
                <w:sz w:val="24"/>
              </w:rPr>
              <w:t>康养体验区</w:t>
            </w:r>
          </w:p>
          <w:p w14:paraId="7CFA058B">
            <w:pPr>
              <w:adjustRightInd w:val="0"/>
              <w:snapToGrid w:val="0"/>
              <w:spacing w:line="360" w:lineRule="auto"/>
              <w:ind w:firstLine="480" w:firstLineChars="200"/>
              <w:rPr>
                <w:color w:val="auto"/>
                <w:sz w:val="24"/>
              </w:rPr>
            </w:pPr>
            <w:r>
              <w:rPr>
                <w:rFonts w:hint="eastAsia"/>
                <w:color w:val="auto"/>
                <w:sz w:val="24"/>
              </w:rPr>
              <w:t>用于地质公园森林康养目的地目标的实现，引导相关康养项目在这些区域落地，从而形成地质公园森林康养产业，来带动社区经济发展和公园的可持续发展，同时也是为了杜绝地质公园出现无限制旅游开发的现象。现规划1</w:t>
            </w:r>
            <w:r>
              <w:rPr>
                <w:color w:val="auto"/>
                <w:sz w:val="24"/>
              </w:rPr>
              <w:t>0</w:t>
            </w:r>
            <w:r>
              <w:rPr>
                <w:rFonts w:hint="eastAsia"/>
                <w:color w:val="auto"/>
                <w:sz w:val="24"/>
              </w:rPr>
              <w:t>处康养体验区，</w:t>
            </w:r>
            <w:r>
              <w:rPr>
                <w:color w:val="auto"/>
                <w:sz w:val="24"/>
              </w:rPr>
              <w:t>面积23.14km</w:t>
            </w:r>
            <w:r>
              <w:rPr>
                <w:color w:val="auto"/>
                <w:sz w:val="24"/>
                <w:vertAlign w:val="superscript"/>
              </w:rPr>
              <w:t>2</w:t>
            </w:r>
            <w:r>
              <w:rPr>
                <w:color w:val="auto"/>
                <w:sz w:val="24"/>
              </w:rPr>
              <w:t>，占公园面积约1.27%。</w:t>
            </w:r>
            <w:r>
              <w:rPr>
                <w:rFonts w:hint="eastAsia"/>
                <w:color w:val="auto"/>
                <w:sz w:val="24"/>
              </w:rPr>
              <w:t>铁炉坝康养体验区（K</w:t>
            </w:r>
            <w:r>
              <w:rPr>
                <w:color w:val="auto"/>
                <w:sz w:val="24"/>
              </w:rPr>
              <w:t>Y</w:t>
            </w:r>
            <w:r>
              <w:rPr>
                <w:color w:val="auto"/>
                <w:sz w:val="24"/>
                <w:vertAlign w:val="subscript"/>
              </w:rPr>
              <w:t>1</w:t>
            </w:r>
            <w:r>
              <w:rPr>
                <w:rFonts w:hint="eastAsia"/>
                <w:color w:val="auto"/>
                <w:sz w:val="24"/>
              </w:rPr>
              <w:t>）面积0</w:t>
            </w:r>
            <w:r>
              <w:rPr>
                <w:color w:val="auto"/>
                <w:sz w:val="24"/>
              </w:rPr>
              <w:t>.53km</w:t>
            </w:r>
            <w:r>
              <w:rPr>
                <w:color w:val="auto"/>
                <w:sz w:val="24"/>
                <w:vertAlign w:val="superscript"/>
              </w:rPr>
              <w:t>2</w:t>
            </w:r>
            <w:r>
              <w:rPr>
                <w:rFonts w:hint="eastAsia"/>
                <w:color w:val="auto"/>
                <w:sz w:val="24"/>
              </w:rPr>
              <w:t>，大坝康养体验区（K</w:t>
            </w:r>
            <w:r>
              <w:rPr>
                <w:color w:val="auto"/>
                <w:sz w:val="24"/>
              </w:rPr>
              <w:t>Y</w:t>
            </w:r>
            <w:r>
              <w:rPr>
                <w:color w:val="auto"/>
                <w:sz w:val="24"/>
                <w:vertAlign w:val="subscript"/>
              </w:rPr>
              <w:t>2</w:t>
            </w:r>
            <w:r>
              <w:rPr>
                <w:rFonts w:hint="eastAsia"/>
                <w:color w:val="auto"/>
                <w:sz w:val="24"/>
              </w:rPr>
              <w:t>）面积</w:t>
            </w:r>
            <w:r>
              <w:rPr>
                <w:color w:val="auto"/>
                <w:sz w:val="24"/>
              </w:rPr>
              <w:t>1.36km</w:t>
            </w:r>
            <w:r>
              <w:rPr>
                <w:color w:val="auto"/>
                <w:sz w:val="24"/>
                <w:vertAlign w:val="superscript"/>
              </w:rPr>
              <w:t>2</w:t>
            </w:r>
            <w:r>
              <w:rPr>
                <w:rFonts w:hint="eastAsia"/>
                <w:color w:val="auto"/>
                <w:sz w:val="24"/>
              </w:rPr>
              <w:t>，关坝康养体验区（K</w:t>
            </w:r>
            <w:r>
              <w:rPr>
                <w:color w:val="auto"/>
                <w:sz w:val="24"/>
              </w:rPr>
              <w:t>Y</w:t>
            </w:r>
            <w:r>
              <w:rPr>
                <w:color w:val="auto"/>
                <w:sz w:val="24"/>
                <w:vertAlign w:val="subscript"/>
              </w:rPr>
              <w:t>3</w:t>
            </w:r>
            <w:r>
              <w:rPr>
                <w:rFonts w:hint="eastAsia"/>
                <w:color w:val="auto"/>
                <w:sz w:val="24"/>
              </w:rPr>
              <w:t>）面积</w:t>
            </w:r>
            <w:r>
              <w:rPr>
                <w:color w:val="auto"/>
                <w:sz w:val="24"/>
              </w:rPr>
              <w:t>3.07km</w:t>
            </w:r>
            <w:r>
              <w:rPr>
                <w:color w:val="auto"/>
                <w:sz w:val="24"/>
                <w:vertAlign w:val="superscript"/>
              </w:rPr>
              <w:t>2</w:t>
            </w:r>
            <w:r>
              <w:rPr>
                <w:rFonts w:hint="eastAsia"/>
                <w:color w:val="auto"/>
                <w:sz w:val="24"/>
              </w:rPr>
              <w:t>，关坝镇康养体验区（K</w:t>
            </w:r>
            <w:r>
              <w:rPr>
                <w:color w:val="auto"/>
                <w:sz w:val="24"/>
              </w:rPr>
              <w:t>Y</w:t>
            </w:r>
            <w:r>
              <w:rPr>
                <w:color w:val="auto"/>
                <w:sz w:val="24"/>
                <w:vertAlign w:val="subscript"/>
              </w:rPr>
              <w:t>4</w:t>
            </w:r>
            <w:r>
              <w:rPr>
                <w:rFonts w:hint="eastAsia"/>
                <w:color w:val="auto"/>
                <w:sz w:val="24"/>
              </w:rPr>
              <w:t>）面积</w:t>
            </w:r>
            <w:r>
              <w:rPr>
                <w:color w:val="auto"/>
                <w:sz w:val="24"/>
              </w:rPr>
              <w:t>3.89km</w:t>
            </w:r>
            <w:r>
              <w:rPr>
                <w:color w:val="auto"/>
                <w:sz w:val="24"/>
                <w:vertAlign w:val="superscript"/>
              </w:rPr>
              <w:t>2</w:t>
            </w:r>
            <w:r>
              <w:rPr>
                <w:rFonts w:hint="eastAsia"/>
                <w:color w:val="auto"/>
                <w:sz w:val="24"/>
              </w:rPr>
              <w:t>，咸丰村康养体验区（K</w:t>
            </w:r>
            <w:r>
              <w:rPr>
                <w:color w:val="auto"/>
                <w:sz w:val="24"/>
              </w:rPr>
              <w:t>Y</w:t>
            </w:r>
            <w:r>
              <w:rPr>
                <w:color w:val="auto"/>
                <w:sz w:val="24"/>
                <w:vertAlign w:val="subscript"/>
              </w:rPr>
              <w:t>5</w:t>
            </w:r>
            <w:r>
              <w:rPr>
                <w:rFonts w:hint="eastAsia"/>
                <w:color w:val="auto"/>
                <w:sz w:val="24"/>
              </w:rPr>
              <w:t>）面积</w:t>
            </w:r>
            <w:r>
              <w:rPr>
                <w:color w:val="auto"/>
                <w:sz w:val="24"/>
              </w:rPr>
              <w:t>0.41km</w:t>
            </w:r>
            <w:r>
              <w:rPr>
                <w:color w:val="auto"/>
                <w:sz w:val="24"/>
                <w:vertAlign w:val="superscript"/>
              </w:rPr>
              <w:t>2</w:t>
            </w:r>
            <w:r>
              <w:rPr>
                <w:rFonts w:hint="eastAsia"/>
                <w:color w:val="auto"/>
                <w:sz w:val="24"/>
              </w:rPr>
              <w:t>，三河村康养体验区（K</w:t>
            </w:r>
            <w:r>
              <w:rPr>
                <w:color w:val="auto"/>
                <w:sz w:val="24"/>
              </w:rPr>
              <w:t>Y</w:t>
            </w:r>
            <w:r>
              <w:rPr>
                <w:color w:val="auto"/>
                <w:sz w:val="24"/>
                <w:vertAlign w:val="subscript"/>
              </w:rPr>
              <w:t>6</w:t>
            </w:r>
            <w:r>
              <w:rPr>
                <w:rFonts w:hint="eastAsia"/>
                <w:color w:val="auto"/>
                <w:sz w:val="24"/>
              </w:rPr>
              <w:t>）面积</w:t>
            </w:r>
            <w:r>
              <w:rPr>
                <w:color w:val="auto"/>
                <w:sz w:val="24"/>
              </w:rPr>
              <w:t>0.11km</w:t>
            </w:r>
            <w:r>
              <w:rPr>
                <w:color w:val="auto"/>
                <w:sz w:val="24"/>
                <w:vertAlign w:val="superscript"/>
              </w:rPr>
              <w:t>2</w:t>
            </w:r>
            <w:r>
              <w:rPr>
                <w:rFonts w:hint="eastAsia"/>
                <w:color w:val="auto"/>
                <w:sz w:val="24"/>
              </w:rPr>
              <w:t>，贵民镇康养体验区（K</w:t>
            </w:r>
            <w:r>
              <w:rPr>
                <w:color w:val="auto"/>
                <w:sz w:val="24"/>
              </w:rPr>
              <w:t>Y</w:t>
            </w:r>
            <w:r>
              <w:rPr>
                <w:color w:val="auto"/>
                <w:sz w:val="24"/>
                <w:vertAlign w:val="subscript"/>
              </w:rPr>
              <w:t>7</w:t>
            </w:r>
            <w:r>
              <w:rPr>
                <w:rFonts w:hint="eastAsia"/>
                <w:color w:val="auto"/>
                <w:sz w:val="24"/>
              </w:rPr>
              <w:t>）面积</w:t>
            </w:r>
            <w:r>
              <w:rPr>
                <w:color w:val="auto"/>
                <w:sz w:val="24"/>
              </w:rPr>
              <w:t>1.13km</w:t>
            </w:r>
            <w:r>
              <w:rPr>
                <w:color w:val="auto"/>
                <w:sz w:val="24"/>
                <w:vertAlign w:val="superscript"/>
              </w:rPr>
              <w:t>2</w:t>
            </w:r>
            <w:r>
              <w:rPr>
                <w:rFonts w:hint="eastAsia"/>
                <w:color w:val="auto"/>
                <w:sz w:val="24"/>
              </w:rPr>
              <w:t>，汇滩康养体验区（K</w:t>
            </w:r>
            <w:r>
              <w:rPr>
                <w:color w:val="auto"/>
                <w:sz w:val="24"/>
              </w:rPr>
              <w:t>Y</w:t>
            </w:r>
            <w:r>
              <w:rPr>
                <w:color w:val="auto"/>
                <w:sz w:val="24"/>
                <w:vertAlign w:val="subscript"/>
              </w:rPr>
              <w:t>8</w:t>
            </w:r>
            <w:r>
              <w:rPr>
                <w:rFonts w:hint="eastAsia"/>
                <w:color w:val="auto"/>
                <w:sz w:val="24"/>
              </w:rPr>
              <w:t>）面积</w:t>
            </w:r>
            <w:r>
              <w:rPr>
                <w:color w:val="auto"/>
                <w:sz w:val="24"/>
              </w:rPr>
              <w:t>0.23km</w:t>
            </w:r>
            <w:r>
              <w:rPr>
                <w:color w:val="auto"/>
                <w:sz w:val="24"/>
                <w:vertAlign w:val="superscript"/>
              </w:rPr>
              <w:t>2</w:t>
            </w:r>
            <w:r>
              <w:rPr>
                <w:rFonts w:hint="eastAsia"/>
                <w:color w:val="auto"/>
                <w:sz w:val="24"/>
              </w:rPr>
              <w:t>，唐二坪村康养体验区（K</w:t>
            </w:r>
            <w:r>
              <w:rPr>
                <w:color w:val="auto"/>
                <w:sz w:val="24"/>
              </w:rPr>
              <w:t>Y</w:t>
            </w:r>
            <w:r>
              <w:rPr>
                <w:color w:val="auto"/>
                <w:sz w:val="24"/>
                <w:vertAlign w:val="subscript"/>
              </w:rPr>
              <w:t>9</w:t>
            </w:r>
            <w:r>
              <w:rPr>
                <w:rFonts w:hint="eastAsia"/>
                <w:color w:val="auto"/>
                <w:sz w:val="24"/>
              </w:rPr>
              <w:t>）面积</w:t>
            </w:r>
            <w:r>
              <w:rPr>
                <w:color w:val="auto"/>
                <w:sz w:val="24"/>
              </w:rPr>
              <w:t>0.92km</w:t>
            </w:r>
            <w:r>
              <w:rPr>
                <w:color w:val="auto"/>
                <w:sz w:val="24"/>
                <w:vertAlign w:val="superscript"/>
              </w:rPr>
              <w:t>2</w:t>
            </w:r>
            <w:r>
              <w:rPr>
                <w:rFonts w:hint="eastAsia"/>
                <w:color w:val="auto"/>
                <w:sz w:val="24"/>
              </w:rPr>
              <w:t>，空山坝康养体验区（K</w:t>
            </w:r>
            <w:r>
              <w:rPr>
                <w:color w:val="auto"/>
                <w:sz w:val="24"/>
              </w:rPr>
              <w:t>Y</w:t>
            </w:r>
            <w:r>
              <w:rPr>
                <w:color w:val="auto"/>
                <w:sz w:val="24"/>
                <w:vertAlign w:val="subscript"/>
              </w:rPr>
              <w:t>10</w:t>
            </w:r>
            <w:r>
              <w:rPr>
                <w:rFonts w:hint="eastAsia"/>
                <w:color w:val="auto"/>
                <w:sz w:val="24"/>
              </w:rPr>
              <w:t>）面积</w:t>
            </w:r>
            <w:r>
              <w:rPr>
                <w:color w:val="auto"/>
                <w:sz w:val="24"/>
              </w:rPr>
              <w:t>11.49km</w:t>
            </w:r>
            <w:r>
              <w:rPr>
                <w:color w:val="auto"/>
                <w:sz w:val="24"/>
                <w:vertAlign w:val="superscript"/>
              </w:rPr>
              <w:t>2</w:t>
            </w:r>
            <w:r>
              <w:rPr>
                <w:rFonts w:hint="eastAsia"/>
                <w:color w:val="auto"/>
                <w:sz w:val="24"/>
              </w:rPr>
              <w:t>。</w:t>
            </w:r>
          </w:p>
          <w:p w14:paraId="2F93C222">
            <w:pPr>
              <w:snapToGrid w:val="0"/>
              <w:spacing w:line="360" w:lineRule="auto"/>
              <w:ind w:firstLine="482" w:firstLineChars="200"/>
              <w:rPr>
                <w:b/>
                <w:color w:val="auto"/>
                <w:sz w:val="24"/>
              </w:rPr>
            </w:pPr>
            <w:r>
              <w:rPr>
                <w:rFonts w:hint="eastAsia"/>
                <w:b/>
                <w:color w:val="auto"/>
                <w:sz w:val="24"/>
              </w:rPr>
              <w:t>7</w:t>
            </w:r>
            <w:r>
              <w:rPr>
                <w:b/>
                <w:color w:val="auto"/>
                <w:sz w:val="24"/>
              </w:rPr>
              <w:t>、自然生态区</w:t>
            </w:r>
          </w:p>
          <w:p w14:paraId="566168B8">
            <w:pPr>
              <w:adjustRightInd w:val="0"/>
              <w:snapToGrid w:val="0"/>
              <w:spacing w:line="360" w:lineRule="auto"/>
              <w:ind w:firstLine="480" w:firstLineChars="200"/>
              <w:rPr>
                <w:color w:val="auto"/>
                <w:sz w:val="24"/>
              </w:rPr>
            </w:pPr>
            <w:r>
              <w:rPr>
                <w:color w:val="auto"/>
                <w:sz w:val="24"/>
              </w:rPr>
              <w:t>公园内除地质遗迹景观区、人文景观区、</w:t>
            </w:r>
            <w:r>
              <w:rPr>
                <w:rFonts w:hint="eastAsia"/>
                <w:color w:val="auto"/>
                <w:sz w:val="24"/>
              </w:rPr>
              <w:t>康养体验区、</w:t>
            </w:r>
            <w:r>
              <w:rPr>
                <w:color w:val="auto"/>
                <w:sz w:val="24"/>
              </w:rPr>
              <w:t>居民点保留区、矿业遗迹展示区</w:t>
            </w:r>
            <w:r>
              <w:rPr>
                <w:rFonts w:hint="eastAsia"/>
                <w:color w:val="auto"/>
                <w:sz w:val="24"/>
              </w:rPr>
              <w:t>和康养体验区</w:t>
            </w:r>
            <w:r>
              <w:rPr>
                <w:color w:val="auto"/>
                <w:sz w:val="24"/>
              </w:rPr>
              <w:t>以外的处于自然环境状态的区域，用以保护和维持生态环境的功能区，面积</w:t>
            </w:r>
            <w:r>
              <w:rPr>
                <w:color w:val="auto"/>
                <w:kern w:val="0"/>
                <w:sz w:val="24"/>
              </w:rPr>
              <w:t>1509.44</w:t>
            </w:r>
            <w:r>
              <w:rPr>
                <w:color w:val="auto"/>
                <w:sz w:val="24"/>
              </w:rPr>
              <w:t>km</w:t>
            </w:r>
            <w:r>
              <w:rPr>
                <w:color w:val="auto"/>
                <w:sz w:val="24"/>
                <w:vertAlign w:val="superscript"/>
              </w:rPr>
              <w:t>2</w:t>
            </w:r>
            <w:r>
              <w:rPr>
                <w:color w:val="auto"/>
                <w:sz w:val="24"/>
              </w:rPr>
              <w:t>，占公园面积约</w:t>
            </w:r>
            <w:r>
              <w:rPr>
                <w:color w:val="auto"/>
                <w:kern w:val="0"/>
                <w:sz w:val="24"/>
              </w:rPr>
              <w:t>83.03</w:t>
            </w:r>
            <w:r>
              <w:rPr>
                <w:color w:val="auto"/>
                <w:sz w:val="24"/>
              </w:rPr>
              <w:t>%。</w:t>
            </w:r>
          </w:p>
          <w:p w14:paraId="36431775">
            <w:pPr>
              <w:adjustRightInd w:val="0"/>
              <w:snapToGrid w:val="0"/>
              <w:spacing w:line="360" w:lineRule="auto"/>
              <w:ind w:firstLine="482" w:firstLineChars="200"/>
              <w:rPr>
                <w:b/>
                <w:bCs/>
                <w:color w:val="auto"/>
                <w:sz w:val="24"/>
              </w:rPr>
            </w:pPr>
            <w:r>
              <w:rPr>
                <w:rFonts w:hint="eastAsia"/>
                <w:b/>
                <w:bCs/>
                <w:color w:val="auto"/>
                <w:sz w:val="24"/>
              </w:rPr>
              <w:t>（四）地质遗迹保护区、点划分</w:t>
            </w:r>
          </w:p>
          <w:p w14:paraId="38DA78D4">
            <w:pPr>
              <w:adjustRightInd w:val="0"/>
              <w:snapToGrid w:val="0"/>
              <w:spacing w:line="360" w:lineRule="auto"/>
              <w:ind w:firstLine="480" w:firstLineChars="200"/>
              <w:rPr>
                <w:color w:val="auto"/>
                <w:sz w:val="24"/>
              </w:rPr>
            </w:pPr>
            <w:r>
              <w:rPr>
                <w:color w:val="auto"/>
                <w:sz w:val="24"/>
              </w:rPr>
              <w:t>共划定14个地质遗迹保护区、8处地质遗迹保护点。面积245.03km</w:t>
            </w:r>
            <w:r>
              <w:rPr>
                <w:color w:val="auto"/>
                <w:sz w:val="24"/>
                <w:vertAlign w:val="superscript"/>
              </w:rPr>
              <w:t>2</w:t>
            </w:r>
            <w:r>
              <w:rPr>
                <w:color w:val="auto"/>
                <w:sz w:val="24"/>
              </w:rPr>
              <w:t>，占公园面积约13.48%。根据地质遗迹保护区内的地质遗迹稀有程度和观赏程度的不同，又将公园地质遗迹保护区分为特级、一级、二级、三级</w:t>
            </w:r>
            <w:bookmarkStart w:id="5" w:name="_Hlk90326938"/>
            <w:r>
              <w:rPr>
                <w:color w:val="auto"/>
                <w:sz w:val="24"/>
              </w:rPr>
              <w:t>保护区</w:t>
            </w:r>
            <w:bookmarkEnd w:id="5"/>
            <w:r>
              <w:rPr>
                <w:color w:val="auto"/>
                <w:sz w:val="24"/>
              </w:rPr>
              <w:t>和</w:t>
            </w:r>
            <w:r>
              <w:rPr>
                <w:rFonts w:hint="eastAsia"/>
                <w:color w:val="auto"/>
                <w:sz w:val="24"/>
              </w:rPr>
              <w:t>一</w:t>
            </w:r>
            <w:r>
              <w:rPr>
                <w:color w:val="auto"/>
                <w:sz w:val="24"/>
              </w:rPr>
              <w:t>级、三级保护点，保护区面积分别为</w:t>
            </w:r>
            <w:r>
              <w:rPr>
                <w:bCs/>
                <w:color w:val="auto"/>
                <w:sz w:val="24"/>
              </w:rPr>
              <w:t>4.94</w:t>
            </w:r>
            <w:r>
              <w:rPr>
                <w:color w:val="auto"/>
                <w:sz w:val="24"/>
              </w:rPr>
              <w:t>km</w:t>
            </w:r>
            <w:r>
              <w:rPr>
                <w:color w:val="auto"/>
                <w:sz w:val="24"/>
                <w:vertAlign w:val="superscript"/>
              </w:rPr>
              <w:t>2</w:t>
            </w:r>
            <w:r>
              <w:rPr>
                <w:color w:val="auto"/>
                <w:sz w:val="24"/>
              </w:rPr>
              <w:t>、23.19km</w:t>
            </w:r>
            <w:r>
              <w:rPr>
                <w:color w:val="auto"/>
                <w:sz w:val="24"/>
                <w:vertAlign w:val="superscript"/>
              </w:rPr>
              <w:t>2</w:t>
            </w:r>
            <w:r>
              <w:rPr>
                <w:color w:val="auto"/>
                <w:sz w:val="24"/>
              </w:rPr>
              <w:t>、117.19km</w:t>
            </w:r>
            <w:r>
              <w:rPr>
                <w:color w:val="auto"/>
                <w:sz w:val="24"/>
                <w:vertAlign w:val="superscript"/>
              </w:rPr>
              <w:t>2</w:t>
            </w:r>
            <w:r>
              <w:rPr>
                <w:color w:val="auto"/>
                <w:sz w:val="24"/>
              </w:rPr>
              <w:t>和99.71km</w:t>
            </w:r>
            <w:r>
              <w:rPr>
                <w:color w:val="auto"/>
                <w:sz w:val="24"/>
                <w:vertAlign w:val="superscript"/>
              </w:rPr>
              <w:t>2</w:t>
            </w:r>
            <w:r>
              <w:rPr>
                <w:color w:val="auto"/>
                <w:sz w:val="24"/>
              </w:rPr>
              <w:t>。其他未划为地质遗迹保护区或保护点的地质遗迹保护等级按照相应保护等级的保护措施进行保护。</w:t>
            </w:r>
          </w:p>
          <w:p w14:paraId="53E440A8">
            <w:pPr>
              <w:adjustRightInd w:val="0"/>
              <w:snapToGrid w:val="0"/>
              <w:spacing w:line="360" w:lineRule="auto"/>
              <w:ind w:firstLine="482" w:firstLineChars="200"/>
              <w:rPr>
                <w:color w:val="auto"/>
                <w:sz w:val="24"/>
              </w:rPr>
            </w:pPr>
            <w:r>
              <w:rPr>
                <w:rFonts w:hint="eastAsia"/>
                <w:b/>
                <w:color w:val="auto"/>
                <w:sz w:val="24"/>
              </w:rPr>
              <w:t>1</w:t>
            </w:r>
            <w:r>
              <w:rPr>
                <w:b/>
                <w:color w:val="auto"/>
                <w:sz w:val="24"/>
              </w:rPr>
              <w:t>、特级保护区</w:t>
            </w:r>
          </w:p>
          <w:p w14:paraId="2403CA90">
            <w:pPr>
              <w:adjustRightInd w:val="0"/>
              <w:snapToGrid w:val="0"/>
              <w:spacing w:line="360" w:lineRule="auto"/>
              <w:ind w:firstLine="480" w:firstLineChars="200"/>
              <w:rPr>
                <w:color w:val="auto"/>
                <w:sz w:val="24"/>
              </w:rPr>
            </w:pPr>
            <w:r>
              <w:rPr>
                <w:color w:val="auto"/>
                <w:sz w:val="24"/>
              </w:rPr>
              <w:t>共1个特级地质遗迹保护区，总面积</w:t>
            </w:r>
            <w:r>
              <w:rPr>
                <w:bCs/>
                <w:color w:val="auto"/>
                <w:sz w:val="24"/>
              </w:rPr>
              <w:t>4.94km</w:t>
            </w:r>
            <w:r>
              <w:rPr>
                <w:bCs/>
                <w:color w:val="auto"/>
                <w:sz w:val="24"/>
                <w:vertAlign w:val="superscript"/>
              </w:rPr>
              <w:t>2</w:t>
            </w:r>
            <w:r>
              <w:rPr>
                <w:bCs/>
                <w:color w:val="auto"/>
                <w:sz w:val="24"/>
              </w:rPr>
              <w:t>，占公园面积0.27%。</w:t>
            </w:r>
          </w:p>
          <w:p w14:paraId="6FA6D38E">
            <w:pPr>
              <w:adjustRightInd w:val="0"/>
              <w:snapToGrid w:val="0"/>
              <w:spacing w:line="360" w:lineRule="auto"/>
              <w:ind w:firstLine="480" w:firstLineChars="200"/>
              <w:rPr>
                <w:bCs/>
                <w:color w:val="auto"/>
                <w:sz w:val="24"/>
              </w:rPr>
            </w:pPr>
            <w:r>
              <w:rPr>
                <w:bCs/>
                <w:color w:val="auto"/>
                <w:sz w:val="24"/>
              </w:rPr>
              <w:t>（一）</w:t>
            </w:r>
            <w:r>
              <w:rPr>
                <w:color w:val="auto"/>
                <w:sz w:val="24"/>
              </w:rPr>
              <w:t>贾郭山特级地质遗迹保护区（</w:t>
            </w:r>
            <w:r>
              <w:rPr>
                <w:bCs/>
                <w:color w:val="auto"/>
                <w:sz w:val="24"/>
              </w:rPr>
              <w:t>T</w:t>
            </w:r>
            <w:r>
              <w:rPr>
                <w:color w:val="auto"/>
                <w:sz w:val="24"/>
              </w:rPr>
              <w:t>），面积</w:t>
            </w:r>
            <w:r>
              <w:rPr>
                <w:bCs/>
                <w:color w:val="auto"/>
                <w:sz w:val="24"/>
              </w:rPr>
              <w:t>4.94km</w:t>
            </w:r>
            <w:r>
              <w:rPr>
                <w:bCs/>
                <w:color w:val="auto"/>
                <w:sz w:val="24"/>
                <w:vertAlign w:val="superscript"/>
              </w:rPr>
              <w:t>2</w:t>
            </w:r>
            <w:r>
              <w:rPr>
                <w:bCs/>
                <w:color w:val="auto"/>
                <w:sz w:val="24"/>
              </w:rPr>
              <w:t>，占公园面积0.27%。主要保护贾郭山的世界级地质遗迹景观贾郭山峰丛（岭脊型峰丛）。</w:t>
            </w:r>
          </w:p>
          <w:p w14:paraId="4466FAB7">
            <w:pPr>
              <w:adjustRightInd w:val="0"/>
              <w:snapToGrid w:val="0"/>
              <w:spacing w:line="360" w:lineRule="auto"/>
              <w:ind w:firstLine="482" w:firstLineChars="200"/>
              <w:rPr>
                <w:b/>
                <w:color w:val="auto"/>
                <w:sz w:val="24"/>
              </w:rPr>
            </w:pPr>
            <w:r>
              <w:rPr>
                <w:rFonts w:hint="eastAsia"/>
                <w:b/>
                <w:color w:val="auto"/>
                <w:sz w:val="24"/>
              </w:rPr>
              <w:t>2</w:t>
            </w:r>
            <w:r>
              <w:rPr>
                <w:b/>
                <w:color w:val="auto"/>
                <w:sz w:val="24"/>
              </w:rPr>
              <w:t>、一级保护区（点）</w:t>
            </w:r>
          </w:p>
          <w:p w14:paraId="62E3330E">
            <w:pPr>
              <w:adjustRightInd w:val="0"/>
              <w:snapToGrid w:val="0"/>
              <w:spacing w:line="360" w:lineRule="auto"/>
              <w:ind w:firstLine="480" w:firstLineChars="200"/>
              <w:rPr>
                <w:bCs/>
                <w:color w:val="auto"/>
                <w:sz w:val="24"/>
              </w:rPr>
            </w:pPr>
            <w:r>
              <w:rPr>
                <w:bCs/>
                <w:color w:val="auto"/>
                <w:sz w:val="24"/>
              </w:rPr>
              <w:t>共2个一级地质遗迹保护区</w:t>
            </w:r>
            <w:r>
              <w:rPr>
                <w:color w:val="auto"/>
                <w:sz w:val="24"/>
              </w:rPr>
              <w:t>和2处</w:t>
            </w:r>
            <w:r>
              <w:rPr>
                <w:rFonts w:hint="eastAsia"/>
                <w:color w:val="auto"/>
                <w:sz w:val="24"/>
              </w:rPr>
              <w:t>一</w:t>
            </w:r>
            <w:r>
              <w:rPr>
                <w:color w:val="auto"/>
                <w:sz w:val="24"/>
              </w:rPr>
              <w:t>级地质遗迹保护点</w:t>
            </w:r>
            <w:r>
              <w:rPr>
                <w:bCs/>
                <w:color w:val="auto"/>
                <w:sz w:val="24"/>
              </w:rPr>
              <w:t>，总面积</w:t>
            </w:r>
            <w:r>
              <w:rPr>
                <w:color w:val="auto"/>
                <w:sz w:val="24"/>
              </w:rPr>
              <w:t>23.19</w:t>
            </w:r>
            <w:r>
              <w:rPr>
                <w:bCs/>
                <w:color w:val="auto"/>
                <w:sz w:val="24"/>
              </w:rPr>
              <w:t>km</w:t>
            </w:r>
            <w:r>
              <w:rPr>
                <w:bCs/>
                <w:color w:val="auto"/>
                <w:sz w:val="24"/>
                <w:vertAlign w:val="superscript"/>
              </w:rPr>
              <w:t>2</w:t>
            </w:r>
            <w:r>
              <w:rPr>
                <w:bCs/>
                <w:color w:val="auto"/>
                <w:sz w:val="24"/>
              </w:rPr>
              <w:t>，占公园面积1.28%。</w:t>
            </w:r>
          </w:p>
          <w:p w14:paraId="25D3F32C">
            <w:pPr>
              <w:adjustRightInd w:val="0"/>
              <w:snapToGrid w:val="0"/>
              <w:spacing w:line="360" w:lineRule="auto"/>
              <w:ind w:firstLine="480" w:firstLineChars="200"/>
              <w:rPr>
                <w:bCs/>
                <w:color w:val="auto"/>
                <w:sz w:val="24"/>
              </w:rPr>
            </w:pPr>
            <w:bookmarkStart w:id="6" w:name="_Hlk59200991"/>
            <w:r>
              <w:rPr>
                <w:bCs/>
                <w:color w:val="auto"/>
                <w:sz w:val="24"/>
              </w:rPr>
              <w:t>（一）万字格一级地质遗迹保护区（Ⅰ-1），</w:t>
            </w:r>
            <w:r>
              <w:rPr>
                <w:color w:val="auto"/>
                <w:sz w:val="24"/>
              </w:rPr>
              <w:t>面积</w:t>
            </w:r>
            <w:r>
              <w:rPr>
                <w:bCs/>
                <w:color w:val="auto"/>
                <w:sz w:val="24"/>
              </w:rPr>
              <w:t>3.79km</w:t>
            </w:r>
            <w:r>
              <w:rPr>
                <w:bCs/>
                <w:color w:val="auto"/>
                <w:sz w:val="24"/>
                <w:vertAlign w:val="superscript"/>
              </w:rPr>
              <w:t>2</w:t>
            </w:r>
            <w:r>
              <w:rPr>
                <w:bCs/>
                <w:color w:val="auto"/>
                <w:sz w:val="24"/>
              </w:rPr>
              <w:t>，占公园面积0.21%。主要保护万字格的奥陶纪石林喀斯特地貌。</w:t>
            </w:r>
          </w:p>
          <w:bookmarkEnd w:id="6"/>
          <w:p w14:paraId="27A52A1C">
            <w:pPr>
              <w:adjustRightInd w:val="0"/>
              <w:snapToGrid w:val="0"/>
              <w:spacing w:line="360" w:lineRule="auto"/>
              <w:ind w:firstLine="480" w:firstLineChars="200"/>
              <w:rPr>
                <w:bCs/>
                <w:color w:val="auto"/>
                <w:sz w:val="24"/>
              </w:rPr>
            </w:pPr>
            <w:r>
              <w:rPr>
                <w:bCs/>
                <w:color w:val="auto"/>
                <w:sz w:val="24"/>
              </w:rPr>
              <w:t>（</w:t>
            </w:r>
            <w:r>
              <w:rPr>
                <w:rFonts w:hint="eastAsia"/>
                <w:bCs/>
                <w:color w:val="auto"/>
                <w:sz w:val="24"/>
              </w:rPr>
              <w:t>二</w:t>
            </w:r>
            <w:r>
              <w:rPr>
                <w:bCs/>
                <w:color w:val="auto"/>
                <w:sz w:val="24"/>
              </w:rPr>
              <w:t>）大小兰沟一级地质遗迹保护区（Ⅰ-2），</w:t>
            </w:r>
            <w:r>
              <w:rPr>
                <w:color w:val="auto"/>
                <w:sz w:val="24"/>
              </w:rPr>
              <w:t>面积</w:t>
            </w:r>
            <w:r>
              <w:rPr>
                <w:bCs/>
                <w:color w:val="auto"/>
                <w:sz w:val="24"/>
              </w:rPr>
              <w:t>19.40km</w:t>
            </w:r>
            <w:r>
              <w:rPr>
                <w:bCs/>
                <w:color w:val="auto"/>
                <w:sz w:val="24"/>
                <w:vertAlign w:val="superscript"/>
              </w:rPr>
              <w:t>2</w:t>
            </w:r>
            <w:r>
              <w:rPr>
                <w:bCs/>
                <w:color w:val="auto"/>
                <w:sz w:val="24"/>
              </w:rPr>
              <w:t>，占公园面积1.07%</w:t>
            </w:r>
            <w:r>
              <w:rPr>
                <w:rFonts w:hint="eastAsia"/>
                <w:bCs/>
                <w:color w:val="auto"/>
                <w:sz w:val="24"/>
              </w:rPr>
              <w:t>，</w:t>
            </w:r>
            <w:bookmarkStart w:id="7" w:name="_Hlk116311817"/>
            <w:r>
              <w:rPr>
                <w:rFonts w:hint="eastAsia"/>
                <w:bCs/>
                <w:color w:val="auto"/>
                <w:sz w:val="24"/>
              </w:rPr>
              <w:t>不包括公路南侧2</w:t>
            </w:r>
            <w:r>
              <w:rPr>
                <w:bCs/>
                <w:color w:val="auto"/>
                <w:sz w:val="24"/>
              </w:rPr>
              <w:t>00m</w:t>
            </w:r>
            <w:r>
              <w:rPr>
                <w:rFonts w:hint="eastAsia"/>
                <w:bCs/>
                <w:color w:val="auto"/>
                <w:sz w:val="24"/>
              </w:rPr>
              <w:t>范围</w:t>
            </w:r>
            <w:bookmarkEnd w:id="7"/>
            <w:r>
              <w:rPr>
                <w:rFonts w:hint="eastAsia"/>
                <w:bCs/>
                <w:color w:val="auto"/>
                <w:sz w:val="24"/>
              </w:rPr>
              <w:t>区域</w:t>
            </w:r>
            <w:r>
              <w:rPr>
                <w:bCs/>
                <w:color w:val="auto"/>
                <w:sz w:val="24"/>
              </w:rPr>
              <w:t>。主要保护大小兰沟的花岗岩地貌及水青冈原始森林，</w:t>
            </w:r>
            <w:r>
              <w:rPr>
                <w:rFonts w:hint="eastAsia"/>
                <w:bCs/>
                <w:color w:val="auto"/>
                <w:sz w:val="24"/>
              </w:rPr>
              <w:t>为</w:t>
            </w:r>
            <w:r>
              <w:rPr>
                <w:bCs/>
                <w:color w:val="auto"/>
                <w:sz w:val="24"/>
              </w:rPr>
              <w:t>原大小兰沟省级自然保护区的核心区与缓冲区</w:t>
            </w:r>
            <w:r>
              <w:rPr>
                <w:rFonts w:hint="eastAsia"/>
                <w:bCs/>
                <w:color w:val="auto"/>
                <w:sz w:val="24"/>
              </w:rPr>
              <w:t>，</w:t>
            </w:r>
            <w:r>
              <w:rPr>
                <w:bCs/>
                <w:color w:val="auto"/>
                <w:sz w:val="24"/>
              </w:rPr>
              <w:t>。</w:t>
            </w:r>
          </w:p>
          <w:p w14:paraId="19176740">
            <w:pPr>
              <w:adjustRightInd w:val="0"/>
              <w:snapToGrid w:val="0"/>
              <w:spacing w:line="360" w:lineRule="auto"/>
              <w:ind w:firstLine="480" w:firstLineChars="200"/>
              <w:rPr>
                <w:color w:val="auto"/>
                <w:sz w:val="24"/>
              </w:rPr>
            </w:pPr>
            <w:r>
              <w:rPr>
                <w:bCs/>
                <w:color w:val="auto"/>
                <w:sz w:val="24"/>
              </w:rPr>
              <w:t>（</w:t>
            </w:r>
            <w:r>
              <w:rPr>
                <w:rFonts w:hint="eastAsia"/>
                <w:bCs/>
                <w:color w:val="auto"/>
                <w:sz w:val="24"/>
              </w:rPr>
              <w:t>三</w:t>
            </w:r>
            <w:r>
              <w:rPr>
                <w:bCs/>
                <w:color w:val="auto"/>
                <w:sz w:val="24"/>
              </w:rPr>
              <w:t>）</w:t>
            </w:r>
            <w:r>
              <w:rPr>
                <w:rFonts w:hint="eastAsia"/>
                <w:bCs/>
                <w:color w:val="auto"/>
                <w:sz w:val="24"/>
              </w:rPr>
              <w:t>一</w:t>
            </w:r>
            <w:r>
              <w:rPr>
                <w:bCs/>
                <w:color w:val="auto"/>
                <w:sz w:val="24"/>
              </w:rPr>
              <w:t>级保护点（ⅠD）：</w:t>
            </w:r>
            <w:r>
              <w:rPr>
                <w:color w:val="auto"/>
                <w:sz w:val="24"/>
              </w:rPr>
              <w:t>龙湖洞的亿万鹅管、楼房洞的雄川瀑布</w:t>
            </w:r>
          </w:p>
          <w:p w14:paraId="7A8CD1F4">
            <w:pPr>
              <w:adjustRightInd w:val="0"/>
              <w:snapToGrid w:val="0"/>
              <w:spacing w:line="360" w:lineRule="auto"/>
              <w:ind w:firstLine="480" w:firstLineChars="200"/>
              <w:rPr>
                <w:color w:val="auto"/>
                <w:sz w:val="24"/>
              </w:rPr>
            </w:pPr>
            <w:r>
              <w:rPr>
                <w:color w:val="auto"/>
                <w:sz w:val="24"/>
              </w:rPr>
              <w:t>亿万鹅管：该片鹅管群直径1～3cm，壁厚0.5～7mm，单片面积约800m</w:t>
            </w:r>
            <w:r>
              <w:rPr>
                <w:color w:val="auto"/>
                <w:sz w:val="24"/>
                <w:vertAlign w:val="superscript"/>
              </w:rPr>
              <w:t>2</w:t>
            </w:r>
            <w:r>
              <w:rPr>
                <w:color w:val="auto"/>
                <w:sz w:val="24"/>
              </w:rPr>
              <w:t>，是目前世界上发现的单片面积最大的鹅管群，还处于生长发育中。</w:t>
            </w:r>
          </w:p>
          <w:p w14:paraId="105DDD2B">
            <w:pPr>
              <w:adjustRightInd w:val="0"/>
              <w:snapToGrid w:val="0"/>
              <w:spacing w:line="360" w:lineRule="auto"/>
              <w:ind w:firstLine="480" w:firstLineChars="200"/>
              <w:rPr>
                <w:bCs/>
                <w:color w:val="auto"/>
                <w:sz w:val="24"/>
              </w:rPr>
            </w:pPr>
            <w:r>
              <w:rPr>
                <w:color w:val="auto"/>
                <w:sz w:val="24"/>
              </w:rPr>
              <w:t>雄川瀑布：宽23.7m，高3.5m，目前仍在生长发育。该瀑布的规模和体量在同类景观中世界少见。</w:t>
            </w:r>
          </w:p>
          <w:p w14:paraId="7B352C04">
            <w:pPr>
              <w:adjustRightInd w:val="0"/>
              <w:snapToGrid w:val="0"/>
              <w:spacing w:line="360" w:lineRule="auto"/>
              <w:ind w:firstLine="482" w:firstLineChars="200"/>
              <w:rPr>
                <w:b/>
                <w:color w:val="auto"/>
                <w:sz w:val="24"/>
              </w:rPr>
            </w:pPr>
            <w:r>
              <w:rPr>
                <w:rFonts w:hint="eastAsia"/>
                <w:b/>
                <w:color w:val="auto"/>
                <w:sz w:val="24"/>
              </w:rPr>
              <w:t>3</w:t>
            </w:r>
            <w:r>
              <w:rPr>
                <w:b/>
                <w:color w:val="auto"/>
                <w:sz w:val="24"/>
              </w:rPr>
              <w:t>、二级保护区</w:t>
            </w:r>
          </w:p>
          <w:p w14:paraId="3E14BBDF">
            <w:pPr>
              <w:adjustRightInd w:val="0"/>
              <w:snapToGrid w:val="0"/>
              <w:spacing w:line="360" w:lineRule="auto"/>
              <w:ind w:firstLine="480" w:firstLineChars="200"/>
              <w:rPr>
                <w:color w:val="auto"/>
                <w:sz w:val="24"/>
              </w:rPr>
            </w:pPr>
            <w:r>
              <w:rPr>
                <w:color w:val="auto"/>
                <w:sz w:val="24"/>
              </w:rPr>
              <w:t>共5个二级地质遗迹保护区，总面积117.19km</w:t>
            </w:r>
            <w:r>
              <w:rPr>
                <w:color w:val="auto"/>
                <w:sz w:val="24"/>
                <w:vertAlign w:val="superscript"/>
              </w:rPr>
              <w:t>2</w:t>
            </w:r>
            <w:r>
              <w:rPr>
                <w:color w:val="auto"/>
                <w:sz w:val="24"/>
              </w:rPr>
              <w:t>，占公园面积6.45%。</w:t>
            </w:r>
          </w:p>
          <w:p w14:paraId="08FAD187">
            <w:pPr>
              <w:adjustRightInd w:val="0"/>
              <w:snapToGrid w:val="0"/>
              <w:spacing w:line="360" w:lineRule="auto"/>
              <w:ind w:firstLine="480" w:firstLineChars="200"/>
              <w:rPr>
                <w:bCs/>
                <w:color w:val="auto"/>
                <w:sz w:val="24"/>
              </w:rPr>
            </w:pPr>
            <w:r>
              <w:rPr>
                <w:bCs/>
                <w:color w:val="auto"/>
                <w:sz w:val="24"/>
              </w:rPr>
              <w:t>（一）</w:t>
            </w:r>
            <w:r>
              <w:rPr>
                <w:rFonts w:hint="eastAsia"/>
                <w:bCs/>
                <w:color w:val="auto"/>
                <w:sz w:val="24"/>
              </w:rPr>
              <w:t>万字格二级地质遗迹保护区</w:t>
            </w:r>
            <w:r>
              <w:rPr>
                <w:bCs/>
                <w:color w:val="auto"/>
                <w:sz w:val="24"/>
              </w:rPr>
              <w:t>（Ⅱ-1），</w:t>
            </w:r>
            <w:r>
              <w:rPr>
                <w:color w:val="auto"/>
                <w:sz w:val="24"/>
              </w:rPr>
              <w:t>面积</w:t>
            </w:r>
            <w:r>
              <w:rPr>
                <w:bCs/>
                <w:color w:val="auto"/>
                <w:sz w:val="24"/>
              </w:rPr>
              <w:t>19.12km</w:t>
            </w:r>
            <w:r>
              <w:rPr>
                <w:bCs/>
                <w:color w:val="auto"/>
                <w:sz w:val="24"/>
                <w:vertAlign w:val="superscript"/>
              </w:rPr>
              <w:t>2</w:t>
            </w:r>
            <w:r>
              <w:rPr>
                <w:bCs/>
                <w:color w:val="auto"/>
                <w:sz w:val="24"/>
              </w:rPr>
              <w:t>，占公园面积1.05%。主要保护万字格的奥陶纪石林喀斯特地貌</w:t>
            </w:r>
            <w:r>
              <w:rPr>
                <w:rFonts w:hint="eastAsia"/>
                <w:bCs/>
                <w:color w:val="auto"/>
                <w:sz w:val="24"/>
              </w:rPr>
              <w:t>和原始森林</w:t>
            </w:r>
            <w:r>
              <w:rPr>
                <w:bCs/>
                <w:color w:val="auto"/>
                <w:sz w:val="24"/>
              </w:rPr>
              <w:t>。</w:t>
            </w:r>
          </w:p>
          <w:p w14:paraId="62B37D66">
            <w:pPr>
              <w:adjustRightInd w:val="0"/>
              <w:snapToGrid w:val="0"/>
              <w:spacing w:line="360" w:lineRule="auto"/>
              <w:ind w:firstLine="480" w:firstLineChars="200"/>
              <w:rPr>
                <w:bCs/>
                <w:color w:val="auto"/>
                <w:sz w:val="24"/>
              </w:rPr>
            </w:pPr>
            <w:r>
              <w:rPr>
                <w:bCs/>
                <w:color w:val="auto"/>
                <w:sz w:val="24"/>
              </w:rPr>
              <w:t>（二）</w:t>
            </w:r>
            <w:r>
              <w:rPr>
                <w:rFonts w:hint="eastAsia"/>
                <w:bCs/>
                <w:color w:val="auto"/>
                <w:sz w:val="24"/>
              </w:rPr>
              <w:t>焦家河</w:t>
            </w:r>
            <w:r>
              <w:rPr>
                <w:bCs/>
                <w:color w:val="auto"/>
                <w:sz w:val="24"/>
              </w:rPr>
              <w:t>二级地质遗迹保护区（Ⅱ-2），</w:t>
            </w:r>
            <w:r>
              <w:rPr>
                <w:color w:val="auto"/>
                <w:sz w:val="24"/>
              </w:rPr>
              <w:t>面积</w:t>
            </w:r>
            <w:r>
              <w:rPr>
                <w:bCs/>
                <w:color w:val="auto"/>
                <w:sz w:val="24"/>
              </w:rPr>
              <w:t>27.01km</w:t>
            </w:r>
            <w:r>
              <w:rPr>
                <w:bCs/>
                <w:color w:val="auto"/>
                <w:sz w:val="24"/>
                <w:vertAlign w:val="superscript"/>
              </w:rPr>
              <w:t>2</w:t>
            </w:r>
            <w:r>
              <w:rPr>
                <w:bCs/>
                <w:color w:val="auto"/>
                <w:sz w:val="24"/>
              </w:rPr>
              <w:t>，占公园面积1.49%。主要保护燕子岭</w:t>
            </w:r>
            <w:r>
              <w:rPr>
                <w:rFonts w:hint="eastAsia"/>
                <w:bCs/>
                <w:color w:val="auto"/>
                <w:sz w:val="24"/>
              </w:rPr>
              <w:t>和焦家河南岸</w:t>
            </w:r>
            <w:r>
              <w:rPr>
                <w:bCs/>
                <w:color w:val="auto"/>
                <w:sz w:val="24"/>
              </w:rPr>
              <w:t>一带的峰丛等喀斯特地貌、深谷等峡谷地貌和水青冈原始森林</w:t>
            </w:r>
            <w:r>
              <w:rPr>
                <w:rFonts w:hint="eastAsia"/>
                <w:bCs/>
                <w:color w:val="auto"/>
                <w:sz w:val="24"/>
              </w:rPr>
              <w:t>，部分区域为原</w:t>
            </w:r>
            <w:r>
              <w:rPr>
                <w:bCs/>
                <w:color w:val="auto"/>
                <w:sz w:val="24"/>
              </w:rPr>
              <w:t>光雾山省级自然保护区的核心区与缓冲区。</w:t>
            </w:r>
          </w:p>
          <w:p w14:paraId="69D9FC33">
            <w:pPr>
              <w:adjustRightInd w:val="0"/>
              <w:snapToGrid w:val="0"/>
              <w:spacing w:line="360" w:lineRule="auto"/>
              <w:ind w:firstLine="480" w:firstLineChars="200"/>
              <w:rPr>
                <w:bCs/>
                <w:color w:val="auto"/>
                <w:sz w:val="24"/>
              </w:rPr>
            </w:pPr>
            <w:r>
              <w:rPr>
                <w:bCs/>
                <w:color w:val="auto"/>
                <w:sz w:val="24"/>
              </w:rPr>
              <w:t>（三）</w:t>
            </w:r>
            <w:r>
              <w:rPr>
                <w:rFonts w:hint="eastAsia"/>
                <w:bCs/>
                <w:color w:val="auto"/>
                <w:sz w:val="24"/>
              </w:rPr>
              <w:t>诺水河西岸二级地质遗迹保护区</w:t>
            </w:r>
            <w:r>
              <w:rPr>
                <w:bCs/>
                <w:color w:val="auto"/>
                <w:sz w:val="24"/>
              </w:rPr>
              <w:t>（Ⅱ-3），</w:t>
            </w:r>
            <w:r>
              <w:rPr>
                <w:color w:val="auto"/>
                <w:sz w:val="24"/>
              </w:rPr>
              <w:t>面积</w:t>
            </w:r>
            <w:r>
              <w:rPr>
                <w:bCs/>
                <w:color w:val="auto"/>
                <w:sz w:val="24"/>
              </w:rPr>
              <w:t>28.24km</w:t>
            </w:r>
            <w:r>
              <w:rPr>
                <w:bCs/>
                <w:color w:val="auto"/>
                <w:sz w:val="24"/>
                <w:vertAlign w:val="superscript"/>
              </w:rPr>
              <w:t>2</w:t>
            </w:r>
            <w:r>
              <w:rPr>
                <w:bCs/>
                <w:color w:val="auto"/>
                <w:sz w:val="24"/>
              </w:rPr>
              <w:t>，占公园面积1.55%。主要保护诺水河</w:t>
            </w:r>
            <w:r>
              <w:rPr>
                <w:rFonts w:hint="eastAsia"/>
                <w:bCs/>
                <w:color w:val="auto"/>
                <w:sz w:val="24"/>
              </w:rPr>
              <w:t>西岸</w:t>
            </w:r>
            <w:r>
              <w:rPr>
                <w:bCs/>
                <w:color w:val="auto"/>
                <w:sz w:val="24"/>
              </w:rPr>
              <w:t>地区的喀斯特地貌</w:t>
            </w:r>
            <w:r>
              <w:rPr>
                <w:rFonts w:hint="eastAsia"/>
                <w:bCs/>
                <w:color w:val="auto"/>
                <w:sz w:val="24"/>
              </w:rPr>
              <w:t>和原始森林</w:t>
            </w:r>
            <w:r>
              <w:rPr>
                <w:bCs/>
                <w:color w:val="auto"/>
                <w:sz w:val="24"/>
              </w:rPr>
              <w:t>。</w:t>
            </w:r>
          </w:p>
          <w:p w14:paraId="7DEA3BD3">
            <w:pPr>
              <w:adjustRightInd w:val="0"/>
              <w:snapToGrid w:val="0"/>
              <w:spacing w:line="360" w:lineRule="auto"/>
              <w:ind w:firstLine="480" w:firstLineChars="200"/>
              <w:rPr>
                <w:bCs/>
                <w:color w:val="auto"/>
                <w:sz w:val="24"/>
              </w:rPr>
            </w:pPr>
            <w:r>
              <w:rPr>
                <w:rFonts w:hint="eastAsia"/>
                <w:bCs/>
                <w:color w:val="auto"/>
                <w:sz w:val="24"/>
              </w:rPr>
              <w:t>（四）诺水河东岸二级地质遗迹保护区</w:t>
            </w:r>
            <w:r>
              <w:rPr>
                <w:bCs/>
                <w:color w:val="auto"/>
                <w:sz w:val="24"/>
              </w:rPr>
              <w:t>（Ⅱ-4），</w:t>
            </w:r>
            <w:r>
              <w:rPr>
                <w:color w:val="auto"/>
                <w:sz w:val="24"/>
              </w:rPr>
              <w:t>面积</w:t>
            </w:r>
            <w:r>
              <w:rPr>
                <w:bCs/>
                <w:color w:val="auto"/>
                <w:sz w:val="24"/>
              </w:rPr>
              <w:t>3.41km</w:t>
            </w:r>
            <w:r>
              <w:rPr>
                <w:bCs/>
                <w:color w:val="auto"/>
                <w:sz w:val="24"/>
                <w:vertAlign w:val="superscript"/>
              </w:rPr>
              <w:t>2</w:t>
            </w:r>
            <w:r>
              <w:rPr>
                <w:bCs/>
                <w:color w:val="auto"/>
                <w:sz w:val="24"/>
              </w:rPr>
              <w:t>，占公园面积0.19%。主要保护诺水河</w:t>
            </w:r>
            <w:r>
              <w:rPr>
                <w:rFonts w:hint="eastAsia"/>
                <w:bCs/>
                <w:color w:val="auto"/>
                <w:sz w:val="24"/>
              </w:rPr>
              <w:t>东岸</w:t>
            </w:r>
            <w:r>
              <w:rPr>
                <w:bCs/>
                <w:color w:val="auto"/>
                <w:sz w:val="24"/>
              </w:rPr>
              <w:t>地区的喀斯特地貌</w:t>
            </w:r>
            <w:r>
              <w:rPr>
                <w:rFonts w:hint="eastAsia"/>
                <w:bCs/>
                <w:color w:val="auto"/>
                <w:sz w:val="24"/>
              </w:rPr>
              <w:t>和原始森林。</w:t>
            </w:r>
          </w:p>
          <w:p w14:paraId="095BB21A">
            <w:pPr>
              <w:adjustRightInd w:val="0"/>
              <w:snapToGrid w:val="0"/>
              <w:spacing w:line="360" w:lineRule="auto"/>
              <w:ind w:firstLine="480" w:firstLineChars="200"/>
              <w:rPr>
                <w:bCs/>
                <w:color w:val="auto"/>
                <w:sz w:val="24"/>
              </w:rPr>
            </w:pPr>
            <w:r>
              <w:rPr>
                <w:rFonts w:hint="eastAsia"/>
                <w:bCs/>
                <w:color w:val="auto"/>
                <w:sz w:val="24"/>
              </w:rPr>
              <w:t>（五）</w:t>
            </w:r>
            <w:r>
              <w:rPr>
                <w:bCs/>
                <w:color w:val="auto"/>
                <w:sz w:val="24"/>
              </w:rPr>
              <w:t>大通江西岸二级地质遗迹保护区（Ⅱ-5），</w:t>
            </w:r>
            <w:r>
              <w:rPr>
                <w:color w:val="auto"/>
                <w:sz w:val="24"/>
              </w:rPr>
              <w:t>面积</w:t>
            </w:r>
            <w:r>
              <w:rPr>
                <w:bCs/>
                <w:color w:val="auto"/>
                <w:sz w:val="24"/>
              </w:rPr>
              <w:t>39.41km</w:t>
            </w:r>
            <w:r>
              <w:rPr>
                <w:bCs/>
                <w:color w:val="auto"/>
                <w:sz w:val="24"/>
                <w:vertAlign w:val="superscript"/>
              </w:rPr>
              <w:t>2</w:t>
            </w:r>
            <w:r>
              <w:rPr>
                <w:bCs/>
                <w:color w:val="auto"/>
                <w:sz w:val="24"/>
              </w:rPr>
              <w:t>，占公园面积2.17%。主要保护空山天盆的石林、峰丛等喀斯特地貌和大通江峡谷地貌及空山天盆盆缘原始森林</w:t>
            </w:r>
            <w:r>
              <w:rPr>
                <w:rFonts w:hint="eastAsia"/>
                <w:bCs/>
                <w:color w:val="auto"/>
                <w:sz w:val="24"/>
              </w:rPr>
              <w:t>。</w:t>
            </w:r>
          </w:p>
          <w:p w14:paraId="0046CEED">
            <w:pPr>
              <w:adjustRightInd w:val="0"/>
              <w:snapToGrid w:val="0"/>
              <w:spacing w:line="360" w:lineRule="auto"/>
              <w:ind w:firstLine="482" w:firstLineChars="200"/>
              <w:rPr>
                <w:b/>
                <w:color w:val="auto"/>
                <w:sz w:val="24"/>
              </w:rPr>
            </w:pPr>
            <w:r>
              <w:rPr>
                <w:rFonts w:hint="eastAsia"/>
                <w:b/>
                <w:color w:val="auto"/>
                <w:sz w:val="24"/>
              </w:rPr>
              <w:t>4</w:t>
            </w:r>
            <w:r>
              <w:rPr>
                <w:b/>
                <w:color w:val="auto"/>
                <w:sz w:val="24"/>
              </w:rPr>
              <w:t>、三级保护区（点）</w:t>
            </w:r>
          </w:p>
          <w:p w14:paraId="11D54F10">
            <w:pPr>
              <w:adjustRightInd w:val="0"/>
              <w:snapToGrid w:val="0"/>
              <w:spacing w:line="360" w:lineRule="auto"/>
              <w:ind w:firstLine="480" w:firstLineChars="200"/>
              <w:rPr>
                <w:color w:val="auto"/>
                <w:sz w:val="24"/>
              </w:rPr>
            </w:pPr>
            <w:r>
              <w:rPr>
                <w:color w:val="auto"/>
                <w:sz w:val="24"/>
              </w:rPr>
              <w:t>共6个三级地质遗迹保护区和6处三级地质遗迹保护点，总面积99.71km</w:t>
            </w:r>
            <w:r>
              <w:rPr>
                <w:color w:val="auto"/>
                <w:sz w:val="24"/>
                <w:vertAlign w:val="superscript"/>
              </w:rPr>
              <w:t>2</w:t>
            </w:r>
            <w:r>
              <w:rPr>
                <w:color w:val="auto"/>
                <w:sz w:val="24"/>
              </w:rPr>
              <w:t>，占公园面积5.48%。</w:t>
            </w:r>
          </w:p>
          <w:p w14:paraId="3E31F8A2">
            <w:pPr>
              <w:adjustRightInd w:val="0"/>
              <w:snapToGrid w:val="0"/>
              <w:spacing w:line="360" w:lineRule="auto"/>
              <w:ind w:firstLine="480" w:firstLineChars="200"/>
              <w:rPr>
                <w:bCs/>
                <w:color w:val="auto"/>
                <w:sz w:val="24"/>
              </w:rPr>
            </w:pPr>
            <w:bookmarkStart w:id="8" w:name="_Hlk59201259"/>
            <w:r>
              <w:rPr>
                <w:bCs/>
                <w:color w:val="auto"/>
                <w:sz w:val="24"/>
              </w:rPr>
              <w:t>（</w:t>
            </w:r>
            <w:r>
              <w:rPr>
                <w:rFonts w:hint="eastAsia"/>
                <w:bCs/>
                <w:color w:val="auto"/>
                <w:sz w:val="24"/>
              </w:rPr>
              <w:t>1</w:t>
            </w:r>
            <w:r>
              <w:rPr>
                <w:bCs/>
                <w:color w:val="auto"/>
                <w:sz w:val="24"/>
              </w:rPr>
              <w:t>）十八月潭三级地质遗迹保护区（Ⅲ-1），</w:t>
            </w:r>
            <w:r>
              <w:rPr>
                <w:color w:val="auto"/>
                <w:sz w:val="24"/>
              </w:rPr>
              <w:t>面积</w:t>
            </w:r>
            <w:r>
              <w:rPr>
                <w:bCs/>
                <w:color w:val="auto"/>
                <w:sz w:val="24"/>
              </w:rPr>
              <w:t>9.47km</w:t>
            </w:r>
            <w:r>
              <w:rPr>
                <w:bCs/>
                <w:color w:val="auto"/>
                <w:sz w:val="24"/>
                <w:vertAlign w:val="superscript"/>
              </w:rPr>
              <w:t>2</w:t>
            </w:r>
            <w:r>
              <w:rPr>
                <w:bCs/>
                <w:color w:val="auto"/>
                <w:sz w:val="24"/>
              </w:rPr>
              <w:t>，占公园面积0.52%。主要保护十八月潭地区的瀑布、潭池、滩流等水体景观及峡谷地貌和水青冈原始森林。</w:t>
            </w:r>
          </w:p>
          <w:p w14:paraId="0290CD67">
            <w:pPr>
              <w:adjustRightInd w:val="0"/>
              <w:snapToGrid w:val="0"/>
              <w:spacing w:line="360" w:lineRule="auto"/>
              <w:ind w:firstLine="480" w:firstLineChars="200"/>
              <w:rPr>
                <w:bCs/>
                <w:color w:val="auto"/>
                <w:sz w:val="24"/>
              </w:rPr>
            </w:pPr>
            <w:r>
              <w:rPr>
                <w:bCs/>
                <w:color w:val="auto"/>
                <w:sz w:val="24"/>
              </w:rPr>
              <w:t>（</w:t>
            </w:r>
            <w:r>
              <w:rPr>
                <w:rFonts w:hint="eastAsia"/>
                <w:bCs/>
                <w:color w:val="auto"/>
                <w:sz w:val="24"/>
              </w:rPr>
              <w:t>2</w:t>
            </w:r>
            <w:r>
              <w:rPr>
                <w:bCs/>
                <w:color w:val="auto"/>
                <w:sz w:val="24"/>
              </w:rPr>
              <w:t>）神门三级地质遗迹保护区（Ⅲ-2），</w:t>
            </w:r>
            <w:r>
              <w:rPr>
                <w:color w:val="auto"/>
                <w:sz w:val="24"/>
              </w:rPr>
              <w:t>面积</w:t>
            </w:r>
            <w:r>
              <w:rPr>
                <w:bCs/>
                <w:color w:val="auto"/>
                <w:sz w:val="24"/>
              </w:rPr>
              <w:t>36.87km</w:t>
            </w:r>
            <w:r>
              <w:rPr>
                <w:bCs/>
                <w:color w:val="auto"/>
                <w:sz w:val="24"/>
                <w:vertAlign w:val="superscript"/>
              </w:rPr>
              <w:t>2</w:t>
            </w:r>
            <w:r>
              <w:rPr>
                <w:bCs/>
                <w:color w:val="auto"/>
                <w:sz w:val="24"/>
              </w:rPr>
              <w:t>，占公园面积2.03%。主要保护神门地区的峰丛、溶洞等喀斯特地貌。</w:t>
            </w:r>
          </w:p>
          <w:p w14:paraId="21E4627F">
            <w:pPr>
              <w:adjustRightInd w:val="0"/>
              <w:snapToGrid w:val="0"/>
              <w:spacing w:line="360" w:lineRule="auto"/>
              <w:ind w:firstLine="480" w:firstLineChars="200"/>
              <w:rPr>
                <w:bCs/>
                <w:color w:val="auto"/>
                <w:sz w:val="24"/>
              </w:rPr>
            </w:pPr>
            <w:r>
              <w:rPr>
                <w:bCs/>
                <w:color w:val="auto"/>
                <w:sz w:val="24"/>
              </w:rPr>
              <w:t>（</w:t>
            </w:r>
            <w:r>
              <w:rPr>
                <w:rFonts w:hint="eastAsia"/>
                <w:bCs/>
                <w:color w:val="auto"/>
                <w:sz w:val="24"/>
              </w:rPr>
              <w:t>3</w:t>
            </w:r>
            <w:r>
              <w:rPr>
                <w:bCs/>
                <w:color w:val="auto"/>
                <w:sz w:val="24"/>
              </w:rPr>
              <w:t>）小巫峡东坡三级地质遗迹保护区（Ⅲ-3），</w:t>
            </w:r>
            <w:r>
              <w:rPr>
                <w:color w:val="auto"/>
                <w:sz w:val="24"/>
              </w:rPr>
              <w:t>面积</w:t>
            </w:r>
            <w:r>
              <w:rPr>
                <w:bCs/>
                <w:color w:val="auto"/>
                <w:sz w:val="24"/>
              </w:rPr>
              <w:t>21.56km</w:t>
            </w:r>
            <w:r>
              <w:rPr>
                <w:bCs/>
                <w:color w:val="auto"/>
                <w:sz w:val="24"/>
                <w:vertAlign w:val="superscript"/>
              </w:rPr>
              <w:t>2</w:t>
            </w:r>
            <w:r>
              <w:rPr>
                <w:bCs/>
                <w:color w:val="auto"/>
                <w:sz w:val="24"/>
              </w:rPr>
              <w:t>，占公园面积1.19%。主要保护小巫峡东坡地区的溶洞等喀斯特地貌、深谷等峡谷地貌和古生物化石景观。</w:t>
            </w:r>
          </w:p>
          <w:p w14:paraId="015D910E">
            <w:pPr>
              <w:adjustRightInd w:val="0"/>
              <w:snapToGrid w:val="0"/>
              <w:spacing w:line="360" w:lineRule="auto"/>
              <w:ind w:firstLine="480" w:firstLineChars="200"/>
              <w:rPr>
                <w:bCs/>
                <w:color w:val="auto"/>
                <w:sz w:val="24"/>
              </w:rPr>
            </w:pPr>
            <w:r>
              <w:rPr>
                <w:bCs/>
                <w:color w:val="auto"/>
                <w:sz w:val="24"/>
              </w:rPr>
              <w:t>（</w:t>
            </w:r>
            <w:r>
              <w:rPr>
                <w:rFonts w:hint="eastAsia"/>
                <w:bCs/>
                <w:color w:val="auto"/>
                <w:sz w:val="24"/>
              </w:rPr>
              <w:t>4</w:t>
            </w:r>
            <w:r>
              <w:rPr>
                <w:bCs/>
                <w:color w:val="auto"/>
                <w:sz w:val="24"/>
              </w:rPr>
              <w:t>）</w:t>
            </w:r>
            <w:r>
              <w:rPr>
                <w:rFonts w:hint="eastAsia"/>
                <w:bCs/>
                <w:color w:val="auto"/>
                <w:sz w:val="24"/>
              </w:rPr>
              <w:t>石龙寨</w:t>
            </w:r>
            <w:r>
              <w:rPr>
                <w:bCs/>
                <w:color w:val="auto"/>
                <w:sz w:val="24"/>
              </w:rPr>
              <w:t>三级地质遗迹保护区（Ⅲ-4），</w:t>
            </w:r>
            <w:r>
              <w:rPr>
                <w:color w:val="auto"/>
                <w:sz w:val="24"/>
              </w:rPr>
              <w:t>面积</w:t>
            </w:r>
            <w:r>
              <w:rPr>
                <w:bCs/>
                <w:color w:val="auto"/>
                <w:sz w:val="24"/>
              </w:rPr>
              <w:t>15.56km</w:t>
            </w:r>
            <w:r>
              <w:rPr>
                <w:bCs/>
                <w:color w:val="auto"/>
                <w:sz w:val="24"/>
                <w:vertAlign w:val="superscript"/>
              </w:rPr>
              <w:t>2</w:t>
            </w:r>
            <w:r>
              <w:rPr>
                <w:bCs/>
                <w:color w:val="auto"/>
                <w:sz w:val="24"/>
              </w:rPr>
              <w:t>，占公园面积0.85%。主要保护</w:t>
            </w:r>
            <w:r>
              <w:rPr>
                <w:rFonts w:hint="eastAsia"/>
                <w:bCs/>
                <w:color w:val="auto"/>
                <w:sz w:val="24"/>
              </w:rPr>
              <w:t>石龙寨董氏蜀兽化石发现地、井坝恐龙化石发现地及赋存地层</w:t>
            </w:r>
            <w:r>
              <w:rPr>
                <w:bCs/>
                <w:color w:val="auto"/>
                <w:sz w:val="24"/>
              </w:rPr>
              <w:t>。</w:t>
            </w:r>
          </w:p>
          <w:p w14:paraId="2D02F0F0">
            <w:pPr>
              <w:adjustRightInd w:val="0"/>
              <w:snapToGrid w:val="0"/>
              <w:spacing w:line="360" w:lineRule="auto"/>
              <w:ind w:firstLine="480" w:firstLineChars="200"/>
              <w:rPr>
                <w:bCs/>
                <w:color w:val="auto"/>
                <w:sz w:val="24"/>
              </w:rPr>
            </w:pPr>
            <w:r>
              <w:rPr>
                <w:bCs/>
                <w:color w:val="auto"/>
                <w:sz w:val="24"/>
              </w:rPr>
              <w:t>（</w:t>
            </w:r>
            <w:r>
              <w:rPr>
                <w:rFonts w:hint="eastAsia"/>
                <w:bCs/>
                <w:color w:val="auto"/>
                <w:sz w:val="24"/>
              </w:rPr>
              <w:t>5</w:t>
            </w:r>
            <w:r>
              <w:rPr>
                <w:bCs/>
                <w:color w:val="auto"/>
                <w:sz w:val="24"/>
              </w:rPr>
              <w:t>）</w:t>
            </w:r>
            <w:bookmarkEnd w:id="8"/>
            <w:r>
              <w:rPr>
                <w:bCs/>
                <w:color w:val="auto"/>
                <w:sz w:val="24"/>
              </w:rPr>
              <w:t>诺水河峡谷三级地质遗迹保护区（Ⅲ-5），</w:t>
            </w:r>
            <w:r>
              <w:rPr>
                <w:color w:val="auto"/>
                <w:sz w:val="24"/>
              </w:rPr>
              <w:t>面积</w:t>
            </w:r>
            <w:r>
              <w:rPr>
                <w:bCs/>
                <w:color w:val="auto"/>
                <w:sz w:val="24"/>
              </w:rPr>
              <w:t>9.47km</w:t>
            </w:r>
            <w:r>
              <w:rPr>
                <w:bCs/>
                <w:color w:val="auto"/>
                <w:sz w:val="24"/>
                <w:vertAlign w:val="superscript"/>
              </w:rPr>
              <w:t>2</w:t>
            </w:r>
            <w:r>
              <w:rPr>
                <w:bCs/>
                <w:color w:val="auto"/>
                <w:sz w:val="24"/>
              </w:rPr>
              <w:t>，占公园面积0.52%。主要保护诺水河峡谷地区的溶洞等喀斯特地貌、寒武系-三叠系的地层剖面和深谷等峡谷地貌。</w:t>
            </w:r>
          </w:p>
          <w:p w14:paraId="61DDE866">
            <w:pPr>
              <w:adjustRightInd w:val="0"/>
              <w:snapToGrid w:val="0"/>
              <w:spacing w:line="360" w:lineRule="auto"/>
              <w:ind w:firstLine="480" w:firstLineChars="200"/>
              <w:rPr>
                <w:bCs/>
                <w:color w:val="auto"/>
                <w:sz w:val="24"/>
              </w:rPr>
            </w:pPr>
            <w:r>
              <w:rPr>
                <w:bCs/>
                <w:color w:val="auto"/>
                <w:sz w:val="24"/>
              </w:rPr>
              <w:t>（</w:t>
            </w:r>
            <w:r>
              <w:rPr>
                <w:rFonts w:hint="eastAsia"/>
                <w:bCs/>
                <w:color w:val="auto"/>
                <w:sz w:val="24"/>
              </w:rPr>
              <w:t>6</w:t>
            </w:r>
            <w:r>
              <w:rPr>
                <w:bCs/>
                <w:color w:val="auto"/>
                <w:sz w:val="24"/>
              </w:rPr>
              <w:t>）临江丽峡三级地质遗迹保护区（Ⅲ-6），</w:t>
            </w:r>
            <w:r>
              <w:rPr>
                <w:color w:val="auto"/>
                <w:sz w:val="24"/>
              </w:rPr>
              <w:t>面积</w:t>
            </w:r>
            <w:r>
              <w:rPr>
                <w:bCs/>
                <w:color w:val="auto"/>
                <w:sz w:val="24"/>
              </w:rPr>
              <w:t>6.78km</w:t>
            </w:r>
            <w:r>
              <w:rPr>
                <w:bCs/>
                <w:color w:val="auto"/>
                <w:sz w:val="24"/>
                <w:vertAlign w:val="superscript"/>
              </w:rPr>
              <w:t>2</w:t>
            </w:r>
            <w:r>
              <w:rPr>
                <w:bCs/>
                <w:color w:val="auto"/>
                <w:sz w:val="24"/>
              </w:rPr>
              <w:t>，占公园面积0.37%。主要保护临江丽峡地区的瀑潭水体景观及深谷等峡谷地貌。</w:t>
            </w:r>
          </w:p>
          <w:p w14:paraId="3C1D8DA8">
            <w:pPr>
              <w:adjustRightInd w:val="0"/>
              <w:snapToGrid w:val="0"/>
              <w:spacing w:line="360" w:lineRule="auto"/>
              <w:ind w:firstLine="480" w:firstLineChars="200"/>
              <w:rPr>
                <w:color w:val="auto"/>
                <w:sz w:val="24"/>
              </w:rPr>
            </w:pPr>
            <w:r>
              <w:rPr>
                <w:bCs/>
                <w:color w:val="auto"/>
                <w:sz w:val="24"/>
              </w:rPr>
              <w:t>（</w:t>
            </w:r>
            <w:r>
              <w:rPr>
                <w:rFonts w:hint="eastAsia"/>
                <w:bCs/>
                <w:color w:val="auto"/>
                <w:sz w:val="24"/>
              </w:rPr>
              <w:t>7</w:t>
            </w:r>
            <w:r>
              <w:rPr>
                <w:bCs/>
                <w:color w:val="auto"/>
                <w:sz w:val="24"/>
              </w:rPr>
              <w:t>）空山天盆三级地质遗迹保护点（ⅢD）：</w:t>
            </w:r>
            <w:r>
              <w:rPr>
                <w:color w:val="auto"/>
                <w:sz w:val="24"/>
              </w:rPr>
              <w:t>空山天盆的天蝉峰、天元峰、天宇峰、小龙池、大龙池和空山坝地下河</w:t>
            </w:r>
            <w:r>
              <w:rPr>
                <w:rFonts w:hint="eastAsia"/>
                <w:color w:val="auto"/>
                <w:sz w:val="24"/>
              </w:rPr>
              <w:t>。</w:t>
            </w:r>
          </w:p>
          <w:p w14:paraId="43FA405F">
            <w:pPr>
              <w:adjustRightInd w:val="0"/>
              <w:snapToGrid w:val="0"/>
              <w:spacing w:line="360" w:lineRule="auto"/>
              <w:ind w:firstLine="480" w:firstLineChars="200"/>
              <w:rPr>
                <w:color w:val="auto"/>
                <w:sz w:val="24"/>
              </w:rPr>
            </w:pPr>
            <w:r>
              <w:rPr>
                <w:color w:val="auto"/>
                <w:sz w:val="24"/>
              </w:rPr>
              <w:t>天蝉峰：孤峰，与天宇峰仅百米之距，南侧陡峭，为绝壁，高120m，北侧坡度较缓。</w:t>
            </w:r>
          </w:p>
          <w:p w14:paraId="4CD5C408">
            <w:pPr>
              <w:adjustRightInd w:val="0"/>
              <w:snapToGrid w:val="0"/>
              <w:spacing w:line="360" w:lineRule="auto"/>
              <w:ind w:firstLine="480" w:firstLineChars="200"/>
              <w:rPr>
                <w:color w:val="auto"/>
                <w:kern w:val="0"/>
                <w:sz w:val="24"/>
              </w:rPr>
            </w:pPr>
            <w:r>
              <w:rPr>
                <w:color w:val="auto"/>
                <w:sz w:val="24"/>
              </w:rPr>
              <w:t>天元峰：</w:t>
            </w:r>
            <w:r>
              <w:rPr>
                <w:color w:val="auto"/>
                <w:kern w:val="0"/>
                <w:sz w:val="24"/>
              </w:rPr>
              <w:t>峰丛，由三座凸起的山峰组成，主峰高约120余米，两座侧峰高约80</w:t>
            </w:r>
            <w:r>
              <w:rPr>
                <w:rFonts w:hint="eastAsia"/>
                <w:color w:val="auto"/>
                <w:kern w:val="0"/>
                <w:sz w:val="24"/>
              </w:rPr>
              <w:t>～</w:t>
            </w:r>
            <w:r>
              <w:rPr>
                <w:color w:val="auto"/>
                <w:kern w:val="0"/>
                <w:sz w:val="24"/>
              </w:rPr>
              <w:t>120m。</w:t>
            </w:r>
          </w:p>
          <w:p w14:paraId="47648270">
            <w:pPr>
              <w:adjustRightInd w:val="0"/>
              <w:snapToGrid w:val="0"/>
              <w:spacing w:line="360" w:lineRule="auto"/>
              <w:ind w:firstLine="480" w:firstLineChars="200"/>
              <w:rPr>
                <w:color w:val="auto"/>
                <w:sz w:val="24"/>
              </w:rPr>
            </w:pPr>
            <w:r>
              <w:rPr>
                <w:color w:val="auto"/>
                <w:sz w:val="24"/>
              </w:rPr>
              <w:t>天宇峰：孤峰，高约140m，长500余米，方圆面积6000余平方米。</w:t>
            </w:r>
          </w:p>
          <w:p w14:paraId="7E5668BB">
            <w:pPr>
              <w:adjustRightInd w:val="0"/>
              <w:snapToGrid w:val="0"/>
              <w:spacing w:line="360" w:lineRule="auto"/>
              <w:ind w:firstLine="480" w:firstLineChars="200"/>
              <w:rPr>
                <w:color w:val="auto"/>
                <w:sz w:val="24"/>
              </w:rPr>
            </w:pPr>
            <w:r>
              <w:rPr>
                <w:color w:val="auto"/>
                <w:sz w:val="24"/>
              </w:rPr>
              <w:t>小龙池：长107m，宽48m，深度3m左右。</w:t>
            </w:r>
          </w:p>
          <w:p w14:paraId="0ADC509C">
            <w:pPr>
              <w:adjustRightInd w:val="0"/>
              <w:snapToGrid w:val="0"/>
              <w:spacing w:line="360" w:lineRule="auto"/>
              <w:ind w:firstLine="480" w:firstLineChars="200"/>
              <w:rPr>
                <w:color w:val="auto"/>
                <w:sz w:val="24"/>
              </w:rPr>
            </w:pPr>
            <w:r>
              <w:rPr>
                <w:color w:val="auto"/>
                <w:sz w:val="24"/>
              </w:rPr>
              <w:t>大龙池：长114m，宽60m，水深4</w:t>
            </w:r>
            <w:r>
              <w:rPr>
                <w:rFonts w:hint="eastAsia"/>
                <w:color w:val="auto"/>
                <w:kern w:val="0"/>
                <w:sz w:val="24"/>
              </w:rPr>
              <w:t>～</w:t>
            </w:r>
            <w:r>
              <w:rPr>
                <w:color w:val="auto"/>
                <w:sz w:val="24"/>
              </w:rPr>
              <w:t>5m。</w:t>
            </w:r>
          </w:p>
          <w:p w14:paraId="108BEA8D">
            <w:pPr>
              <w:adjustRightInd w:val="0"/>
              <w:snapToGrid w:val="0"/>
              <w:spacing w:line="360" w:lineRule="auto"/>
              <w:ind w:firstLine="480" w:firstLineChars="200"/>
              <w:rPr>
                <w:color w:val="auto"/>
                <w:sz w:val="24"/>
              </w:rPr>
            </w:pPr>
            <w:r>
              <w:rPr>
                <w:color w:val="auto"/>
                <w:sz w:val="24"/>
              </w:rPr>
              <w:t>空山坝地下河：标高530m，洞口高30m，宽15m，长15km，沿260°方向的向斜轴部发育，呈树枝状，水域面积70km</w:t>
            </w:r>
            <w:r>
              <w:rPr>
                <w:color w:val="auto"/>
                <w:sz w:val="24"/>
                <w:vertAlign w:val="superscript"/>
              </w:rPr>
              <w:t>2</w:t>
            </w:r>
            <w:r>
              <w:rPr>
                <w:color w:val="auto"/>
                <w:sz w:val="24"/>
              </w:rPr>
              <w:t>。地下水埋深大于150m，最终汇入大通江河。</w:t>
            </w:r>
          </w:p>
          <w:p w14:paraId="58E9B8CD">
            <w:pPr>
              <w:adjustRightInd w:val="0"/>
              <w:snapToGrid w:val="0"/>
              <w:spacing w:line="360" w:lineRule="auto"/>
              <w:ind w:firstLine="482" w:firstLineChars="200"/>
              <w:rPr>
                <w:b/>
                <w:bCs/>
                <w:color w:val="auto"/>
                <w:sz w:val="24"/>
              </w:rPr>
            </w:pPr>
            <w:r>
              <w:rPr>
                <w:rFonts w:hint="eastAsia"/>
                <w:b/>
                <w:bCs/>
                <w:color w:val="auto"/>
                <w:sz w:val="24"/>
              </w:rPr>
              <w:t>（五）自然生态环境保护措施</w:t>
            </w:r>
          </w:p>
          <w:p w14:paraId="4193D9C7">
            <w:pPr>
              <w:widowControl/>
              <w:adjustRightInd w:val="0"/>
              <w:snapToGrid w:val="0"/>
              <w:spacing w:line="360" w:lineRule="auto"/>
              <w:ind w:firstLine="480" w:firstLineChars="200"/>
              <w:jc w:val="left"/>
              <w:rPr>
                <w:color w:val="auto"/>
                <w:sz w:val="24"/>
              </w:rPr>
            </w:pPr>
            <w:r>
              <w:rPr>
                <w:color w:val="auto"/>
                <w:sz w:val="24"/>
              </w:rPr>
              <w:t>主要保护公园区域内森林、生态恢复区、水体、大气、声学以及土壤等环境要素和周边的生态环境。其主要保护措施为：</w:t>
            </w:r>
          </w:p>
          <w:p w14:paraId="0FF349D7">
            <w:pPr>
              <w:widowControl/>
              <w:adjustRightInd w:val="0"/>
              <w:snapToGrid w:val="0"/>
              <w:spacing w:line="360" w:lineRule="auto"/>
              <w:ind w:firstLine="480" w:firstLineChars="200"/>
              <w:rPr>
                <w:color w:val="auto"/>
                <w:sz w:val="24"/>
              </w:rPr>
            </w:pPr>
            <w:r>
              <w:rPr>
                <w:rFonts w:hint="eastAsia"/>
                <w:color w:val="auto"/>
                <w:sz w:val="24"/>
              </w:rPr>
              <w:t>（1）</w:t>
            </w:r>
            <w:r>
              <w:rPr>
                <w:color w:val="auto"/>
                <w:sz w:val="24"/>
              </w:rPr>
              <w:t>编制有关地质公园环境保护规划，使其具有法律效力，提高人们的环境保护意识，是解决环境污染问题的制度保障。</w:t>
            </w:r>
          </w:p>
          <w:p w14:paraId="264DFD1E">
            <w:pPr>
              <w:widowControl/>
              <w:adjustRightInd w:val="0"/>
              <w:snapToGrid w:val="0"/>
              <w:spacing w:line="360" w:lineRule="auto"/>
              <w:ind w:firstLine="480" w:firstLineChars="200"/>
              <w:rPr>
                <w:color w:val="auto"/>
                <w:sz w:val="24"/>
              </w:rPr>
            </w:pPr>
            <w:r>
              <w:rPr>
                <w:rFonts w:hint="eastAsia"/>
                <w:color w:val="auto"/>
                <w:sz w:val="24"/>
              </w:rPr>
              <w:t>（2）</w:t>
            </w:r>
            <w:r>
              <w:rPr>
                <w:color w:val="auto"/>
                <w:sz w:val="24"/>
              </w:rPr>
              <w:t>地质公园范围内，改变居民燃料结构及燃烧方式，提高燃气化率和电炊比例。新建的旅游设施和生活设施不得使用以煤为燃料的锅炉，替代以燃气、燃油等清洁燃料。</w:t>
            </w:r>
          </w:p>
          <w:p w14:paraId="178A1C80">
            <w:pPr>
              <w:widowControl/>
              <w:adjustRightInd w:val="0"/>
              <w:snapToGrid w:val="0"/>
              <w:spacing w:line="360" w:lineRule="auto"/>
              <w:ind w:firstLine="480" w:firstLineChars="200"/>
              <w:rPr>
                <w:color w:val="auto"/>
                <w:sz w:val="24"/>
              </w:rPr>
            </w:pPr>
            <w:r>
              <w:rPr>
                <w:rFonts w:hint="eastAsia"/>
                <w:color w:val="auto"/>
                <w:sz w:val="24"/>
              </w:rPr>
              <w:t>（3）</w:t>
            </w:r>
            <w:r>
              <w:rPr>
                <w:color w:val="auto"/>
                <w:sz w:val="24"/>
              </w:rPr>
              <w:t>对公园内采石点、矿山遗址等，开展地质灾害治理、土地整治、生态修复工程，加强植树造林，尽早恢复其生态环境功能。</w:t>
            </w:r>
          </w:p>
          <w:p w14:paraId="6B0DBBD6">
            <w:pPr>
              <w:widowControl/>
              <w:adjustRightInd w:val="0"/>
              <w:snapToGrid w:val="0"/>
              <w:spacing w:line="360" w:lineRule="auto"/>
              <w:ind w:firstLine="480" w:firstLineChars="200"/>
              <w:rPr>
                <w:color w:val="auto"/>
                <w:sz w:val="24"/>
              </w:rPr>
            </w:pPr>
            <w:r>
              <w:rPr>
                <w:rFonts w:hint="eastAsia"/>
                <w:color w:val="auto"/>
                <w:sz w:val="24"/>
              </w:rPr>
              <w:t>（4）</w:t>
            </w:r>
            <w:r>
              <w:rPr>
                <w:color w:val="auto"/>
                <w:sz w:val="24"/>
              </w:rPr>
              <w:t>园区内的旅游车辆尽量使用清洁燃料，推广电动车和自行车等。</w:t>
            </w:r>
          </w:p>
          <w:p w14:paraId="1CA62587">
            <w:pPr>
              <w:widowControl/>
              <w:adjustRightInd w:val="0"/>
              <w:snapToGrid w:val="0"/>
              <w:spacing w:line="360" w:lineRule="auto"/>
              <w:ind w:firstLine="480" w:firstLineChars="200"/>
              <w:rPr>
                <w:color w:val="auto"/>
                <w:sz w:val="24"/>
              </w:rPr>
            </w:pPr>
            <w:r>
              <w:rPr>
                <w:color w:val="auto"/>
                <w:sz w:val="24"/>
              </w:rPr>
              <w:t>（</w:t>
            </w:r>
            <w:r>
              <w:rPr>
                <w:rFonts w:hint="eastAsia"/>
                <w:color w:val="auto"/>
                <w:sz w:val="24"/>
              </w:rPr>
              <w:t>5</w:t>
            </w:r>
            <w:r>
              <w:rPr>
                <w:color w:val="auto"/>
                <w:sz w:val="24"/>
              </w:rPr>
              <w:t>）园区的旅游服务设施所排放污水，逐步使用生物接触氧化法污水处理，E/F&amp;P污水处理及SBR间歇式活性污泥法废水处理技术及设备。</w:t>
            </w:r>
          </w:p>
          <w:p w14:paraId="6A9A5DBF">
            <w:pPr>
              <w:widowControl/>
              <w:adjustRightInd w:val="0"/>
              <w:snapToGrid w:val="0"/>
              <w:spacing w:line="360" w:lineRule="auto"/>
              <w:ind w:firstLine="480" w:firstLineChars="200"/>
              <w:rPr>
                <w:color w:val="auto"/>
                <w:sz w:val="24"/>
              </w:rPr>
            </w:pPr>
            <w:r>
              <w:rPr>
                <w:color w:val="auto"/>
                <w:sz w:val="24"/>
              </w:rPr>
              <w:t>（</w:t>
            </w:r>
            <w:r>
              <w:rPr>
                <w:rFonts w:hint="eastAsia"/>
                <w:color w:val="auto"/>
                <w:sz w:val="24"/>
              </w:rPr>
              <w:t>6</w:t>
            </w:r>
            <w:r>
              <w:rPr>
                <w:color w:val="auto"/>
                <w:sz w:val="24"/>
              </w:rPr>
              <w:t>）控制化肥、农药的使用量，指导农民科学合理的施用农药、化肥、积极发展生物农药和生物防治，推广种植绿肥，使用农家肥，减轻农用化学品对水体、农田、作物、地下水的污染。村落、居民点污水应经过自然降解等处理，结合农业生产，进行农业灌溉，减少污水排放量。</w:t>
            </w:r>
          </w:p>
          <w:p w14:paraId="4B8DE276">
            <w:pPr>
              <w:widowControl/>
              <w:adjustRightInd w:val="0"/>
              <w:snapToGrid w:val="0"/>
              <w:spacing w:line="360" w:lineRule="auto"/>
              <w:ind w:firstLine="480" w:firstLineChars="200"/>
              <w:rPr>
                <w:color w:val="auto"/>
                <w:sz w:val="24"/>
              </w:rPr>
            </w:pPr>
            <w:r>
              <w:rPr>
                <w:color w:val="auto"/>
                <w:sz w:val="24"/>
              </w:rPr>
              <w:t>（</w:t>
            </w:r>
            <w:r>
              <w:rPr>
                <w:rFonts w:hint="eastAsia"/>
                <w:color w:val="auto"/>
                <w:sz w:val="24"/>
              </w:rPr>
              <w:t>7</w:t>
            </w:r>
            <w:r>
              <w:rPr>
                <w:color w:val="auto"/>
                <w:sz w:val="24"/>
              </w:rPr>
              <w:t>）对石料等固体废弃物应加强收集、利用、管理，严禁在园区内任意堆放，弃置、现状堆放点应清运整理、绿化美化。</w:t>
            </w:r>
          </w:p>
          <w:p w14:paraId="3A3DA08A">
            <w:pPr>
              <w:widowControl/>
              <w:adjustRightInd w:val="0"/>
              <w:snapToGrid w:val="0"/>
              <w:spacing w:line="360" w:lineRule="auto"/>
              <w:ind w:firstLine="480" w:firstLineChars="200"/>
              <w:rPr>
                <w:color w:val="auto"/>
                <w:sz w:val="24"/>
              </w:rPr>
            </w:pPr>
            <w:r>
              <w:rPr>
                <w:color w:val="auto"/>
                <w:sz w:val="24"/>
              </w:rPr>
              <w:t>（</w:t>
            </w:r>
            <w:r>
              <w:rPr>
                <w:rFonts w:hint="eastAsia"/>
                <w:color w:val="auto"/>
                <w:sz w:val="24"/>
              </w:rPr>
              <w:t>8</w:t>
            </w:r>
            <w:r>
              <w:rPr>
                <w:color w:val="auto"/>
                <w:sz w:val="24"/>
              </w:rPr>
              <w:t>）对园区内的生活垃圾应实施分类收集、袋装运输、对垃圾填埋场应进行无害化处理。</w:t>
            </w:r>
          </w:p>
          <w:p w14:paraId="07934594">
            <w:pPr>
              <w:widowControl/>
              <w:adjustRightInd w:val="0"/>
              <w:snapToGrid w:val="0"/>
              <w:spacing w:line="360" w:lineRule="auto"/>
              <w:ind w:firstLine="480" w:firstLineChars="200"/>
              <w:rPr>
                <w:color w:val="auto"/>
                <w:sz w:val="24"/>
              </w:rPr>
            </w:pPr>
            <w:r>
              <w:rPr>
                <w:color w:val="auto"/>
                <w:sz w:val="24"/>
              </w:rPr>
              <w:t>（</w:t>
            </w:r>
            <w:r>
              <w:rPr>
                <w:rFonts w:hint="eastAsia"/>
                <w:color w:val="auto"/>
                <w:sz w:val="24"/>
              </w:rPr>
              <w:t>9</w:t>
            </w:r>
            <w:r>
              <w:rPr>
                <w:color w:val="auto"/>
                <w:sz w:val="24"/>
              </w:rPr>
              <w:t>）增加植被覆盖率，结合农业种植结构调整，局部区域逐步退耕还林还草，减少水土流失。</w:t>
            </w:r>
          </w:p>
          <w:p w14:paraId="387F6269">
            <w:pPr>
              <w:widowControl/>
              <w:adjustRightInd w:val="0"/>
              <w:snapToGrid w:val="0"/>
              <w:spacing w:line="360" w:lineRule="auto"/>
              <w:ind w:firstLine="480" w:firstLineChars="200"/>
              <w:rPr>
                <w:color w:val="auto"/>
                <w:sz w:val="24"/>
              </w:rPr>
            </w:pPr>
            <w:r>
              <w:rPr>
                <w:color w:val="auto"/>
                <w:sz w:val="24"/>
              </w:rPr>
              <w:t>（</w:t>
            </w:r>
            <w:r>
              <w:rPr>
                <w:rFonts w:hint="eastAsia"/>
                <w:color w:val="auto"/>
                <w:sz w:val="24"/>
              </w:rPr>
              <w:t>10</w:t>
            </w:r>
            <w:r>
              <w:rPr>
                <w:color w:val="auto"/>
                <w:sz w:val="24"/>
              </w:rPr>
              <w:t>）加强交通、施工、娱乐产生的噪声源的管理，进入景区的机动交通不得鸣按喇叭。</w:t>
            </w:r>
          </w:p>
          <w:p w14:paraId="33B5AC3D">
            <w:pPr>
              <w:adjustRightInd w:val="0"/>
              <w:snapToGrid w:val="0"/>
              <w:spacing w:line="360" w:lineRule="auto"/>
              <w:ind w:firstLine="480" w:firstLineChars="200"/>
              <w:rPr>
                <w:b/>
                <w:bCs/>
                <w:color w:val="auto"/>
                <w:sz w:val="24"/>
              </w:rPr>
            </w:pPr>
            <w:r>
              <w:rPr>
                <w:color w:val="auto"/>
                <w:sz w:val="24"/>
              </w:rPr>
              <w:t>（</w:t>
            </w:r>
            <w:r>
              <w:rPr>
                <w:rFonts w:hint="eastAsia"/>
                <w:color w:val="auto"/>
                <w:sz w:val="24"/>
              </w:rPr>
              <w:t>11</w:t>
            </w:r>
            <w:r>
              <w:rPr>
                <w:color w:val="auto"/>
                <w:sz w:val="24"/>
              </w:rPr>
              <w:t>）必须按《中华人民共和国水污染防治法》《中华人民共和国水法》《中华人民共和国大气污染防治法》和《中华人民共和国环境噪声污染防治法》有关规定加强监管。</w:t>
            </w:r>
          </w:p>
          <w:p w14:paraId="58231426">
            <w:pPr>
              <w:adjustRightInd w:val="0"/>
              <w:snapToGrid w:val="0"/>
              <w:spacing w:line="360" w:lineRule="auto"/>
              <w:ind w:firstLine="482" w:firstLineChars="200"/>
              <w:rPr>
                <w:b/>
                <w:bCs/>
                <w:color w:val="auto"/>
                <w:sz w:val="24"/>
              </w:rPr>
            </w:pPr>
            <w:r>
              <w:rPr>
                <w:rFonts w:hint="eastAsia"/>
                <w:b/>
                <w:bCs/>
                <w:color w:val="auto"/>
                <w:sz w:val="24"/>
                <w:lang w:eastAsia="zh-CN"/>
              </w:rPr>
              <w:t>（六）</w:t>
            </w:r>
            <w:r>
              <w:rPr>
                <w:rFonts w:hint="eastAsia"/>
                <w:b/>
                <w:bCs/>
                <w:color w:val="auto"/>
                <w:sz w:val="24"/>
              </w:rPr>
              <w:t>建设项目与地质公园的关系</w:t>
            </w:r>
          </w:p>
          <w:p w14:paraId="7CE70F84">
            <w:pPr>
              <w:adjustRightInd w:val="0"/>
              <w:snapToGrid w:val="0"/>
              <w:spacing w:line="360" w:lineRule="auto"/>
              <w:ind w:firstLine="482" w:firstLineChars="200"/>
              <w:rPr>
                <w:color w:val="auto"/>
                <w:sz w:val="24"/>
              </w:rPr>
            </w:pPr>
            <w:r>
              <w:rPr>
                <w:rFonts w:hint="eastAsia"/>
                <w:b/>
                <w:bCs/>
                <w:color w:val="auto"/>
                <w:sz w:val="24"/>
              </w:rPr>
              <w:t>1、与地质公园的位置关系</w:t>
            </w:r>
          </w:p>
          <w:p w14:paraId="7494F002">
            <w:pPr>
              <w:adjustRightInd w:val="0"/>
              <w:snapToGrid w:val="0"/>
              <w:spacing w:line="360" w:lineRule="auto"/>
              <w:ind w:firstLine="480" w:firstLineChars="200"/>
              <w:rPr>
                <w:color w:val="auto"/>
                <w:sz w:val="24"/>
              </w:rPr>
            </w:pPr>
            <w:r>
              <w:rPr>
                <w:rFonts w:hint="eastAsia"/>
                <w:color w:val="auto"/>
                <w:sz w:val="24"/>
              </w:rPr>
              <w:t>项目位于四川光雾山-诺水河世界地质公园范围内，拟使用世界地质公园土地面</w:t>
            </w:r>
            <w:r>
              <w:rPr>
                <w:rFonts w:hint="eastAsia"/>
                <w:color w:val="auto"/>
                <w:sz w:val="24"/>
                <w:highlight w:val="none"/>
              </w:rPr>
              <w:t>积</w:t>
            </w:r>
            <w:r>
              <w:rPr>
                <w:rFonts w:hint="eastAsia"/>
                <w:color w:val="auto"/>
                <w:sz w:val="24"/>
                <w:highlight w:val="none"/>
                <w:lang w:val="en-US" w:eastAsia="zh-CN"/>
              </w:rPr>
              <w:t>20710.88</w:t>
            </w:r>
            <w:r>
              <w:rPr>
                <w:rFonts w:hint="eastAsia"/>
                <w:color w:val="auto"/>
                <w:sz w:val="24"/>
                <w:highlight w:val="none"/>
              </w:rPr>
              <w:t>m</w:t>
            </w:r>
            <w:r>
              <w:rPr>
                <w:rFonts w:hint="eastAsia"/>
                <w:color w:val="auto"/>
                <w:sz w:val="24"/>
                <w:highlight w:val="none"/>
                <w:vertAlign w:val="superscript"/>
              </w:rPr>
              <w:t>2</w:t>
            </w:r>
            <w:r>
              <w:rPr>
                <w:rFonts w:hint="eastAsia"/>
                <w:color w:val="auto"/>
                <w:sz w:val="24"/>
                <w:highlight w:val="none"/>
              </w:rPr>
              <w:t>，位于世界地质公园西北部，详见《项目与四川光雾山-诺水河地质公园位置关系图》（见附图3）</w:t>
            </w:r>
            <w:r>
              <w:rPr>
                <w:rFonts w:hint="eastAsia"/>
                <w:color w:val="auto"/>
                <w:sz w:val="24"/>
              </w:rPr>
              <w:t>。</w:t>
            </w:r>
          </w:p>
          <w:p w14:paraId="167EB903">
            <w:pPr>
              <w:adjustRightInd w:val="0"/>
              <w:snapToGrid w:val="0"/>
              <w:spacing w:line="360" w:lineRule="auto"/>
              <w:ind w:firstLine="482" w:firstLineChars="200"/>
              <w:rPr>
                <w:b/>
                <w:bCs/>
                <w:color w:val="auto"/>
                <w:sz w:val="24"/>
              </w:rPr>
            </w:pPr>
            <w:r>
              <w:rPr>
                <w:rFonts w:hint="eastAsia"/>
                <w:b/>
                <w:bCs/>
                <w:color w:val="auto"/>
                <w:sz w:val="24"/>
              </w:rPr>
              <w:t>2、与地质遗迹的位置关系</w:t>
            </w:r>
          </w:p>
          <w:p w14:paraId="60A02C33">
            <w:pPr>
              <w:adjustRightInd w:val="0"/>
              <w:snapToGrid w:val="0"/>
              <w:spacing w:line="360" w:lineRule="auto"/>
              <w:ind w:firstLine="480" w:firstLineChars="200"/>
              <w:rPr>
                <w:rFonts w:hint="eastAsia" w:eastAsia="宋体"/>
                <w:color w:val="auto"/>
                <w:sz w:val="24"/>
                <w:lang w:eastAsia="zh-CN"/>
              </w:rPr>
            </w:pPr>
            <w:r>
              <w:rPr>
                <w:rFonts w:hint="eastAsia"/>
                <w:color w:val="auto"/>
                <w:sz w:val="24"/>
              </w:rPr>
              <w:t>项目位于四川光雾山-诺水河世界地质公园范围内，但不涉及四川光雾山-诺水河世</w:t>
            </w:r>
            <w:r>
              <w:rPr>
                <w:rFonts w:hint="eastAsia"/>
                <w:color w:val="auto"/>
                <w:sz w:val="24"/>
                <w:highlight w:val="none"/>
              </w:rPr>
              <w:t>界地质公园特级、一级、二级、三级保护区，不涉及地质遗迹景观</w:t>
            </w:r>
            <w:r>
              <w:rPr>
                <w:rFonts w:hint="eastAsia"/>
                <w:color w:val="auto"/>
                <w:sz w:val="24"/>
                <w:highlight w:val="none"/>
                <w:lang w:eastAsia="zh-CN"/>
              </w:rPr>
              <w:t>（见附图</w:t>
            </w:r>
            <w:r>
              <w:rPr>
                <w:rFonts w:hint="eastAsia"/>
                <w:color w:val="auto"/>
                <w:sz w:val="24"/>
                <w:highlight w:val="none"/>
                <w:lang w:val="en-US" w:eastAsia="zh-CN"/>
              </w:rPr>
              <w:t>4</w:t>
            </w:r>
            <w:r>
              <w:rPr>
                <w:rFonts w:hint="eastAsia"/>
                <w:color w:val="auto"/>
                <w:sz w:val="24"/>
                <w:highlight w:val="none"/>
                <w:lang w:eastAsia="zh-CN"/>
              </w:rPr>
              <w:t>）</w:t>
            </w:r>
            <w:r>
              <w:rPr>
                <w:rFonts w:hint="eastAsia"/>
                <w:color w:val="auto"/>
                <w:sz w:val="24"/>
                <w:highlight w:val="none"/>
              </w:rPr>
              <w:t>。项目用地范围内无地质遗迹点。</w:t>
            </w:r>
          </w:p>
          <w:p w14:paraId="2B28FFF5">
            <w:pPr>
              <w:adjustRightInd w:val="0"/>
              <w:snapToGrid w:val="0"/>
              <w:spacing w:line="360" w:lineRule="auto"/>
              <w:ind w:firstLine="482" w:firstLineChars="200"/>
              <w:rPr>
                <w:b/>
                <w:bCs/>
                <w:color w:val="auto"/>
                <w:sz w:val="24"/>
              </w:rPr>
            </w:pPr>
            <w:r>
              <w:rPr>
                <w:rFonts w:hint="eastAsia"/>
                <w:b/>
                <w:bCs/>
                <w:color w:val="auto"/>
                <w:sz w:val="24"/>
              </w:rPr>
              <w:t>3、与地质公园功能区划的位置关系</w:t>
            </w:r>
          </w:p>
          <w:p w14:paraId="346DD438">
            <w:pPr>
              <w:adjustRightInd w:val="0"/>
              <w:snapToGrid w:val="0"/>
              <w:spacing w:line="360" w:lineRule="auto"/>
              <w:ind w:firstLine="480" w:firstLineChars="200"/>
              <w:rPr>
                <w:color w:val="auto"/>
                <w:sz w:val="24"/>
              </w:rPr>
            </w:pPr>
            <w:r>
              <w:rPr>
                <w:rFonts w:hint="eastAsia"/>
                <w:color w:val="auto"/>
                <w:sz w:val="24"/>
              </w:rPr>
              <w:t>根据《四川光雾山-</w:t>
            </w:r>
            <w:r>
              <w:rPr>
                <w:rFonts w:hint="eastAsia"/>
                <w:color w:val="auto"/>
                <w:sz w:val="24"/>
                <w:highlight w:val="none"/>
              </w:rPr>
              <w:t>诺水河世界地质公园规划（2021—2035年）》文本描述及相关图件，拟建项目占地区域位于光雾山-诺水河世界地质公园</w:t>
            </w:r>
            <w:r>
              <w:rPr>
                <w:rFonts w:hint="eastAsia"/>
                <w:color w:val="auto"/>
                <w:sz w:val="24"/>
                <w:highlight w:val="none"/>
                <w:lang w:eastAsia="zh-CN"/>
              </w:rPr>
              <w:t>综合服务</w:t>
            </w:r>
            <w:r>
              <w:rPr>
                <w:rFonts w:hint="eastAsia"/>
                <w:color w:val="auto"/>
                <w:sz w:val="24"/>
                <w:highlight w:val="none"/>
              </w:rPr>
              <w:t>区内</w:t>
            </w:r>
            <w:r>
              <w:rPr>
                <w:rFonts w:hint="eastAsia"/>
                <w:color w:val="auto"/>
                <w:sz w:val="24"/>
                <w:highlight w:val="none"/>
                <w:lang w:eastAsia="zh-CN"/>
              </w:rPr>
              <w:t>（见附图</w:t>
            </w:r>
            <w:r>
              <w:rPr>
                <w:rFonts w:hint="eastAsia"/>
                <w:color w:val="auto"/>
                <w:sz w:val="24"/>
                <w:highlight w:val="none"/>
                <w:lang w:val="en-US" w:eastAsia="zh-CN"/>
              </w:rPr>
              <w:t>6</w:t>
            </w:r>
            <w:r>
              <w:rPr>
                <w:rFonts w:hint="eastAsia"/>
                <w:color w:val="auto"/>
                <w:sz w:val="24"/>
                <w:highlight w:val="none"/>
                <w:lang w:eastAsia="zh-CN"/>
              </w:rPr>
              <w:t>）</w:t>
            </w:r>
            <w:r>
              <w:rPr>
                <w:rFonts w:hint="eastAsia"/>
                <w:color w:val="auto"/>
                <w:sz w:val="24"/>
                <w:highlight w:val="none"/>
              </w:rPr>
              <w:t>。</w:t>
            </w:r>
          </w:p>
          <w:p w14:paraId="05347657">
            <w:pPr>
              <w:adjustRightInd w:val="0"/>
              <w:snapToGrid w:val="0"/>
              <w:spacing w:line="360" w:lineRule="auto"/>
              <w:ind w:firstLine="482" w:firstLineChars="200"/>
              <w:rPr>
                <w:b/>
                <w:bCs/>
                <w:color w:val="auto"/>
                <w:sz w:val="24"/>
              </w:rPr>
            </w:pPr>
            <w:r>
              <w:rPr>
                <w:rFonts w:hint="eastAsia"/>
                <w:b/>
                <w:bCs/>
                <w:color w:val="auto"/>
                <w:sz w:val="24"/>
                <w:lang w:eastAsia="zh-CN"/>
              </w:rPr>
              <w:t>（七）</w:t>
            </w:r>
            <w:r>
              <w:rPr>
                <w:rFonts w:hint="eastAsia"/>
                <w:b/>
                <w:bCs/>
                <w:color w:val="auto"/>
                <w:sz w:val="24"/>
              </w:rPr>
              <w:t>与《光雾山-诺水河世界地质公园规划（2021—2035年）》的符合性分析</w:t>
            </w:r>
          </w:p>
          <w:p w14:paraId="48E035AF">
            <w:pPr>
              <w:adjustRightInd w:val="0"/>
              <w:snapToGrid w:val="0"/>
              <w:spacing w:line="360" w:lineRule="auto"/>
              <w:ind w:firstLine="480" w:firstLineChars="200"/>
              <w:rPr>
                <w:rFonts w:hint="eastAsia"/>
                <w:color w:val="auto"/>
                <w:sz w:val="24"/>
                <w:u w:val="single"/>
              </w:rPr>
            </w:pPr>
            <w:r>
              <w:rPr>
                <w:rFonts w:hint="eastAsia"/>
                <w:color w:val="auto"/>
                <w:sz w:val="24"/>
                <w:u w:val="single"/>
              </w:rPr>
              <w:t>根据《巴中市自然资源和规划局巴中市林业局关于进一步加强四川光雾山-诺水河世界地质公园建设管理工作的函》(巴自然资规函[2023]424号)相关要求，不在划定地质遗迹保护区范围内的建设项目，原则可以不作《项目建设和运营对地质公园影响评价报告》。请你公司按我国现行法律法规办理各项建设手续，严禁未批先建。</w:t>
            </w:r>
          </w:p>
          <w:p w14:paraId="08C8D71B">
            <w:pPr>
              <w:adjustRightInd w:val="0"/>
              <w:snapToGrid w:val="0"/>
              <w:spacing w:line="360" w:lineRule="auto"/>
              <w:ind w:firstLine="480" w:firstLineChars="200"/>
              <w:rPr>
                <w:color w:val="auto"/>
                <w:sz w:val="24"/>
                <w:highlight w:val="none"/>
                <w:u w:val="single"/>
              </w:rPr>
            </w:pPr>
            <w:r>
              <w:rPr>
                <w:rFonts w:hint="eastAsia"/>
                <w:color w:val="auto"/>
                <w:sz w:val="24"/>
                <w:u w:val="none"/>
              </w:rPr>
              <w:t>根据20</w:t>
            </w:r>
            <w:r>
              <w:rPr>
                <w:rFonts w:hint="eastAsia"/>
                <w:color w:val="auto"/>
                <w:sz w:val="24"/>
                <w:u w:val="none"/>
                <w:lang w:val="en-US" w:eastAsia="zh-CN"/>
              </w:rPr>
              <w:t>26</w:t>
            </w:r>
            <w:r>
              <w:rPr>
                <w:rFonts w:hint="eastAsia"/>
                <w:color w:val="auto"/>
                <w:sz w:val="24"/>
                <w:u w:val="none"/>
              </w:rPr>
              <w:t>年</w:t>
            </w:r>
            <w:r>
              <w:rPr>
                <w:rFonts w:hint="eastAsia"/>
                <w:color w:val="auto"/>
                <w:sz w:val="24"/>
                <w:u w:val="none"/>
                <w:lang w:val="en-US" w:eastAsia="zh-CN"/>
              </w:rPr>
              <w:t>4</w:t>
            </w:r>
            <w:r>
              <w:rPr>
                <w:rFonts w:hint="eastAsia"/>
                <w:color w:val="auto"/>
                <w:sz w:val="24"/>
                <w:u w:val="none"/>
              </w:rPr>
              <w:t>月</w:t>
            </w:r>
            <w:r>
              <w:rPr>
                <w:rFonts w:hint="eastAsia"/>
                <w:color w:val="auto"/>
                <w:sz w:val="24"/>
                <w:u w:val="none"/>
                <w:lang w:val="en-US" w:eastAsia="zh-CN"/>
              </w:rPr>
              <w:t>24</w:t>
            </w:r>
            <w:r>
              <w:rPr>
                <w:rFonts w:hint="eastAsia"/>
                <w:color w:val="auto"/>
                <w:sz w:val="24"/>
                <w:u w:val="none"/>
              </w:rPr>
              <w:t>日巴中市光雾山诺水河风景名胜区光雾山管理处出具的关于《关于在世界地质公园范围内准许实施巴中市文旅新区关坝镇关坝村保障性租赁住房项目的请示》的复函，</w:t>
            </w:r>
            <w:r>
              <w:rPr>
                <w:rFonts w:hint="eastAsia"/>
                <w:color w:val="auto"/>
                <w:sz w:val="24"/>
                <w:u w:val="single"/>
              </w:rPr>
              <w:t>本项目用地范围位于光雾山-诺水河世界地质公园范围内，但不涉及地质</w:t>
            </w:r>
            <w:r>
              <w:rPr>
                <w:rFonts w:hint="eastAsia"/>
                <w:color w:val="auto"/>
                <w:sz w:val="24"/>
                <w:u w:val="single"/>
                <w:lang w:eastAsia="zh-CN"/>
              </w:rPr>
              <w:t>遗迹保护区</w:t>
            </w:r>
            <w:r>
              <w:rPr>
                <w:rFonts w:hint="eastAsia"/>
                <w:color w:val="auto"/>
                <w:sz w:val="24"/>
                <w:u w:val="single"/>
              </w:rPr>
              <w:t>。本项目位于《光雾山-诺水河世界地质公园规划</w:t>
            </w:r>
            <w:r>
              <w:rPr>
                <w:rFonts w:hint="eastAsia"/>
                <w:color w:val="auto"/>
                <w:sz w:val="24"/>
                <w:highlight w:val="none"/>
                <w:u w:val="single"/>
              </w:rPr>
              <w:t>（2021—2035年）》确定的</w:t>
            </w:r>
            <w:r>
              <w:rPr>
                <w:rFonts w:hint="eastAsia"/>
                <w:color w:val="auto"/>
                <w:sz w:val="24"/>
                <w:highlight w:val="none"/>
                <w:u w:val="single"/>
                <w:lang w:eastAsia="zh-CN"/>
              </w:rPr>
              <w:t>综合服务区</w:t>
            </w:r>
            <w:r>
              <w:rPr>
                <w:rFonts w:hint="eastAsia"/>
                <w:color w:val="auto"/>
                <w:sz w:val="24"/>
                <w:highlight w:val="none"/>
                <w:u w:val="single"/>
              </w:rPr>
              <w:t>内，</w:t>
            </w:r>
            <w:r>
              <w:rPr>
                <w:rFonts w:hint="eastAsia"/>
                <w:color w:val="auto"/>
                <w:sz w:val="24"/>
                <w:highlight w:val="none"/>
              </w:rPr>
              <w:t>本项目为关坝片区</w:t>
            </w:r>
            <w:r>
              <w:rPr>
                <w:rFonts w:hint="eastAsia"/>
                <w:color w:val="auto"/>
                <w:sz w:val="24"/>
                <w:highlight w:val="none"/>
                <w:lang w:eastAsia="zh-CN"/>
              </w:rPr>
              <w:t>保障性租赁住房</w:t>
            </w:r>
            <w:r>
              <w:rPr>
                <w:rFonts w:hint="eastAsia"/>
                <w:color w:val="auto"/>
                <w:sz w:val="24"/>
                <w:highlight w:val="none"/>
              </w:rPr>
              <w:t>项目，属于保障性住房建设，为基础设施建设项目，项目建成后有利于加快光雾山片区农民市民化进程，推进社会结构转型，有利于促进公共服务均等化发展。</w:t>
            </w:r>
          </w:p>
          <w:p w14:paraId="71C4EED2">
            <w:pPr>
              <w:adjustRightInd w:val="0"/>
              <w:snapToGrid w:val="0"/>
              <w:spacing w:line="360" w:lineRule="auto"/>
              <w:ind w:firstLine="482" w:firstLineChars="200"/>
              <w:rPr>
                <w:color w:val="auto"/>
                <w:sz w:val="24"/>
              </w:rPr>
            </w:pPr>
            <w:r>
              <w:rPr>
                <w:rFonts w:hint="eastAsia"/>
                <w:b/>
                <w:bCs/>
                <w:color w:val="auto"/>
                <w:sz w:val="24"/>
                <w:highlight w:val="none"/>
              </w:rPr>
              <w:t>根据《关坝镇区用地布局规划图》（见附图2）及《国土空间规划三区三线图》（见附图</w:t>
            </w:r>
            <w:r>
              <w:rPr>
                <w:rFonts w:hint="eastAsia"/>
                <w:b/>
                <w:bCs/>
                <w:color w:val="auto"/>
                <w:sz w:val="24"/>
                <w:highlight w:val="none"/>
                <w:lang w:val="en-US" w:eastAsia="zh-CN"/>
              </w:rPr>
              <w:t>7</w:t>
            </w:r>
            <w:r>
              <w:rPr>
                <w:rFonts w:hint="eastAsia"/>
                <w:b/>
                <w:bCs/>
                <w:color w:val="auto"/>
                <w:sz w:val="24"/>
                <w:highlight w:val="none"/>
              </w:rPr>
              <w:t>），本项目占地</w:t>
            </w:r>
            <w:r>
              <w:rPr>
                <w:rFonts w:hint="eastAsia"/>
                <w:b/>
                <w:bCs/>
                <w:color w:val="auto"/>
                <w:sz w:val="24"/>
              </w:rPr>
              <w:t>区域属于城镇空间，规划为二类居住用地，符合当地用地规划。</w:t>
            </w:r>
          </w:p>
          <w:p w14:paraId="4C696A2F">
            <w:pPr>
              <w:adjustRightInd w:val="0"/>
              <w:snapToGrid w:val="0"/>
              <w:spacing w:line="360" w:lineRule="auto"/>
              <w:ind w:firstLine="480" w:firstLineChars="200"/>
              <w:rPr>
                <w:b/>
                <w:bCs/>
                <w:color w:val="auto"/>
                <w:sz w:val="24"/>
              </w:rPr>
            </w:pPr>
            <w:r>
              <w:rPr>
                <w:rFonts w:hint="eastAsia"/>
                <w:color w:val="auto"/>
                <w:sz w:val="24"/>
              </w:rPr>
              <w:t>本项目生活污水经预处理池处理后排入市政污水管网，经关坝镇污水处理站处理（处理工艺：格栅+调节+MBBR+改良A</w:t>
            </w:r>
            <w:r>
              <w:rPr>
                <w:rFonts w:hint="eastAsia"/>
                <w:color w:val="auto"/>
                <w:sz w:val="24"/>
                <w:vertAlign w:val="superscript"/>
              </w:rPr>
              <w:t>2</w:t>
            </w:r>
            <w:r>
              <w:rPr>
                <w:rFonts w:hint="eastAsia"/>
                <w:color w:val="auto"/>
                <w:sz w:val="24"/>
              </w:rPr>
              <w:t>O）；</w:t>
            </w:r>
            <w:r>
              <w:rPr>
                <w:rFonts w:hint="eastAsia"/>
                <w:color w:val="auto"/>
                <w:sz w:val="24"/>
                <w:highlight w:val="none"/>
              </w:rPr>
              <w:t>本项目施工结束后立即</w:t>
            </w:r>
            <w:r>
              <w:rPr>
                <w:rFonts w:hint="eastAsia"/>
                <w:color w:val="auto"/>
                <w:sz w:val="24"/>
                <w:highlight w:val="none"/>
                <w:lang w:val="en-US" w:eastAsia="zh-CN"/>
              </w:rPr>
              <w:t>对裸露地表</w:t>
            </w:r>
            <w:r>
              <w:rPr>
                <w:rFonts w:hint="eastAsia"/>
                <w:color w:val="auto"/>
                <w:sz w:val="24"/>
                <w:highlight w:val="none"/>
              </w:rPr>
              <w:t>进行迹地恢复，</w:t>
            </w:r>
            <w:r>
              <w:rPr>
                <w:rFonts w:hint="eastAsia"/>
                <w:color w:val="auto"/>
                <w:sz w:val="24"/>
              </w:rPr>
              <w:t>不在四川光雾山-诺水河世界地质公园内设置永久弃渣场；项目设置生活垃圾收集桶，经环卫部门袋装清运；项目区域内加强噪声源的管理，并设置绿化进行降噪；项目按照</w:t>
            </w:r>
            <w:r>
              <w:rPr>
                <w:color w:val="auto"/>
                <w:sz w:val="24"/>
              </w:rPr>
              <w:t>《中华人民共和国水污染防治法》</w:t>
            </w:r>
            <w:r>
              <w:rPr>
                <w:rFonts w:hint="eastAsia"/>
                <w:color w:val="auto"/>
                <w:sz w:val="24"/>
              </w:rPr>
              <w:t>、</w:t>
            </w:r>
            <w:r>
              <w:rPr>
                <w:color w:val="auto"/>
                <w:sz w:val="24"/>
              </w:rPr>
              <w:t>《中华人民共和国大气污染防治法》</w:t>
            </w:r>
            <w:r>
              <w:rPr>
                <w:rFonts w:hint="eastAsia"/>
                <w:color w:val="auto"/>
                <w:sz w:val="24"/>
              </w:rPr>
              <w:t>等</w:t>
            </w:r>
            <w:r>
              <w:rPr>
                <w:color w:val="auto"/>
                <w:sz w:val="24"/>
              </w:rPr>
              <w:t>有关规定加强监管</w:t>
            </w:r>
            <w:r>
              <w:rPr>
                <w:rFonts w:hint="eastAsia"/>
                <w:color w:val="auto"/>
                <w:sz w:val="24"/>
              </w:rPr>
              <w:t>，符合光雾山-诺水河世界地质公园自然生态环境保护措施要求。</w:t>
            </w:r>
          </w:p>
          <w:p w14:paraId="5E6295DD">
            <w:pPr>
              <w:adjustRightInd w:val="0"/>
              <w:snapToGrid w:val="0"/>
              <w:spacing w:line="360" w:lineRule="auto"/>
              <w:ind w:firstLine="482" w:firstLineChars="200"/>
              <w:rPr>
                <w:color w:val="auto"/>
                <w:sz w:val="24"/>
              </w:rPr>
            </w:pPr>
            <w:r>
              <w:rPr>
                <w:rFonts w:hint="eastAsia"/>
                <w:b/>
                <w:bCs/>
                <w:color w:val="auto"/>
                <w:sz w:val="24"/>
              </w:rPr>
              <w:t>综上，本项目建设符合《光雾山-诺水河世界地质公园规划（2021—2035年）》要求。</w:t>
            </w:r>
          </w:p>
        </w:tc>
      </w:tr>
      <w:tr w14:paraId="3FB9D5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949" w:type="dxa"/>
            <w:tcMar>
              <w:top w:w="16" w:type="dxa"/>
              <w:left w:w="16" w:type="dxa"/>
              <w:right w:w="16" w:type="dxa"/>
            </w:tcMar>
            <w:vAlign w:val="center"/>
          </w:tcPr>
          <w:p w14:paraId="393D7E92">
            <w:pPr>
              <w:autoSpaceDE w:val="0"/>
              <w:autoSpaceDN w:val="0"/>
              <w:adjustRightInd w:val="0"/>
              <w:snapToGrid w:val="0"/>
              <w:jc w:val="center"/>
              <w:rPr>
                <w:color w:val="auto"/>
                <w:kern w:val="0"/>
                <w:sz w:val="24"/>
              </w:rPr>
            </w:pPr>
            <w:bookmarkStart w:id="9" w:name="_Hlk56690880"/>
            <w:r>
              <w:rPr>
                <w:color w:val="auto"/>
                <w:kern w:val="0"/>
                <w:sz w:val="24"/>
              </w:rPr>
              <w:t>其他符合性分析</w:t>
            </w:r>
            <w:bookmarkEnd w:id="9"/>
          </w:p>
        </w:tc>
        <w:tc>
          <w:tcPr>
            <w:tcW w:w="8090" w:type="dxa"/>
            <w:gridSpan w:val="4"/>
            <w:tcBorders>
              <w:bottom w:val="single" w:color="auto" w:sz="4" w:space="0"/>
            </w:tcBorders>
            <w:tcMar>
              <w:top w:w="16" w:type="dxa"/>
              <w:left w:w="16" w:type="dxa"/>
              <w:right w:w="16" w:type="dxa"/>
            </w:tcMar>
            <w:vAlign w:val="center"/>
          </w:tcPr>
          <w:p w14:paraId="452DFE2C">
            <w:pPr>
              <w:autoSpaceDE w:val="0"/>
              <w:autoSpaceDN w:val="0"/>
              <w:adjustRightInd w:val="0"/>
              <w:snapToGrid w:val="0"/>
              <w:spacing w:before="120" w:beforeLines="50" w:line="360" w:lineRule="auto"/>
              <w:ind w:firstLine="482" w:firstLineChars="200"/>
              <w:rPr>
                <w:b/>
                <w:bCs/>
                <w:color w:val="auto"/>
                <w:sz w:val="24"/>
              </w:rPr>
            </w:pPr>
            <w:r>
              <w:rPr>
                <w:b/>
                <w:bCs/>
                <w:color w:val="auto"/>
                <w:sz w:val="24"/>
              </w:rPr>
              <w:t>一、产业政策符合性分析</w:t>
            </w:r>
          </w:p>
          <w:p w14:paraId="1E45181C">
            <w:pPr>
              <w:autoSpaceDE w:val="0"/>
              <w:autoSpaceDN w:val="0"/>
              <w:adjustRightInd w:val="0"/>
              <w:snapToGrid w:val="0"/>
              <w:spacing w:line="360" w:lineRule="auto"/>
              <w:ind w:firstLine="480" w:firstLineChars="200"/>
              <w:rPr>
                <w:color w:val="auto"/>
                <w:sz w:val="24"/>
              </w:rPr>
            </w:pPr>
            <w:r>
              <w:rPr>
                <w:color w:val="auto"/>
                <w:sz w:val="24"/>
              </w:rPr>
              <w:t>根据《国民经济行业类别》（GB/T4754-2017），本项目属于“</w:t>
            </w:r>
            <w:r>
              <w:rPr>
                <w:rFonts w:hint="eastAsia"/>
                <w:color w:val="auto"/>
                <w:sz w:val="24"/>
              </w:rPr>
              <w:t>7010</w:t>
            </w:r>
            <w:r>
              <w:rPr>
                <w:color w:val="auto"/>
                <w:sz w:val="24"/>
              </w:rPr>
              <w:t xml:space="preserve"> </w:t>
            </w:r>
            <w:r>
              <w:rPr>
                <w:rFonts w:hint="eastAsia"/>
                <w:color w:val="auto"/>
                <w:sz w:val="24"/>
              </w:rPr>
              <w:t>房地产开发经营</w:t>
            </w:r>
            <w:r>
              <w:rPr>
                <w:color w:val="auto"/>
                <w:sz w:val="24"/>
              </w:rPr>
              <w:t>”；根据国家发展改革委</w:t>
            </w:r>
            <w:r>
              <w:rPr>
                <w:rFonts w:hint="eastAsia"/>
                <w:color w:val="auto"/>
                <w:sz w:val="24"/>
              </w:rPr>
              <w:t>制定</w:t>
            </w:r>
            <w:r>
              <w:rPr>
                <w:color w:val="auto"/>
                <w:sz w:val="24"/>
              </w:rPr>
              <w:t>的《产业结构调整指导目录（20</w:t>
            </w:r>
            <w:r>
              <w:rPr>
                <w:rFonts w:hint="eastAsia"/>
                <w:color w:val="auto"/>
                <w:sz w:val="24"/>
                <w:lang w:val="en-US" w:eastAsia="zh-CN"/>
              </w:rPr>
              <w:t>24</w:t>
            </w:r>
            <w:r>
              <w:rPr>
                <w:color w:val="auto"/>
                <w:sz w:val="24"/>
              </w:rPr>
              <w:t>年本）》，本项目不属于其中的鼓励、限制和淘汰类项目</w:t>
            </w:r>
            <w:r>
              <w:rPr>
                <w:rFonts w:hint="eastAsia"/>
                <w:color w:val="auto"/>
                <w:sz w:val="24"/>
                <w:lang w:eastAsia="zh-CN"/>
              </w:rPr>
              <w:t>，</w:t>
            </w:r>
            <w:r>
              <w:rPr>
                <w:color w:val="auto"/>
                <w:sz w:val="24"/>
              </w:rPr>
              <w:t>属于允许类。</w:t>
            </w:r>
          </w:p>
          <w:p w14:paraId="50BF9A04">
            <w:pPr>
              <w:autoSpaceDE w:val="0"/>
              <w:autoSpaceDN w:val="0"/>
              <w:adjustRightInd w:val="0"/>
              <w:snapToGrid w:val="0"/>
              <w:spacing w:line="360" w:lineRule="auto"/>
              <w:ind w:firstLine="480" w:firstLineChars="200"/>
              <w:rPr>
                <w:color w:val="auto"/>
                <w:sz w:val="24"/>
              </w:rPr>
            </w:pPr>
            <w:r>
              <w:rPr>
                <w:rFonts w:hint="eastAsia"/>
                <w:color w:val="auto"/>
                <w:sz w:val="24"/>
              </w:rPr>
              <w:t>南江县发展和改革局20</w:t>
            </w:r>
            <w:r>
              <w:rPr>
                <w:rFonts w:hint="eastAsia"/>
                <w:color w:val="auto"/>
                <w:sz w:val="24"/>
                <w:lang w:val="en-US" w:eastAsia="zh-CN"/>
              </w:rPr>
              <w:t>25</w:t>
            </w:r>
            <w:r>
              <w:rPr>
                <w:rFonts w:hint="eastAsia"/>
                <w:color w:val="auto"/>
                <w:sz w:val="24"/>
              </w:rPr>
              <w:t>年1</w:t>
            </w:r>
            <w:r>
              <w:rPr>
                <w:rFonts w:hint="eastAsia"/>
                <w:color w:val="auto"/>
                <w:sz w:val="24"/>
                <w:lang w:val="en-US" w:eastAsia="zh-CN"/>
              </w:rPr>
              <w:t>0</w:t>
            </w:r>
            <w:r>
              <w:rPr>
                <w:rFonts w:hint="eastAsia"/>
                <w:color w:val="auto"/>
                <w:sz w:val="24"/>
              </w:rPr>
              <w:t>月</w:t>
            </w:r>
            <w:r>
              <w:rPr>
                <w:rFonts w:hint="eastAsia"/>
                <w:color w:val="auto"/>
                <w:sz w:val="24"/>
                <w:lang w:val="en-US" w:eastAsia="zh-CN"/>
              </w:rPr>
              <w:t>27</w:t>
            </w:r>
            <w:r>
              <w:rPr>
                <w:rFonts w:hint="eastAsia"/>
                <w:color w:val="auto"/>
                <w:sz w:val="24"/>
              </w:rPr>
              <w:t>日出具了</w:t>
            </w:r>
            <w:r>
              <w:rPr>
                <w:color w:val="auto"/>
                <w:sz w:val="24"/>
              </w:rPr>
              <w:t>项目关于《</w:t>
            </w:r>
            <w:r>
              <w:rPr>
                <w:rFonts w:hint="eastAsia"/>
                <w:color w:val="auto"/>
                <w:sz w:val="24"/>
                <w:lang w:eastAsia="zh-CN"/>
              </w:rPr>
              <w:t>巴中市文旅新区关坝镇关坝村保障性租赁住房项目</w:t>
            </w:r>
            <w:r>
              <w:rPr>
                <w:color w:val="auto"/>
                <w:sz w:val="24"/>
              </w:rPr>
              <w:t>可行性研究报告》的批复（南发改审〔202</w:t>
            </w:r>
            <w:r>
              <w:rPr>
                <w:rFonts w:hint="eastAsia"/>
                <w:color w:val="auto"/>
                <w:sz w:val="24"/>
                <w:lang w:val="en-US" w:eastAsia="zh-CN"/>
              </w:rPr>
              <w:t>5</w:t>
            </w:r>
            <w:r>
              <w:rPr>
                <w:color w:val="auto"/>
                <w:sz w:val="24"/>
              </w:rPr>
              <w:t>〕</w:t>
            </w:r>
            <w:r>
              <w:rPr>
                <w:rFonts w:hint="eastAsia"/>
                <w:color w:val="auto"/>
                <w:sz w:val="24"/>
                <w:lang w:val="en-US" w:eastAsia="zh-CN"/>
              </w:rPr>
              <w:t>17</w:t>
            </w:r>
            <w:r>
              <w:rPr>
                <w:color w:val="auto"/>
                <w:sz w:val="24"/>
              </w:rPr>
              <w:t>号），同意项目立项。</w:t>
            </w:r>
          </w:p>
          <w:p w14:paraId="7F50A1D6">
            <w:pPr>
              <w:autoSpaceDE w:val="0"/>
              <w:autoSpaceDN w:val="0"/>
              <w:adjustRightInd w:val="0"/>
              <w:snapToGrid w:val="0"/>
              <w:spacing w:line="360" w:lineRule="auto"/>
              <w:ind w:firstLine="482" w:firstLineChars="200"/>
              <w:rPr>
                <w:b/>
                <w:bCs/>
                <w:color w:val="auto"/>
                <w:sz w:val="24"/>
              </w:rPr>
            </w:pPr>
            <w:r>
              <w:rPr>
                <w:rFonts w:hint="eastAsia"/>
                <w:b/>
                <w:bCs/>
                <w:color w:val="auto"/>
                <w:sz w:val="24"/>
              </w:rPr>
              <w:t>因此</w:t>
            </w:r>
            <w:r>
              <w:rPr>
                <w:b/>
                <w:bCs/>
                <w:color w:val="auto"/>
                <w:sz w:val="24"/>
              </w:rPr>
              <w:t>，本项目建设符合国家</w:t>
            </w:r>
            <w:r>
              <w:rPr>
                <w:rFonts w:hint="eastAsia"/>
                <w:b/>
                <w:bCs/>
                <w:color w:val="auto"/>
                <w:sz w:val="24"/>
              </w:rPr>
              <w:t>现行</w:t>
            </w:r>
            <w:r>
              <w:rPr>
                <w:b/>
                <w:bCs/>
                <w:color w:val="auto"/>
                <w:sz w:val="24"/>
              </w:rPr>
              <w:t>产业政策要求。</w:t>
            </w:r>
          </w:p>
          <w:p w14:paraId="6CC78818">
            <w:pPr>
              <w:widowControl/>
              <w:spacing w:line="360" w:lineRule="auto"/>
              <w:ind w:firstLine="482" w:firstLineChars="200"/>
              <w:jc w:val="left"/>
              <w:rPr>
                <w:b/>
                <w:bCs/>
                <w:color w:val="auto"/>
                <w:sz w:val="24"/>
              </w:rPr>
            </w:pPr>
            <w:r>
              <w:rPr>
                <w:b/>
                <w:bCs/>
                <w:color w:val="auto"/>
                <w:sz w:val="24"/>
              </w:rPr>
              <w:t>二、项目用地规划符合性分析</w:t>
            </w:r>
          </w:p>
          <w:p w14:paraId="29C98569">
            <w:pPr>
              <w:pStyle w:val="53"/>
              <w:ind w:firstLine="480"/>
              <w:rPr>
                <w:color w:val="auto"/>
              </w:rPr>
            </w:pPr>
            <w:r>
              <w:rPr>
                <w:color w:val="auto"/>
              </w:rPr>
              <w:t>本项目位于</w:t>
            </w:r>
            <w:r>
              <w:rPr>
                <w:rFonts w:hint="eastAsia"/>
                <w:color w:val="auto"/>
              </w:rPr>
              <w:t>南江县关坝镇</w:t>
            </w:r>
            <w:r>
              <w:rPr>
                <w:color w:val="auto"/>
              </w:rPr>
              <w:t>，</w:t>
            </w:r>
            <w:r>
              <w:rPr>
                <w:rFonts w:hint="eastAsia"/>
                <w:color w:val="auto"/>
              </w:rPr>
              <w:t>根据《光雾</w:t>
            </w:r>
            <w:r>
              <w:rPr>
                <w:rFonts w:hint="eastAsia"/>
                <w:color w:val="auto"/>
                <w:highlight w:val="none"/>
              </w:rPr>
              <w:t>山诺水河文旅融合发展示范片区</w:t>
            </w:r>
            <w:r>
              <w:rPr>
                <w:rFonts w:hint="eastAsia"/>
                <w:color w:val="auto"/>
                <w:highlight w:val="none"/>
                <w:lang w:eastAsia="zh-CN"/>
              </w:rPr>
              <w:t>（</w:t>
            </w:r>
            <w:r>
              <w:rPr>
                <w:rFonts w:hint="eastAsia"/>
                <w:color w:val="auto"/>
                <w:highlight w:val="none"/>
              </w:rPr>
              <w:t>南江片区</w:t>
            </w:r>
            <w:r>
              <w:rPr>
                <w:rFonts w:hint="eastAsia"/>
                <w:color w:val="auto"/>
                <w:highlight w:val="none"/>
                <w:lang w:eastAsia="zh-CN"/>
              </w:rPr>
              <w:t>）</w:t>
            </w:r>
            <w:r>
              <w:rPr>
                <w:rFonts w:hint="eastAsia"/>
                <w:color w:val="auto"/>
                <w:highlight w:val="none"/>
              </w:rPr>
              <w:t>国土空间总体规划</w:t>
            </w:r>
            <w:r>
              <w:rPr>
                <w:rFonts w:hint="eastAsia"/>
                <w:color w:val="auto"/>
                <w:highlight w:val="none"/>
                <w:lang w:eastAsia="zh-CN"/>
              </w:rPr>
              <w:t>（</w:t>
            </w:r>
            <w:r>
              <w:rPr>
                <w:rFonts w:hint="eastAsia"/>
                <w:color w:val="auto"/>
                <w:highlight w:val="none"/>
              </w:rPr>
              <w:t>2021-2035年</w:t>
            </w:r>
            <w:r>
              <w:rPr>
                <w:rFonts w:hint="eastAsia"/>
                <w:color w:val="auto"/>
                <w:highlight w:val="none"/>
                <w:lang w:eastAsia="zh-CN"/>
              </w:rPr>
              <w:t>）</w:t>
            </w:r>
            <w:r>
              <w:rPr>
                <w:rFonts w:hint="eastAsia"/>
                <w:color w:val="auto"/>
                <w:highlight w:val="none"/>
                <w:lang w:val="en-US" w:eastAsia="zh-CN"/>
              </w:rPr>
              <w:t>-关坝镇区用地布局规划图</w:t>
            </w:r>
            <w:r>
              <w:rPr>
                <w:rFonts w:hint="eastAsia"/>
                <w:color w:val="auto"/>
                <w:highlight w:val="none"/>
              </w:rPr>
              <w:t>》（见附图</w:t>
            </w:r>
            <w:r>
              <w:rPr>
                <w:rFonts w:hint="eastAsia"/>
                <w:color w:val="auto"/>
                <w:highlight w:val="none"/>
                <w:lang w:val="en-US" w:eastAsia="zh-CN"/>
              </w:rPr>
              <w:t>2</w:t>
            </w:r>
            <w:r>
              <w:rPr>
                <w:rFonts w:hint="eastAsia"/>
                <w:color w:val="auto"/>
                <w:highlight w:val="none"/>
              </w:rPr>
              <w:t>），项目占地区域</w:t>
            </w:r>
            <w:r>
              <w:rPr>
                <w:rFonts w:hint="eastAsia"/>
                <w:color w:val="auto"/>
                <w:highlight w:val="none"/>
                <w:lang w:val="en-US" w:eastAsia="zh-CN"/>
              </w:rPr>
              <w:t>规划</w:t>
            </w:r>
            <w:r>
              <w:rPr>
                <w:rFonts w:hint="eastAsia"/>
                <w:color w:val="auto"/>
                <w:highlight w:val="none"/>
              </w:rPr>
              <w:t>为</w:t>
            </w:r>
            <w:r>
              <w:rPr>
                <w:rFonts w:hint="eastAsia"/>
                <w:color w:val="auto"/>
                <w:highlight w:val="none"/>
                <w:lang w:eastAsia="zh-CN"/>
              </w:rPr>
              <w:t>二类</w:t>
            </w:r>
            <w:r>
              <w:rPr>
                <w:rFonts w:hint="eastAsia"/>
                <w:color w:val="auto"/>
                <w:highlight w:val="none"/>
                <w:lang w:val="en-US" w:eastAsia="zh-CN"/>
              </w:rPr>
              <w:t>城镇住宅用地</w:t>
            </w:r>
            <w:r>
              <w:rPr>
                <w:rFonts w:hint="eastAsia"/>
                <w:color w:val="auto"/>
                <w:highlight w:val="none"/>
              </w:rPr>
              <w:t>。</w:t>
            </w:r>
            <w:r>
              <w:rPr>
                <w:rFonts w:hint="eastAsia"/>
                <w:color w:val="auto"/>
                <w:lang w:eastAsia="zh-CN"/>
              </w:rPr>
              <w:t>项目已于</w:t>
            </w:r>
            <w:r>
              <w:rPr>
                <w:rFonts w:hint="eastAsia"/>
                <w:color w:val="auto"/>
                <w:lang w:val="en-US" w:eastAsia="zh-CN"/>
              </w:rPr>
              <w:t>2026年4月9日取得南江县自然资源和规划局出具的《建设用地规划许可证》（511922202600011），项目占地区域为二类城镇住宅用地。</w:t>
            </w:r>
          </w:p>
          <w:p w14:paraId="5245BCE3">
            <w:pPr>
              <w:pStyle w:val="53"/>
              <w:ind w:firstLine="482"/>
              <w:rPr>
                <w:b/>
                <w:color w:val="auto"/>
                <w:kern w:val="0"/>
              </w:rPr>
            </w:pPr>
            <w:r>
              <w:rPr>
                <w:b/>
                <w:bCs/>
                <w:color w:val="auto"/>
              </w:rPr>
              <w:t>因此，本项目的实施</w:t>
            </w:r>
            <w:r>
              <w:rPr>
                <w:rFonts w:hint="eastAsia"/>
                <w:b/>
                <w:bCs/>
                <w:color w:val="auto"/>
              </w:rPr>
              <w:t>符合区域用地规划</w:t>
            </w:r>
            <w:r>
              <w:rPr>
                <w:b/>
                <w:bCs/>
                <w:color w:val="auto"/>
              </w:rPr>
              <w:t>。</w:t>
            </w:r>
          </w:p>
          <w:p w14:paraId="3FA57E84">
            <w:pPr>
              <w:widowControl/>
              <w:spacing w:line="360" w:lineRule="auto"/>
              <w:ind w:firstLine="482" w:firstLineChars="200"/>
              <w:jc w:val="left"/>
              <w:rPr>
                <w:b/>
                <w:bCs/>
                <w:color w:val="auto"/>
                <w:sz w:val="24"/>
              </w:rPr>
            </w:pPr>
            <w:r>
              <w:rPr>
                <w:b/>
                <w:bCs/>
                <w:color w:val="auto"/>
                <w:sz w:val="24"/>
              </w:rPr>
              <w:t>三、与“</w:t>
            </w:r>
            <w:r>
              <w:rPr>
                <w:rFonts w:hint="eastAsia"/>
                <w:b/>
                <w:bCs/>
                <w:color w:val="auto"/>
                <w:sz w:val="24"/>
                <w:lang w:eastAsia="zh-CN"/>
              </w:rPr>
              <w:t>生态环境分区管控</w:t>
            </w:r>
            <w:r>
              <w:rPr>
                <w:b/>
                <w:bCs/>
                <w:color w:val="auto"/>
                <w:sz w:val="24"/>
              </w:rPr>
              <w:t>”符合性分析</w:t>
            </w:r>
          </w:p>
          <w:p w14:paraId="0DFBB674">
            <w:pPr>
              <w:autoSpaceDE w:val="0"/>
              <w:autoSpaceDN w:val="0"/>
              <w:adjustRightInd w:val="0"/>
              <w:snapToGrid w:val="0"/>
              <w:spacing w:line="360" w:lineRule="auto"/>
              <w:ind w:firstLine="482" w:firstLineChars="200"/>
              <w:rPr>
                <w:b/>
                <w:bCs/>
                <w:color w:val="auto"/>
                <w:sz w:val="24"/>
              </w:rPr>
            </w:pPr>
            <w:r>
              <w:rPr>
                <w:b/>
                <w:bCs/>
                <w:color w:val="auto"/>
                <w:sz w:val="24"/>
              </w:rPr>
              <w:t>1、项目所在环境管控单元</w:t>
            </w:r>
          </w:p>
          <w:p w14:paraId="6EB9C0F8">
            <w:pPr>
              <w:autoSpaceDE w:val="0"/>
              <w:autoSpaceDN w:val="0"/>
              <w:adjustRightInd w:val="0"/>
              <w:snapToGrid w:val="0"/>
              <w:spacing w:line="360" w:lineRule="auto"/>
              <w:ind w:firstLine="480" w:firstLineChars="200"/>
              <w:rPr>
                <w:color w:val="auto"/>
                <w:sz w:val="24"/>
              </w:rPr>
            </w:pPr>
            <w:r>
              <w:rPr>
                <w:rFonts w:ascii="Times New Roman" w:hAnsi="Times New Roman" w:cs="Times New Roman"/>
                <w:color w:val="auto"/>
                <w:sz w:val="24"/>
              </w:rPr>
              <w:t>根据</w:t>
            </w:r>
            <w:r>
              <w:rPr>
                <w:rFonts w:hint="eastAsia" w:ascii="Times New Roman" w:hAnsi="Times New Roman" w:cs="Times New Roman"/>
                <w:color w:val="auto"/>
                <w:sz w:val="24"/>
              </w:rPr>
              <w:t>《巴中市生态环境保护委员会办公室关于加强生态环境分区管控的通知》（巴环委办[2024]3号）</w:t>
            </w:r>
            <w:r>
              <w:rPr>
                <w:rFonts w:ascii="Times New Roman" w:hAnsi="Times New Roman" w:cs="Times New Roman"/>
                <w:color w:val="auto"/>
                <w:sz w:val="24"/>
              </w:rPr>
              <w:t>，本项目</w:t>
            </w:r>
            <w:r>
              <w:rPr>
                <w:rFonts w:hint="eastAsia" w:ascii="Times New Roman" w:hAnsi="Times New Roman" w:cs="Times New Roman"/>
                <w:color w:val="auto"/>
                <w:sz w:val="24"/>
                <w:lang w:eastAsia="zh-CN"/>
              </w:rPr>
              <w:t>位于</w:t>
            </w:r>
            <w:r>
              <w:rPr>
                <w:rFonts w:hint="eastAsia" w:ascii="Times New Roman" w:hAnsi="Times New Roman" w:cs="Times New Roman"/>
                <w:color w:val="auto"/>
                <w:sz w:val="24"/>
              </w:rPr>
              <w:t>巴中市南江县环境综合管控单元城镇重点管控单元</w:t>
            </w:r>
            <w:r>
              <w:rPr>
                <w:rFonts w:hint="eastAsia" w:cs="Times New Roman"/>
                <w:color w:val="auto"/>
                <w:sz w:val="24"/>
                <w:lang w:eastAsia="zh-CN"/>
              </w:rPr>
              <w:t>，项目不涉及生态保护红线</w:t>
            </w:r>
            <w:r>
              <w:rPr>
                <w:rFonts w:hint="eastAsia"/>
                <w:color w:val="auto"/>
                <w:sz w:val="24"/>
              </w:rPr>
              <w:t>。</w:t>
            </w:r>
          </w:p>
          <w:p w14:paraId="1854D8DD">
            <w:pPr>
              <w:pStyle w:val="6"/>
              <w:numPr>
                <w:ilvl w:val="2"/>
                <w:numId w:val="0"/>
              </w:numPr>
              <w:tabs>
                <w:tab w:val="left" w:pos="352"/>
              </w:tabs>
              <w:spacing w:after="120"/>
              <w:jc w:val="center"/>
              <w:rPr>
                <w:rFonts w:hint="eastAsia" w:ascii="Times New Roman" w:hAnsi="Times New Roman" w:eastAsia="宋体" w:cs="Times New Roman"/>
                <w:color w:val="auto"/>
                <w:sz w:val="24"/>
                <w:lang w:eastAsia="zh-CN"/>
              </w:rPr>
            </w:pPr>
            <w:r>
              <w:rPr>
                <w:rFonts w:hint="default" w:ascii="Times New Roman" w:hAnsi="Times New Roman" w:cs="Times New Roman"/>
                <w:color w:val="auto"/>
              </w:rPr>
              <mc:AlternateContent>
                <mc:Choice Requires="wps">
                  <w:drawing>
                    <wp:anchor distT="0" distB="0" distL="114300" distR="114300" simplePos="0" relativeHeight="251664384" behindDoc="0" locked="0" layoutInCell="1" allowOverlap="1">
                      <wp:simplePos x="0" y="0"/>
                      <wp:positionH relativeFrom="column">
                        <wp:posOffset>320040</wp:posOffset>
                      </wp:positionH>
                      <wp:positionV relativeFrom="paragraph">
                        <wp:posOffset>861060</wp:posOffset>
                      </wp:positionV>
                      <wp:extent cx="880745" cy="262890"/>
                      <wp:effectExtent l="5080" t="121920" r="714375" b="15240"/>
                      <wp:wrapNone/>
                      <wp:docPr id="143" name="矩形标注 143"/>
                      <wp:cNvGraphicFramePr/>
                      <a:graphic xmlns:a="http://schemas.openxmlformats.org/drawingml/2006/main">
                        <a:graphicData uri="http://schemas.microsoft.com/office/word/2010/wordprocessingShape">
                          <wps:wsp>
                            <wps:cNvSpPr/>
                            <wps:spPr>
                              <a:xfrm>
                                <a:off x="0" y="0"/>
                                <a:ext cx="880745" cy="262890"/>
                              </a:xfrm>
                              <a:prstGeom prst="wedgeRectCallout">
                                <a:avLst>
                                  <a:gd name="adj1" fmla="val 124909"/>
                                  <a:gd name="adj2" fmla="val -91304"/>
                                </a:avLst>
                              </a:prstGeom>
                              <a:solidFill>
                                <a:srgbClr val="FFFFFF"/>
                              </a:solidFill>
                              <a:ln w="9525" cap="flat" cmpd="sng">
                                <a:solidFill>
                                  <a:srgbClr val="0000FF"/>
                                </a:solidFill>
                                <a:prstDash val="solid"/>
                                <a:miter/>
                                <a:headEnd type="none" w="med" len="med"/>
                                <a:tailEnd type="none" w="med" len="med"/>
                              </a:ln>
                            </wps:spPr>
                            <wps:txbx>
                              <w:txbxContent>
                                <w:p w14:paraId="71BA420F">
                                  <w:pPr>
                                    <w:rPr>
                                      <w:b/>
                                      <w:bCs/>
                                    </w:rPr>
                                  </w:pPr>
                                  <w:r>
                                    <w:rPr>
                                      <w:rFonts w:hint="eastAsia"/>
                                      <w:b/>
                                      <w:bCs/>
                                    </w:rPr>
                                    <w:t>本项目位置</w:t>
                                  </w:r>
                                </w:p>
                              </w:txbxContent>
                            </wps:txbx>
                            <wps:bodyPr upright="1"/>
                          </wps:wsp>
                        </a:graphicData>
                      </a:graphic>
                    </wp:anchor>
                  </w:drawing>
                </mc:Choice>
                <mc:Fallback>
                  <w:pict>
                    <v:shape id="_x0000_s1026" o:spid="_x0000_s1026" o:spt="61" type="#_x0000_t61" style="position:absolute;left:0pt;margin-left:25.2pt;margin-top:67.8pt;height:20.7pt;width:69.35pt;z-index:251664384;mso-width-relative:page;mso-height-relative:page;" fillcolor="#FFFFFF" filled="t" stroked="t" coordsize="21600,21600" o:gfxdata="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tJxr72AAAAAoBAAAPAAAAAAAAAAEAIAAAACIAAABkcnMv&#10;ZG93bnJldi54bWxQSwECFAAUAAAACACHTuJAs0rpMzwCAACRBAAADgAAAAAAAAABACAAAAAnAQAA&#10;ZHJzL2Uyb0RvYy54bWxQSwUGAAAAAAYABgBZAQAA1QUAAAAA&#10;" adj="37780,-8922">
                      <v:fill on="t" focussize="0,0"/>
                      <v:stroke color="#0000FF" joinstyle="miter"/>
                      <v:imagedata o:title=""/>
                      <o:lock v:ext="edit" aspectratio="f"/>
                      <v:textbox>
                        <w:txbxContent>
                          <w:p w14:paraId="71BA420F">
                            <w:pPr>
                              <w:rPr>
                                <w:b/>
                                <w:bCs/>
                              </w:rPr>
                            </w:pPr>
                            <w:r>
                              <w:rPr>
                                <w:rFonts w:hint="eastAsia"/>
                                <w:b/>
                                <w:bCs/>
                              </w:rPr>
                              <w:t>本项目位置</w:t>
                            </w:r>
                          </w:p>
                        </w:txbxContent>
                      </v:textbox>
                    </v:shape>
                  </w:pict>
                </mc:Fallback>
              </mc:AlternateContent>
            </w:r>
            <w:r>
              <w:rPr>
                <w:rFonts w:hint="eastAsia" w:ascii="Times New Roman" w:hAnsi="Times New Roman" w:eastAsia="宋体" w:cs="Times New Roman"/>
                <w:color w:val="auto"/>
                <w:sz w:val="24"/>
                <w:lang w:eastAsia="zh-CN"/>
              </w:rPr>
              <w:drawing>
                <wp:inline distT="0" distB="0" distL="114300" distR="114300">
                  <wp:extent cx="4803775" cy="3401060"/>
                  <wp:effectExtent l="0" t="0" r="15875" b="8890"/>
                  <wp:docPr id="1" name="图片 2" descr="巴中市环境管控单元分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巴中市环境管控单元分布图"/>
                          <pic:cNvPicPr>
                            <a:picLocks noChangeAspect="1"/>
                          </pic:cNvPicPr>
                        </pic:nvPicPr>
                        <pic:blipFill>
                          <a:blip r:embed="rId8"/>
                          <a:stretch>
                            <a:fillRect/>
                          </a:stretch>
                        </pic:blipFill>
                        <pic:spPr>
                          <a:xfrm>
                            <a:off x="0" y="0"/>
                            <a:ext cx="4803775" cy="3401060"/>
                          </a:xfrm>
                          <a:prstGeom prst="rect">
                            <a:avLst/>
                          </a:prstGeom>
                          <a:noFill/>
                          <a:ln>
                            <a:noFill/>
                          </a:ln>
                        </pic:spPr>
                      </pic:pic>
                    </a:graphicData>
                  </a:graphic>
                </wp:inline>
              </w:drawing>
            </w:r>
          </w:p>
          <w:p w14:paraId="6C7540E6">
            <w:pPr>
              <w:pStyle w:val="6"/>
              <w:numPr>
                <w:ilvl w:val="2"/>
                <w:numId w:val="0"/>
              </w:numPr>
              <w:tabs>
                <w:tab w:val="left" w:pos="352"/>
              </w:tabs>
              <w:spacing w:after="120"/>
              <w:jc w:val="center"/>
              <w:rPr>
                <w:bCs/>
                <w:color w:val="auto"/>
                <w:sz w:val="21"/>
                <w:szCs w:val="21"/>
              </w:rPr>
            </w:pPr>
            <w:r>
              <w:rPr>
                <w:rFonts w:hint="eastAsia"/>
                <w:bCs/>
                <w:color w:val="auto"/>
                <w:sz w:val="21"/>
                <w:szCs w:val="21"/>
              </w:rPr>
              <w:t>图1-</w:t>
            </w:r>
            <w:r>
              <w:rPr>
                <w:rFonts w:hint="eastAsia"/>
                <w:bCs/>
                <w:color w:val="auto"/>
                <w:sz w:val="21"/>
                <w:szCs w:val="21"/>
                <w:lang w:val="en-US" w:eastAsia="zh-CN"/>
              </w:rPr>
              <w:t>1</w:t>
            </w:r>
            <w:r>
              <w:rPr>
                <w:rFonts w:hint="eastAsia"/>
                <w:bCs/>
                <w:color w:val="auto"/>
                <w:sz w:val="21"/>
                <w:szCs w:val="21"/>
              </w:rPr>
              <w:t xml:space="preserve">  巴中市环境管控单元图</w:t>
            </w:r>
          </w:p>
          <w:p w14:paraId="48230919">
            <w:pPr>
              <w:jc w:val="center"/>
              <w:rPr>
                <w:bCs/>
                <w:color w:val="auto"/>
                <w:sz w:val="24"/>
                <w:lang w:val="zh-CN"/>
              </w:rPr>
            </w:pPr>
            <w:r>
              <w:rPr>
                <w:rFonts w:hint="eastAsia"/>
                <w:bCs/>
                <w:color w:val="auto"/>
                <w:sz w:val="24"/>
                <w:lang w:val="zh-CN"/>
              </w:rPr>
              <w:object>
                <v:shape id="_x0000_i1025" o:spt="75" type="#_x0000_t75" style="height:261.5pt;width:392.6pt;" o:ole="t" filled="f" o:preferrelative="t" stroked="f" coordsize="21600,21600">
                  <v:path/>
                  <v:fill on="f" focussize="0,0"/>
                  <v:stroke on="f" joinstyle="miter"/>
                  <v:imagedata r:id="rId10" o:title=""/>
                  <o:lock v:ext="edit" aspectratio="f"/>
                  <w10:wrap type="none"/>
                  <w10:anchorlock/>
                </v:shape>
                <o:OLEObject Type="Embed" ProgID="Visio.Drawing.15" ShapeID="_x0000_i1025" DrawAspect="Content" ObjectID="_1468075725" r:id="rId9">
                  <o:LockedField>false</o:LockedField>
                </o:OLEObject>
              </w:object>
            </w:r>
          </w:p>
          <w:p w14:paraId="12062F61">
            <w:pPr>
              <w:pStyle w:val="6"/>
              <w:numPr>
                <w:ilvl w:val="2"/>
                <w:numId w:val="0"/>
              </w:numPr>
              <w:tabs>
                <w:tab w:val="left" w:pos="352"/>
              </w:tabs>
              <w:spacing w:after="120" w:afterLines="50"/>
              <w:jc w:val="center"/>
              <w:rPr>
                <w:bCs/>
                <w:color w:val="auto"/>
                <w:sz w:val="21"/>
                <w:szCs w:val="21"/>
              </w:rPr>
            </w:pPr>
            <w:r>
              <w:rPr>
                <w:rFonts w:hint="eastAsia"/>
                <w:bCs/>
                <w:color w:val="auto"/>
                <w:sz w:val="21"/>
                <w:szCs w:val="21"/>
              </w:rPr>
              <w:t>图1-</w:t>
            </w:r>
            <w:r>
              <w:rPr>
                <w:rFonts w:hint="eastAsia"/>
                <w:bCs/>
                <w:color w:val="auto"/>
                <w:sz w:val="21"/>
                <w:szCs w:val="21"/>
                <w:lang w:val="en-US" w:eastAsia="zh-CN"/>
              </w:rPr>
              <w:t>2</w:t>
            </w:r>
            <w:r>
              <w:rPr>
                <w:rFonts w:hint="eastAsia"/>
                <w:bCs/>
                <w:color w:val="auto"/>
                <w:sz w:val="21"/>
                <w:szCs w:val="21"/>
              </w:rPr>
              <w:t xml:space="preserve">  巴中市生态保护红线图</w:t>
            </w:r>
          </w:p>
          <w:p w14:paraId="3DC4A23D">
            <w:pPr>
              <w:pStyle w:val="60"/>
              <w:ind w:firstLine="480"/>
              <w:rPr>
                <w:rFonts w:hint="default" w:ascii="Times New Roman" w:hAnsi="Times New Roman" w:cs="Times New Roman"/>
                <w:color w:val="auto"/>
                <w:lang w:bidi="ar"/>
              </w:rPr>
            </w:pPr>
            <w:r>
              <w:rPr>
                <w:rFonts w:hint="default" w:ascii="Times New Roman" w:hAnsi="Times New Roman" w:cs="Times New Roman"/>
                <w:color w:val="auto"/>
                <w:lang w:eastAsia="zh-CN" w:bidi="ar"/>
              </w:rPr>
              <w:t>同时根据</w:t>
            </w:r>
            <w:r>
              <w:rPr>
                <w:rFonts w:hint="default" w:ascii="Times New Roman" w:hAnsi="Times New Roman" w:cs="Times New Roman"/>
                <w:color w:val="auto"/>
                <w:lang w:bidi="ar"/>
              </w:rPr>
              <w:t>四川省政务服务网的“</w:t>
            </w:r>
            <w:r>
              <w:rPr>
                <w:rFonts w:hint="default" w:ascii="Times New Roman" w:hAnsi="Times New Roman" w:cs="Times New Roman"/>
                <w:color w:val="auto"/>
                <w:sz w:val="24"/>
              </w:rPr>
              <w:t>生态环境分区管控</w:t>
            </w:r>
            <w:r>
              <w:rPr>
                <w:rFonts w:hint="default" w:ascii="Times New Roman" w:hAnsi="Times New Roman" w:cs="Times New Roman"/>
                <w:color w:val="auto"/>
                <w:lang w:bidi="ar"/>
              </w:rPr>
              <w:t>”符合性分析模块查询，本项目位于巴中市南江县环境综合管控单元城镇重点管控单元（管控单元名称：南江县城镇空间，管控单元编号：ZH51192220001）。</w:t>
            </w:r>
          </w:p>
          <w:p w14:paraId="1985E93D">
            <w:pPr>
              <w:autoSpaceDE w:val="0"/>
              <w:autoSpaceDN w:val="0"/>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w:t>
            </w:r>
            <w:r>
              <w:rPr>
                <w:rFonts w:hint="default" w:ascii="Times New Roman" w:hAnsi="Times New Roman" w:cs="Times New Roman"/>
                <w:color w:val="auto"/>
                <w:sz w:val="24"/>
                <w:highlight w:val="none"/>
                <w:lang w:eastAsia="zh-CN"/>
              </w:rPr>
              <w:t>涉及</w:t>
            </w:r>
            <w:r>
              <w:rPr>
                <w:rFonts w:hint="default" w:ascii="Times New Roman" w:hAnsi="Times New Roman" w:cs="Times New Roman"/>
                <w:color w:val="auto"/>
                <w:sz w:val="24"/>
                <w:highlight w:val="none"/>
              </w:rPr>
              <w:t>生态环境管控单元</w:t>
            </w:r>
            <w:r>
              <w:rPr>
                <w:rFonts w:hint="default"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rPr>
              <w:t>个，见下表。</w:t>
            </w:r>
          </w:p>
          <w:p w14:paraId="1ABBECB3">
            <w:pPr>
              <w:pStyle w:val="48"/>
              <w:tabs>
                <w:tab w:val="left" w:pos="756"/>
              </w:tabs>
              <w:adjustRightInd/>
              <w:snapToGrid w:val="0"/>
              <w:spacing w:line="240" w:lineRule="auto"/>
              <w:jc w:val="center"/>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表1-2  项目涉及的</w:t>
            </w:r>
            <w:r>
              <w:rPr>
                <w:rFonts w:hint="eastAsia" w:ascii="Times New Roman" w:hAnsi="Times New Roman" w:eastAsia="宋体" w:cs="Times New Roman"/>
                <w:b/>
                <w:bCs w:val="0"/>
                <w:color w:val="auto"/>
                <w:sz w:val="21"/>
                <w:szCs w:val="21"/>
                <w:highlight w:val="none"/>
                <w:lang w:eastAsia="zh-CN"/>
              </w:rPr>
              <w:t>生态环境</w:t>
            </w:r>
            <w:r>
              <w:rPr>
                <w:rFonts w:hint="default" w:ascii="Times New Roman" w:hAnsi="Times New Roman" w:eastAsia="宋体" w:cs="Times New Roman"/>
                <w:b/>
                <w:bCs w:val="0"/>
                <w:color w:val="auto"/>
                <w:sz w:val="21"/>
                <w:szCs w:val="21"/>
                <w:highlight w:val="none"/>
              </w:rPr>
              <w:t>管控单元</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40"/>
              <w:gridCol w:w="1738"/>
              <w:gridCol w:w="1489"/>
              <w:gridCol w:w="1154"/>
              <w:gridCol w:w="1350"/>
              <w:gridCol w:w="1787"/>
            </w:tblGrid>
            <w:tr w14:paraId="426376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0" w:type="dxa"/>
                  <w:noWrap w:val="0"/>
                  <w:vAlign w:val="center"/>
                </w:tcPr>
                <w:p w14:paraId="63458E6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序号</w:t>
                  </w:r>
                </w:p>
              </w:tc>
              <w:tc>
                <w:tcPr>
                  <w:tcW w:w="1738" w:type="dxa"/>
                  <w:noWrap w:val="0"/>
                  <w:vAlign w:val="center"/>
                </w:tcPr>
                <w:p w14:paraId="4867B0B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color w:val="auto"/>
                      <w:sz w:val="21"/>
                      <w:szCs w:val="21"/>
                      <w:highlight w:val="none"/>
                    </w:rPr>
                    <w:t>涉及环境管控单元名称</w:t>
                  </w:r>
                </w:p>
              </w:tc>
              <w:tc>
                <w:tcPr>
                  <w:tcW w:w="1489" w:type="dxa"/>
                  <w:noWrap w:val="0"/>
                  <w:vAlign w:val="center"/>
                </w:tcPr>
                <w:p w14:paraId="1BE291C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color w:val="auto"/>
                      <w:sz w:val="21"/>
                      <w:szCs w:val="21"/>
                      <w:highlight w:val="none"/>
                    </w:rPr>
                    <w:t>涉及环境管控单元编码</w:t>
                  </w:r>
                </w:p>
              </w:tc>
              <w:tc>
                <w:tcPr>
                  <w:tcW w:w="1154" w:type="dxa"/>
                  <w:noWrap w:val="0"/>
                  <w:vAlign w:val="center"/>
                </w:tcPr>
                <w:p w14:paraId="1D507AD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与管控单元关系</w:t>
                  </w:r>
                </w:p>
              </w:tc>
              <w:tc>
                <w:tcPr>
                  <w:tcW w:w="1350" w:type="dxa"/>
                  <w:noWrap w:val="0"/>
                  <w:vAlign w:val="center"/>
                </w:tcPr>
                <w:p w14:paraId="6E828B0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eastAsia="宋体" w:cs="Times New Roman"/>
                      <w:b/>
                      <w:color w:val="auto"/>
                      <w:sz w:val="21"/>
                      <w:szCs w:val="21"/>
                      <w:highlight w:val="none"/>
                    </w:rPr>
                    <w:t>行政区划</w:t>
                  </w:r>
                </w:p>
              </w:tc>
              <w:tc>
                <w:tcPr>
                  <w:tcW w:w="1787" w:type="dxa"/>
                  <w:noWrap w:val="0"/>
                  <w:vAlign w:val="center"/>
                </w:tcPr>
                <w:p w14:paraId="2E272AC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color w:val="auto"/>
                      <w:sz w:val="21"/>
                      <w:szCs w:val="21"/>
                      <w:highlight w:val="none"/>
                    </w:rPr>
                    <w:t>环境管控单元类型</w:t>
                  </w:r>
                </w:p>
              </w:tc>
            </w:tr>
            <w:tr w14:paraId="78C4D6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0" w:type="dxa"/>
                  <w:noWrap w:val="0"/>
                  <w:vAlign w:val="center"/>
                </w:tcPr>
                <w:p w14:paraId="4CD650B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738" w:type="dxa"/>
                  <w:shd w:val="clear" w:color="auto" w:fill="auto"/>
                  <w:noWrap w:val="0"/>
                  <w:vAlign w:val="center"/>
                </w:tcPr>
                <w:p w14:paraId="373624D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南江县城镇空间</w:t>
                  </w:r>
                </w:p>
              </w:tc>
              <w:tc>
                <w:tcPr>
                  <w:tcW w:w="1489" w:type="dxa"/>
                  <w:shd w:val="clear" w:color="auto" w:fill="auto"/>
                  <w:noWrap w:val="0"/>
                  <w:vAlign w:val="center"/>
                </w:tcPr>
                <w:p w14:paraId="4C94E07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ZH51192220001</w:t>
                  </w:r>
                </w:p>
              </w:tc>
              <w:tc>
                <w:tcPr>
                  <w:tcW w:w="1154" w:type="dxa"/>
                  <w:shd w:val="clear" w:color="auto" w:fill="auto"/>
                  <w:noWrap w:val="0"/>
                  <w:vAlign w:val="center"/>
                </w:tcPr>
                <w:p w14:paraId="7E2F05C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106.964510，32.598822</w:t>
                  </w:r>
                </w:p>
              </w:tc>
              <w:tc>
                <w:tcPr>
                  <w:tcW w:w="1350" w:type="dxa"/>
                  <w:shd w:val="clear" w:color="auto" w:fill="auto"/>
                  <w:noWrap w:val="0"/>
                  <w:vAlign w:val="center"/>
                </w:tcPr>
                <w:p w14:paraId="08ED2D6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巴中市南江县</w:t>
                  </w:r>
                </w:p>
              </w:tc>
              <w:tc>
                <w:tcPr>
                  <w:tcW w:w="1787" w:type="dxa"/>
                  <w:shd w:val="clear" w:color="auto" w:fill="auto"/>
                  <w:noWrap w:val="0"/>
                  <w:vAlign w:val="center"/>
                </w:tcPr>
                <w:p w14:paraId="62DE3BC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城镇重点管控单元</w:t>
                  </w:r>
                </w:p>
              </w:tc>
            </w:tr>
          </w:tbl>
          <w:p w14:paraId="7D93FA29">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项目涉及</w:t>
            </w:r>
            <w:r>
              <w:rPr>
                <w:rFonts w:hint="eastAsia" w:ascii="Times New Roman" w:hAnsi="Times New Roman" w:cs="Times New Roman"/>
                <w:color w:val="auto"/>
                <w:sz w:val="24"/>
                <w:highlight w:val="none"/>
                <w:lang w:eastAsia="zh-CN"/>
              </w:rPr>
              <w:t>的</w:t>
            </w:r>
            <w:r>
              <w:rPr>
                <w:rFonts w:hint="default" w:ascii="Times New Roman" w:hAnsi="Times New Roman" w:cs="Times New Roman"/>
                <w:color w:val="auto"/>
                <w:sz w:val="24"/>
                <w:highlight w:val="none"/>
              </w:rPr>
              <w:t>环境要素管控分区有</w:t>
            </w:r>
            <w:r>
              <w:rPr>
                <w:rFonts w:hint="eastAsia" w:cs="Times New Roman"/>
                <w:color w:val="auto"/>
                <w:sz w:val="24"/>
                <w:highlight w:val="none"/>
                <w:lang w:val="en-US" w:eastAsia="zh-CN"/>
              </w:rPr>
              <w:t>6</w:t>
            </w:r>
            <w:r>
              <w:rPr>
                <w:rFonts w:hint="default" w:ascii="Times New Roman" w:hAnsi="Times New Roman" w:cs="Times New Roman"/>
                <w:color w:val="auto"/>
                <w:sz w:val="24"/>
                <w:highlight w:val="none"/>
              </w:rPr>
              <w:t>个，见下表。</w:t>
            </w:r>
          </w:p>
          <w:p w14:paraId="47EE0D7E">
            <w:pPr>
              <w:pStyle w:val="48"/>
              <w:tabs>
                <w:tab w:val="left" w:pos="756"/>
              </w:tabs>
              <w:adjustRightInd/>
              <w:snapToGrid w:val="0"/>
              <w:spacing w:line="240" w:lineRule="auto"/>
              <w:jc w:val="center"/>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表1-</w:t>
            </w:r>
            <w:r>
              <w:rPr>
                <w:rFonts w:hint="eastAsia" w:ascii="Times New Roman" w:hAnsi="Times New Roman" w:eastAsia="宋体" w:cs="Times New Roman"/>
                <w:b/>
                <w:bCs w:val="0"/>
                <w:color w:val="auto"/>
                <w:sz w:val="21"/>
                <w:szCs w:val="21"/>
                <w:highlight w:val="none"/>
                <w:lang w:val="en-US" w:eastAsia="zh-CN"/>
              </w:rPr>
              <w:t>3</w:t>
            </w:r>
            <w:r>
              <w:rPr>
                <w:rFonts w:hint="default" w:ascii="Times New Roman" w:hAnsi="Times New Roman" w:eastAsia="宋体" w:cs="Times New Roman"/>
                <w:b/>
                <w:bCs w:val="0"/>
                <w:color w:val="auto"/>
                <w:sz w:val="21"/>
                <w:szCs w:val="21"/>
                <w:highlight w:val="none"/>
              </w:rPr>
              <w:t xml:space="preserve">  项目涉及的</w:t>
            </w:r>
            <w:r>
              <w:rPr>
                <w:rFonts w:hint="eastAsia" w:ascii="Times New Roman" w:hAnsi="Times New Roman" w:eastAsia="宋体" w:cs="Times New Roman"/>
                <w:b/>
                <w:bCs w:val="0"/>
                <w:color w:val="auto"/>
                <w:sz w:val="21"/>
                <w:szCs w:val="21"/>
                <w:highlight w:val="none"/>
                <w:lang w:eastAsia="zh-CN"/>
              </w:rPr>
              <w:t>环境要素</w:t>
            </w:r>
            <w:r>
              <w:rPr>
                <w:rFonts w:hint="default" w:ascii="Times New Roman" w:hAnsi="Times New Roman" w:eastAsia="宋体" w:cs="Times New Roman"/>
                <w:b/>
                <w:bCs w:val="0"/>
                <w:color w:val="auto"/>
                <w:sz w:val="21"/>
                <w:szCs w:val="21"/>
                <w:highlight w:val="none"/>
              </w:rPr>
              <w:t>管控单元</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358"/>
              <w:gridCol w:w="1836"/>
              <w:gridCol w:w="1846"/>
              <w:gridCol w:w="1334"/>
              <w:gridCol w:w="917"/>
              <w:gridCol w:w="1767"/>
            </w:tblGrid>
            <w:tr w14:paraId="3BFC13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8" w:type="dxa"/>
                  <w:noWrap w:val="0"/>
                  <w:vAlign w:val="center"/>
                </w:tcPr>
                <w:p w14:paraId="5233279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序号</w:t>
                  </w:r>
                </w:p>
              </w:tc>
              <w:tc>
                <w:tcPr>
                  <w:tcW w:w="1836" w:type="dxa"/>
                  <w:noWrap w:val="0"/>
                  <w:vAlign w:val="center"/>
                </w:tcPr>
                <w:p w14:paraId="4E3CDAD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涉及环境要素管控分区名称</w:t>
                  </w:r>
                </w:p>
              </w:tc>
              <w:tc>
                <w:tcPr>
                  <w:tcW w:w="1846" w:type="dxa"/>
                  <w:noWrap w:val="0"/>
                  <w:vAlign w:val="center"/>
                </w:tcPr>
                <w:p w14:paraId="48CD777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涉及环境要素管控分区编码</w:t>
                  </w:r>
                </w:p>
              </w:tc>
              <w:tc>
                <w:tcPr>
                  <w:tcW w:w="1334" w:type="dxa"/>
                  <w:noWrap w:val="0"/>
                  <w:vAlign w:val="center"/>
                </w:tcPr>
                <w:p w14:paraId="00CBCF7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行政区划</w:t>
                  </w:r>
                </w:p>
              </w:tc>
              <w:tc>
                <w:tcPr>
                  <w:tcW w:w="917" w:type="dxa"/>
                  <w:noWrap w:val="0"/>
                  <w:vAlign w:val="center"/>
                </w:tcPr>
                <w:p w14:paraId="19A4BEF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环境要素类型</w:t>
                  </w:r>
                </w:p>
              </w:tc>
              <w:tc>
                <w:tcPr>
                  <w:tcW w:w="1767" w:type="dxa"/>
                  <w:noWrap w:val="0"/>
                  <w:vAlign w:val="center"/>
                </w:tcPr>
                <w:p w14:paraId="39263F4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环境要素细类</w:t>
                  </w:r>
                </w:p>
              </w:tc>
            </w:tr>
            <w:tr w14:paraId="59F674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8" w:type="dxa"/>
                  <w:shd w:val="clear" w:color="auto" w:fill="auto"/>
                  <w:noWrap w:val="0"/>
                  <w:vAlign w:val="center"/>
                </w:tcPr>
                <w:p w14:paraId="6C0BDBD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w:t>
                  </w:r>
                </w:p>
              </w:tc>
              <w:tc>
                <w:tcPr>
                  <w:tcW w:w="1836" w:type="dxa"/>
                  <w:shd w:val="clear" w:color="auto" w:fill="auto"/>
                  <w:noWrap w:val="0"/>
                  <w:vAlign w:val="center"/>
                </w:tcPr>
                <w:p w14:paraId="1F580FA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南江县城镇集中建设区</w:t>
                  </w:r>
                </w:p>
              </w:tc>
              <w:tc>
                <w:tcPr>
                  <w:tcW w:w="1846" w:type="dxa"/>
                  <w:shd w:val="clear" w:color="auto" w:fill="auto"/>
                  <w:noWrap w:val="0"/>
                  <w:vAlign w:val="center"/>
                </w:tcPr>
                <w:p w14:paraId="6CCA73C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YS5119222340001</w:t>
                  </w:r>
                </w:p>
              </w:tc>
              <w:tc>
                <w:tcPr>
                  <w:tcW w:w="1334" w:type="dxa"/>
                  <w:shd w:val="clear" w:color="auto" w:fill="auto"/>
                  <w:noWrap w:val="0"/>
                  <w:vAlign w:val="center"/>
                </w:tcPr>
                <w:p w14:paraId="6C87E84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巴中市南江县</w:t>
                  </w:r>
                </w:p>
              </w:tc>
              <w:tc>
                <w:tcPr>
                  <w:tcW w:w="917" w:type="dxa"/>
                  <w:shd w:val="clear" w:color="auto" w:fill="auto"/>
                  <w:noWrap w:val="0"/>
                  <w:vAlign w:val="center"/>
                </w:tcPr>
                <w:p w14:paraId="3D7689B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大气</w:t>
                  </w:r>
                </w:p>
              </w:tc>
              <w:tc>
                <w:tcPr>
                  <w:tcW w:w="1767" w:type="dxa"/>
                  <w:shd w:val="clear" w:color="auto" w:fill="auto"/>
                  <w:noWrap w:val="0"/>
                  <w:vAlign w:val="center"/>
                </w:tcPr>
                <w:p w14:paraId="5FB4668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大气环境受体敏感重点管控区</w:t>
                  </w:r>
                </w:p>
              </w:tc>
            </w:tr>
            <w:tr w14:paraId="2CF408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8" w:type="dxa"/>
                  <w:shd w:val="clear" w:color="auto" w:fill="auto"/>
                  <w:noWrap w:val="0"/>
                  <w:vAlign w:val="center"/>
                </w:tcPr>
                <w:p w14:paraId="097D799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w:t>
                  </w:r>
                </w:p>
              </w:tc>
              <w:tc>
                <w:tcPr>
                  <w:tcW w:w="1836" w:type="dxa"/>
                  <w:shd w:val="clear" w:color="auto" w:fill="auto"/>
                  <w:noWrap w:val="0"/>
                  <w:vAlign w:val="center"/>
                </w:tcPr>
                <w:p w14:paraId="7273598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南江县城镇开发边界</w:t>
                  </w:r>
                </w:p>
              </w:tc>
              <w:tc>
                <w:tcPr>
                  <w:tcW w:w="1846" w:type="dxa"/>
                  <w:shd w:val="clear" w:color="auto" w:fill="auto"/>
                  <w:noWrap w:val="0"/>
                  <w:vAlign w:val="center"/>
                </w:tcPr>
                <w:p w14:paraId="53D855F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YS5119222530001</w:t>
                  </w:r>
                </w:p>
              </w:tc>
              <w:tc>
                <w:tcPr>
                  <w:tcW w:w="1334" w:type="dxa"/>
                  <w:shd w:val="clear" w:color="auto" w:fill="auto"/>
                  <w:noWrap w:val="0"/>
                  <w:vAlign w:val="center"/>
                </w:tcPr>
                <w:p w14:paraId="08FC2ED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巴中市南江县</w:t>
                  </w:r>
                </w:p>
              </w:tc>
              <w:tc>
                <w:tcPr>
                  <w:tcW w:w="917" w:type="dxa"/>
                  <w:shd w:val="clear" w:color="auto" w:fill="auto"/>
                  <w:noWrap w:val="0"/>
                  <w:vAlign w:val="center"/>
                </w:tcPr>
                <w:p w14:paraId="52CE577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自然资源</w:t>
                  </w:r>
                </w:p>
              </w:tc>
              <w:tc>
                <w:tcPr>
                  <w:tcW w:w="1767" w:type="dxa"/>
                  <w:shd w:val="clear" w:color="auto" w:fill="auto"/>
                  <w:noWrap w:val="0"/>
                  <w:vAlign w:val="center"/>
                </w:tcPr>
                <w:p w14:paraId="5BA2BB6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土地资源重点管控区</w:t>
                  </w:r>
                </w:p>
              </w:tc>
            </w:tr>
            <w:tr w14:paraId="1D7D42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8" w:type="dxa"/>
                  <w:shd w:val="clear" w:color="auto" w:fill="auto"/>
                  <w:noWrap w:val="0"/>
                  <w:vAlign w:val="center"/>
                </w:tcPr>
                <w:p w14:paraId="7D70DB1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3</w:t>
                  </w:r>
                </w:p>
              </w:tc>
              <w:tc>
                <w:tcPr>
                  <w:tcW w:w="1836" w:type="dxa"/>
                  <w:shd w:val="clear" w:color="auto" w:fill="auto"/>
                  <w:noWrap w:val="0"/>
                  <w:vAlign w:val="center"/>
                </w:tcPr>
                <w:p w14:paraId="586B3A8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南江县自然资源重点管控区</w:t>
                  </w:r>
                </w:p>
              </w:tc>
              <w:tc>
                <w:tcPr>
                  <w:tcW w:w="1846" w:type="dxa"/>
                  <w:shd w:val="clear" w:color="auto" w:fill="auto"/>
                  <w:noWrap w:val="0"/>
                  <w:vAlign w:val="center"/>
                </w:tcPr>
                <w:p w14:paraId="1888A76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YS5119222550001</w:t>
                  </w:r>
                </w:p>
              </w:tc>
              <w:tc>
                <w:tcPr>
                  <w:tcW w:w="1334" w:type="dxa"/>
                  <w:shd w:val="clear" w:color="auto" w:fill="auto"/>
                  <w:noWrap w:val="0"/>
                  <w:vAlign w:val="center"/>
                </w:tcPr>
                <w:p w14:paraId="19FCE5B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巴中市南江县</w:t>
                  </w:r>
                </w:p>
              </w:tc>
              <w:tc>
                <w:tcPr>
                  <w:tcW w:w="917" w:type="dxa"/>
                  <w:shd w:val="clear" w:color="auto" w:fill="auto"/>
                  <w:noWrap w:val="0"/>
                  <w:vAlign w:val="center"/>
                </w:tcPr>
                <w:p w14:paraId="6B1FE26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自然资源</w:t>
                  </w:r>
                </w:p>
              </w:tc>
              <w:tc>
                <w:tcPr>
                  <w:tcW w:w="1767" w:type="dxa"/>
                  <w:shd w:val="clear" w:color="auto" w:fill="auto"/>
                  <w:noWrap w:val="0"/>
                  <w:vAlign w:val="center"/>
                </w:tcPr>
                <w:p w14:paraId="013E295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自然资源重点管控区</w:t>
                  </w:r>
                </w:p>
              </w:tc>
            </w:tr>
            <w:tr w14:paraId="7B743D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8" w:type="dxa"/>
                  <w:shd w:val="clear" w:color="auto" w:fill="auto"/>
                  <w:noWrap w:val="0"/>
                  <w:vAlign w:val="center"/>
                </w:tcPr>
                <w:p w14:paraId="012783D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w:t>
                  </w:r>
                </w:p>
              </w:tc>
              <w:tc>
                <w:tcPr>
                  <w:tcW w:w="1836" w:type="dxa"/>
                  <w:shd w:val="clear" w:color="auto" w:fill="auto"/>
                  <w:noWrap w:val="0"/>
                  <w:vAlign w:val="center"/>
                </w:tcPr>
                <w:p w14:paraId="3CBEEE7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南江县其他区域</w:t>
                  </w:r>
                </w:p>
              </w:tc>
              <w:tc>
                <w:tcPr>
                  <w:tcW w:w="1846" w:type="dxa"/>
                  <w:shd w:val="clear" w:color="auto" w:fill="auto"/>
                  <w:noWrap w:val="0"/>
                  <w:vAlign w:val="center"/>
                </w:tcPr>
                <w:p w14:paraId="4BC477A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YS5119223110001</w:t>
                  </w:r>
                </w:p>
              </w:tc>
              <w:tc>
                <w:tcPr>
                  <w:tcW w:w="1334" w:type="dxa"/>
                  <w:shd w:val="clear" w:color="auto" w:fill="auto"/>
                  <w:noWrap w:val="0"/>
                  <w:vAlign w:val="center"/>
                </w:tcPr>
                <w:p w14:paraId="77E81DE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巴中市南江县</w:t>
                  </w:r>
                </w:p>
              </w:tc>
              <w:tc>
                <w:tcPr>
                  <w:tcW w:w="917" w:type="dxa"/>
                  <w:shd w:val="clear" w:color="auto" w:fill="auto"/>
                  <w:noWrap w:val="0"/>
                  <w:vAlign w:val="center"/>
                </w:tcPr>
                <w:p w14:paraId="31066B5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生态</w:t>
                  </w:r>
                </w:p>
              </w:tc>
              <w:tc>
                <w:tcPr>
                  <w:tcW w:w="1767" w:type="dxa"/>
                  <w:shd w:val="clear" w:color="auto" w:fill="auto"/>
                  <w:noWrap w:val="0"/>
                  <w:vAlign w:val="center"/>
                </w:tcPr>
                <w:p w14:paraId="411ECD5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一般管控区</w:t>
                  </w:r>
                </w:p>
              </w:tc>
            </w:tr>
            <w:tr w14:paraId="6E5F5B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8" w:type="dxa"/>
                  <w:shd w:val="clear" w:color="auto" w:fill="auto"/>
                  <w:noWrap w:val="0"/>
                  <w:vAlign w:val="center"/>
                </w:tcPr>
                <w:p w14:paraId="392CAA9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5</w:t>
                  </w:r>
                </w:p>
              </w:tc>
              <w:tc>
                <w:tcPr>
                  <w:tcW w:w="1836" w:type="dxa"/>
                  <w:shd w:val="clear" w:color="auto" w:fill="auto"/>
                  <w:noWrap w:val="0"/>
                  <w:vAlign w:val="center"/>
                </w:tcPr>
                <w:p w14:paraId="2B90DAE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南江河-南江县-元潭-控制单元</w:t>
                  </w:r>
                </w:p>
              </w:tc>
              <w:tc>
                <w:tcPr>
                  <w:tcW w:w="1846" w:type="dxa"/>
                  <w:shd w:val="clear" w:color="auto" w:fill="auto"/>
                  <w:noWrap w:val="0"/>
                  <w:vAlign w:val="center"/>
                </w:tcPr>
                <w:p w14:paraId="77CC793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YS5119223210003</w:t>
                  </w:r>
                </w:p>
              </w:tc>
              <w:tc>
                <w:tcPr>
                  <w:tcW w:w="1334" w:type="dxa"/>
                  <w:shd w:val="clear" w:color="auto" w:fill="auto"/>
                  <w:noWrap w:val="0"/>
                  <w:vAlign w:val="center"/>
                </w:tcPr>
                <w:p w14:paraId="30F0CF4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巴中市南江县</w:t>
                  </w:r>
                </w:p>
              </w:tc>
              <w:tc>
                <w:tcPr>
                  <w:tcW w:w="917" w:type="dxa"/>
                  <w:shd w:val="clear" w:color="auto" w:fill="auto"/>
                  <w:noWrap w:val="0"/>
                  <w:vAlign w:val="center"/>
                </w:tcPr>
                <w:p w14:paraId="41FA22C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水</w:t>
                  </w:r>
                </w:p>
              </w:tc>
              <w:tc>
                <w:tcPr>
                  <w:tcW w:w="1767" w:type="dxa"/>
                  <w:shd w:val="clear" w:color="auto" w:fill="auto"/>
                  <w:noWrap w:val="0"/>
                  <w:vAlign w:val="center"/>
                </w:tcPr>
                <w:p w14:paraId="7EAA0F5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水环境一般管控区</w:t>
                  </w:r>
                </w:p>
              </w:tc>
            </w:tr>
            <w:tr w14:paraId="254D68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8" w:type="dxa"/>
                  <w:shd w:val="clear" w:color="auto" w:fill="auto"/>
                  <w:noWrap w:val="0"/>
                  <w:vAlign w:val="center"/>
                </w:tcPr>
                <w:p w14:paraId="003330E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w:t>
                  </w:r>
                </w:p>
              </w:tc>
              <w:tc>
                <w:tcPr>
                  <w:tcW w:w="1836" w:type="dxa"/>
                  <w:shd w:val="clear" w:color="auto" w:fill="auto"/>
                  <w:noWrap w:val="0"/>
                  <w:vAlign w:val="center"/>
                </w:tcPr>
                <w:p w14:paraId="1FD0206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渠江江河湖库岸线其他区域</w:t>
                  </w:r>
                </w:p>
              </w:tc>
              <w:tc>
                <w:tcPr>
                  <w:tcW w:w="1846" w:type="dxa"/>
                  <w:shd w:val="clear" w:color="auto" w:fill="auto"/>
                  <w:noWrap w:val="0"/>
                  <w:vAlign w:val="center"/>
                </w:tcPr>
                <w:p w14:paraId="6D42F06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YS5119223610001</w:t>
                  </w:r>
                </w:p>
              </w:tc>
              <w:tc>
                <w:tcPr>
                  <w:tcW w:w="1334" w:type="dxa"/>
                  <w:shd w:val="clear" w:color="auto" w:fill="auto"/>
                  <w:noWrap w:val="0"/>
                  <w:vAlign w:val="center"/>
                </w:tcPr>
                <w:p w14:paraId="4FA148F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巴中市南江县</w:t>
                  </w:r>
                </w:p>
              </w:tc>
              <w:tc>
                <w:tcPr>
                  <w:tcW w:w="917" w:type="dxa"/>
                  <w:shd w:val="clear" w:color="auto" w:fill="auto"/>
                  <w:noWrap w:val="0"/>
                  <w:vAlign w:val="center"/>
                </w:tcPr>
                <w:p w14:paraId="710F4A7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岸线</w:t>
                  </w:r>
                </w:p>
              </w:tc>
              <w:tc>
                <w:tcPr>
                  <w:tcW w:w="1767" w:type="dxa"/>
                  <w:shd w:val="clear" w:color="auto" w:fill="auto"/>
                  <w:noWrap w:val="0"/>
                  <w:vAlign w:val="center"/>
                </w:tcPr>
                <w:p w14:paraId="64C2CA0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江河湖库其他区域</w:t>
                  </w:r>
                </w:p>
              </w:tc>
            </w:tr>
          </w:tbl>
          <w:p w14:paraId="52B3FE5A">
            <w:pPr>
              <w:autoSpaceDE w:val="0"/>
              <w:autoSpaceDN w:val="0"/>
              <w:adjustRightInd w:val="0"/>
              <w:snapToGrid w:val="0"/>
              <w:spacing w:line="360" w:lineRule="auto"/>
              <w:ind w:firstLine="480" w:firstLineChars="200"/>
              <w:rPr>
                <w:color w:val="auto"/>
                <w:sz w:val="24"/>
              </w:rPr>
            </w:pPr>
            <w:r>
              <w:rPr>
                <w:rFonts w:hint="default" w:ascii="Times New Roman" w:hAnsi="Times New Roman" w:eastAsia="宋体" w:cs="Times New Roman"/>
                <w:b w:val="0"/>
                <w:bCs/>
                <w:color w:val="auto"/>
                <w:sz w:val="24"/>
                <w:szCs w:val="24"/>
                <w:highlight w:val="none"/>
                <w:lang w:val="en-US" w:eastAsia="zh-CN"/>
              </w:rPr>
              <w:t>项目与管控单元相对位置如下图所示：</w:t>
            </w:r>
          </w:p>
          <w:p w14:paraId="454AB363">
            <w:pPr>
              <w:spacing w:line="360" w:lineRule="auto"/>
              <w:jc w:val="center"/>
              <w:rPr>
                <w:rFonts w:ascii="Helvetica" w:hAnsi="Helvetica" w:eastAsia="Helvetica"/>
                <w:color w:val="auto"/>
                <w:sz w:val="28"/>
              </w:rPr>
            </w:pPr>
            <w:r>
              <w:rPr>
                <w:color w:val="auto"/>
              </w:rPr>
              <w:drawing>
                <wp:inline distT="0" distB="0" distL="0" distR="0">
                  <wp:extent cx="5080000" cy="2921000"/>
                  <wp:effectExtent l="0" t="0" r="6350" b="12700"/>
                  <wp:docPr id="13" name="Drawing 0" descr="position-map-17783095114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rawing 0" descr="position-map-1778309511468.png"/>
                          <pic:cNvPicPr>
                            <a:picLocks noChangeAspect="1"/>
                          </pic:cNvPicPr>
                        </pic:nvPicPr>
                        <pic:blipFill>
                          <a:blip r:embed="rId11"/>
                          <a:stretch>
                            <a:fillRect/>
                          </a:stretch>
                        </pic:blipFill>
                        <pic:spPr>
                          <a:xfrm>
                            <a:off x="0" y="0"/>
                            <a:ext cx="5080000" cy="2921000"/>
                          </a:xfrm>
                          <a:prstGeom prst="rect">
                            <a:avLst/>
                          </a:prstGeom>
                        </pic:spPr>
                      </pic:pic>
                    </a:graphicData>
                  </a:graphic>
                </wp:inline>
              </w:drawing>
            </w:r>
          </w:p>
          <w:p w14:paraId="11BACE40">
            <w:pPr>
              <w:autoSpaceDE w:val="0"/>
              <w:autoSpaceDN w:val="0"/>
              <w:adjustRightInd w:val="0"/>
              <w:snapToGrid w:val="0"/>
              <w:spacing w:after="120" w:afterLines="50"/>
              <w:jc w:val="center"/>
              <w:rPr>
                <w:b/>
                <w:bCs/>
                <w:color w:val="auto"/>
              </w:rPr>
            </w:pPr>
            <w:r>
              <w:rPr>
                <w:b/>
                <w:bCs/>
                <w:color w:val="auto"/>
              </w:rPr>
              <w:t>图1-</w:t>
            </w:r>
            <w:r>
              <w:rPr>
                <w:rFonts w:hint="eastAsia"/>
                <w:b/>
                <w:bCs/>
                <w:color w:val="auto"/>
              </w:rPr>
              <w:t>4</w:t>
            </w:r>
            <w:r>
              <w:rPr>
                <w:b/>
                <w:bCs/>
                <w:color w:val="auto"/>
              </w:rPr>
              <w:t xml:space="preserve">  </w:t>
            </w:r>
            <w:r>
              <w:rPr>
                <w:rFonts w:hint="default" w:ascii="Times New Roman" w:hAnsi="Times New Roman" w:eastAsia="宋体" w:cs="Times New Roman"/>
                <w:b/>
                <w:bCs/>
                <w:color w:val="auto"/>
                <w:sz w:val="21"/>
                <w:szCs w:val="21"/>
                <w:highlight w:val="none"/>
                <w:lang w:val="en-US" w:eastAsia="zh-CN"/>
              </w:rPr>
              <w:t>项目与环境综合管控单元的位置关系图</w:t>
            </w:r>
          </w:p>
          <w:p w14:paraId="5B47CEEF">
            <w:pPr>
              <w:pStyle w:val="54"/>
              <w:spacing w:before="0" w:beforeLines="0" w:line="360" w:lineRule="auto"/>
              <w:ind w:firstLine="482" w:firstLineChars="200"/>
              <w:jc w:val="both"/>
              <w:rPr>
                <w:rFonts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color w:val="auto"/>
                <w:sz w:val="24"/>
                <w:lang w:val="en-US" w:eastAsia="zh-CN"/>
              </w:rPr>
              <w:t>2、</w:t>
            </w:r>
            <w:r>
              <w:rPr>
                <w:rFonts w:hint="eastAsia" w:asciiTheme="minorEastAsia" w:hAnsiTheme="minorEastAsia" w:eastAsiaTheme="minorEastAsia" w:cstheme="minorEastAsia"/>
                <w:color w:val="auto"/>
                <w:sz w:val="24"/>
              </w:rPr>
              <w:t>生态环境准入清单符合性分析</w:t>
            </w:r>
          </w:p>
          <w:p w14:paraId="786BDA80">
            <w:pPr>
              <w:autoSpaceDE w:val="0"/>
              <w:autoSpaceDN w:val="0"/>
              <w:adjustRightInd w:val="0"/>
              <w:snapToGrid w:val="0"/>
              <w:spacing w:line="360" w:lineRule="auto"/>
              <w:ind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本项目与所在地所属环境管控单元的生态环境准入清单符合性分析如下表。</w:t>
            </w:r>
          </w:p>
          <w:p w14:paraId="7CFA2C7E">
            <w:pPr>
              <w:autoSpaceDE w:val="0"/>
              <w:autoSpaceDN w:val="0"/>
              <w:adjustRightInd w:val="0"/>
              <w:snapToGrid w:val="0"/>
              <w:spacing w:line="360" w:lineRule="auto"/>
              <w:ind w:firstLine="480" w:firstLineChars="200"/>
              <w:jc w:val="left"/>
              <w:rPr>
                <w:rFonts w:hint="default" w:ascii="Times New Roman" w:hAnsi="Times New Roman" w:cs="Times New Roman"/>
                <w:bCs/>
                <w:color w:val="auto"/>
                <w:sz w:val="24"/>
              </w:rPr>
            </w:pPr>
            <w:r>
              <w:rPr>
                <w:rFonts w:hint="eastAsia" w:cs="Times New Roman"/>
                <w:bCs/>
                <w:color w:val="auto"/>
                <w:sz w:val="24"/>
                <w:lang w:eastAsia="zh-CN"/>
              </w:rPr>
              <w:t>巴中市城镇重点管控单元</w:t>
            </w:r>
            <w:r>
              <w:rPr>
                <w:rFonts w:hint="default" w:ascii="Times New Roman" w:hAnsi="Times New Roman" w:eastAsia="宋体" w:cs="Times New Roman"/>
                <w:bCs/>
                <w:color w:val="auto"/>
                <w:sz w:val="24"/>
              </w:rPr>
              <w:t>普适性管控要求</w:t>
            </w:r>
            <w:r>
              <w:rPr>
                <w:rFonts w:hint="eastAsia" w:ascii="Times New Roman" w:hAnsi="Times New Roman" w:eastAsia="宋体" w:cs="Times New Roman"/>
                <w:bCs/>
                <w:color w:val="auto"/>
                <w:sz w:val="24"/>
                <w:lang w:eastAsia="zh-CN"/>
              </w:rPr>
              <w:t>见下表。</w:t>
            </w:r>
          </w:p>
          <w:p w14:paraId="64422A58">
            <w:pPr>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val="en-US" w:eastAsia="zh-CN"/>
              </w:rPr>
              <w:t>表1-</w:t>
            </w:r>
            <w:r>
              <w:rPr>
                <w:rFonts w:hint="eastAsia" w:ascii="Times New Roman" w:hAnsi="Times New Roman" w:eastAsia="宋体" w:cs="Times New Roman"/>
                <w:b/>
                <w:bCs/>
                <w:color w:val="auto"/>
                <w:szCs w:val="21"/>
                <w:lang w:val="en-US" w:eastAsia="zh-CN"/>
              </w:rPr>
              <w:t>2</w:t>
            </w:r>
            <w:r>
              <w:rPr>
                <w:rFonts w:hint="default" w:ascii="Times New Roman" w:hAnsi="Times New Roman" w:eastAsia="宋体" w:cs="Times New Roman"/>
                <w:b/>
                <w:bCs/>
                <w:color w:val="auto"/>
                <w:szCs w:val="21"/>
                <w:lang w:val="en-US" w:eastAsia="zh-CN"/>
              </w:rPr>
              <w:t xml:space="preserve">  项目与</w:t>
            </w:r>
            <w:r>
              <w:rPr>
                <w:rFonts w:hint="eastAsia" w:ascii="Times New Roman" w:hAnsi="Times New Roman" w:eastAsia="宋体" w:cs="Times New Roman"/>
                <w:b/>
                <w:bCs/>
                <w:color w:val="auto"/>
                <w:szCs w:val="21"/>
                <w:lang w:val="en-US" w:eastAsia="zh-CN"/>
              </w:rPr>
              <w:t>巴中市城镇重点管控单元</w:t>
            </w:r>
            <w:r>
              <w:rPr>
                <w:rFonts w:hint="default" w:ascii="Times New Roman" w:hAnsi="Times New Roman" w:eastAsia="宋体" w:cs="Times New Roman"/>
                <w:b/>
                <w:bCs/>
                <w:color w:val="auto"/>
                <w:szCs w:val="21"/>
                <w:lang w:val="en-US" w:eastAsia="zh-CN"/>
              </w:rPr>
              <w:t>普适性管控要求符合性分析表</w:t>
            </w:r>
          </w:p>
          <w:tbl>
            <w:tblPr>
              <w:tblStyle w:val="34"/>
              <w:tblW w:w="5000" w:type="pct"/>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10" w:type="dxa"/>
                <w:bottom w:w="0" w:type="dxa"/>
                <w:right w:w="10" w:type="dxa"/>
              </w:tblCellMar>
            </w:tblPr>
            <w:tblGrid>
              <w:gridCol w:w="247"/>
              <w:gridCol w:w="276"/>
              <w:gridCol w:w="310"/>
              <w:gridCol w:w="558"/>
              <w:gridCol w:w="5393"/>
              <w:gridCol w:w="956"/>
              <w:gridCol w:w="318"/>
            </w:tblGrid>
            <w:tr w14:paraId="788B9DFA">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40" w:hRule="atLeast"/>
                <w:jc w:val="center"/>
              </w:trPr>
              <w:tc>
                <w:tcPr>
                  <w:tcW w:w="154" w:type="pct"/>
                  <w:tcBorders>
                    <w:tl2br w:val="nil"/>
                    <w:tr2bl w:val="nil"/>
                  </w:tcBorders>
                  <w:noWrap w:val="0"/>
                  <w:vAlign w:val="center"/>
                </w:tcPr>
                <w:p w14:paraId="3F4ECA0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市州</w:t>
                  </w:r>
                </w:p>
              </w:tc>
              <w:tc>
                <w:tcPr>
                  <w:tcW w:w="171" w:type="pct"/>
                  <w:tcBorders>
                    <w:tl2br w:val="nil"/>
                    <w:tr2bl w:val="nil"/>
                  </w:tcBorders>
                  <w:noWrap w:val="0"/>
                  <w:vAlign w:val="center"/>
                </w:tcPr>
                <w:p w14:paraId="0B11D29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涉及县区</w:t>
                  </w:r>
                </w:p>
              </w:tc>
              <w:tc>
                <w:tcPr>
                  <w:tcW w:w="192" w:type="pct"/>
                  <w:tcBorders>
                    <w:tl2br w:val="nil"/>
                    <w:tr2bl w:val="nil"/>
                  </w:tcBorders>
                  <w:noWrap w:val="0"/>
                  <w:vAlign w:val="center"/>
                </w:tcPr>
                <w:p w14:paraId="75CC3B8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区域名称</w:t>
                  </w:r>
                </w:p>
              </w:tc>
              <w:tc>
                <w:tcPr>
                  <w:tcW w:w="346" w:type="pct"/>
                  <w:tcBorders>
                    <w:tl2br w:val="nil"/>
                    <w:tr2bl w:val="nil"/>
                  </w:tcBorders>
                  <w:noWrap w:val="0"/>
                  <w:vAlign w:val="center"/>
                </w:tcPr>
                <w:p w14:paraId="48BEAC0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管控类别</w:t>
                  </w:r>
                </w:p>
              </w:tc>
              <w:tc>
                <w:tcPr>
                  <w:tcW w:w="3345" w:type="pct"/>
                  <w:tcBorders>
                    <w:tl2br w:val="nil"/>
                    <w:tr2bl w:val="nil"/>
                  </w:tcBorders>
                  <w:noWrap w:val="0"/>
                  <w:vAlign w:val="center"/>
                </w:tcPr>
                <w:p w14:paraId="5CFC400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管控要求</w:t>
                  </w:r>
                </w:p>
              </w:tc>
              <w:tc>
                <w:tcPr>
                  <w:tcW w:w="593" w:type="pct"/>
                  <w:tcBorders>
                    <w:tl2br w:val="nil"/>
                    <w:tr2bl w:val="nil"/>
                  </w:tcBorders>
                  <w:noWrap w:val="0"/>
                  <w:vAlign w:val="center"/>
                </w:tcPr>
                <w:p w14:paraId="2A7A54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z w:val="21"/>
                      <w:szCs w:val="21"/>
                    </w:rPr>
                    <w:t>项目情况</w:t>
                  </w:r>
                </w:p>
              </w:tc>
              <w:tc>
                <w:tcPr>
                  <w:tcW w:w="197" w:type="pct"/>
                  <w:tcBorders>
                    <w:tl2br w:val="nil"/>
                    <w:tr2bl w:val="nil"/>
                  </w:tcBorders>
                  <w:noWrap w:val="0"/>
                  <w:vAlign w:val="center"/>
                </w:tcPr>
                <w:p w14:paraId="2A34D7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z w:val="21"/>
                      <w:szCs w:val="21"/>
                    </w:rPr>
                    <w:t>符合性</w:t>
                  </w:r>
                </w:p>
              </w:tc>
            </w:tr>
            <w:tr w14:paraId="2634EB24">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40" w:hRule="atLeast"/>
                <w:jc w:val="center"/>
              </w:trPr>
              <w:tc>
                <w:tcPr>
                  <w:tcW w:w="154" w:type="pct"/>
                  <w:vMerge w:val="restart"/>
                  <w:tcBorders>
                    <w:tl2br w:val="nil"/>
                    <w:tr2bl w:val="nil"/>
                  </w:tcBorders>
                  <w:shd w:val="clear" w:color="auto" w:fill="auto"/>
                  <w:noWrap w:val="0"/>
                  <w:vAlign w:val="center"/>
                </w:tcPr>
                <w:p w14:paraId="61D7A9EB">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巴中市</w:t>
                  </w:r>
                </w:p>
              </w:tc>
              <w:tc>
                <w:tcPr>
                  <w:tcW w:w="171" w:type="pct"/>
                  <w:vMerge w:val="restart"/>
                  <w:tcBorders>
                    <w:tl2br w:val="nil"/>
                    <w:tr2bl w:val="nil"/>
                  </w:tcBorders>
                  <w:shd w:val="clear" w:color="auto" w:fill="auto"/>
                  <w:noWrap w:val="0"/>
                  <w:vAlign w:val="center"/>
                </w:tcPr>
                <w:p w14:paraId="19E43848">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巴州区+恩阳区+通江县+南江县+平昌县</w:t>
                  </w:r>
                </w:p>
              </w:tc>
              <w:tc>
                <w:tcPr>
                  <w:tcW w:w="192" w:type="pct"/>
                  <w:vMerge w:val="restart"/>
                  <w:tcBorders>
                    <w:tl2br w:val="nil"/>
                    <w:tr2bl w:val="nil"/>
                  </w:tcBorders>
                  <w:shd w:val="clear" w:color="auto" w:fill="auto"/>
                  <w:noWrap w:val="0"/>
                  <w:vAlign w:val="center"/>
                </w:tcPr>
                <w:p w14:paraId="43F09594">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巴州区+恩阳区+通江县+南江县+平昌县</w:t>
                  </w:r>
                </w:p>
              </w:tc>
              <w:tc>
                <w:tcPr>
                  <w:tcW w:w="346" w:type="pct"/>
                  <w:tcBorders>
                    <w:tl2br w:val="nil"/>
                    <w:tr2bl w:val="nil"/>
                  </w:tcBorders>
                  <w:noWrap w:val="0"/>
                  <w:vAlign w:val="center"/>
                </w:tcPr>
                <w:p w14:paraId="7150B45D">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空间布局约束</w:t>
                  </w:r>
                </w:p>
              </w:tc>
              <w:tc>
                <w:tcPr>
                  <w:tcW w:w="3345" w:type="pct"/>
                  <w:tcBorders>
                    <w:tl2br w:val="nil"/>
                    <w:tr2bl w:val="nil"/>
                  </w:tcBorders>
                  <w:shd w:val="clear" w:color="auto" w:fill="auto"/>
                  <w:noWrap w:val="0"/>
                  <w:vAlign w:val="center"/>
                </w:tcPr>
                <w:p w14:paraId="19C101A6">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【禁止开发建设活动的要求】</w:t>
                  </w:r>
                </w:p>
                <w:p w14:paraId="0ACD339A">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-原则上禁止新建工业企业。</w:t>
                  </w:r>
                </w:p>
                <w:p w14:paraId="6A7B62BF">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-禁止在长江流域河湖管理范围内倾倒、填埋、堆放、弃置、处理固体废物。</w:t>
                  </w:r>
                </w:p>
                <w:p w14:paraId="50D1214E">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-在禁燃区内禁止销售、燃用高污染燃料。禁燃区内禁止新建、扩建燃用高污染燃料的设施。</w:t>
                  </w:r>
                </w:p>
                <w:p w14:paraId="549BFB56">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【限制开发建设活动的要求】</w:t>
                  </w:r>
                </w:p>
                <w:p w14:paraId="5B0BF2FD">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-对不符合国土空间规划的现有工业企业，污染物排放总量及环境风险水平只降不增，引导企业适时搬迁进入对口园区。</w:t>
                  </w:r>
                </w:p>
                <w:p w14:paraId="6C54D9AA">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-严格控制在城镇空间范围内新布设工业园区。若新布局工业园区，应符合巴中市最新的国土空间规划，并结合区域环境特点、三线成果、园区产业类别，充分论证选址的环境合理性。</w:t>
                  </w:r>
                </w:p>
                <w:p w14:paraId="7C33D6A0">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-长江流域河道采砂应当依法取得国务院水行政主管部门有关流域管理机构或者县级以上地方人民政府水行政主管部门的许可。严格控制采砂区域、采砂总量和采砂区域内的采砂船舶数量。</w:t>
                  </w:r>
                </w:p>
                <w:p w14:paraId="78DFB7C3">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【允许开发建设活动的要求】</w:t>
                  </w:r>
                </w:p>
                <w:p w14:paraId="3DD79B73">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-按照相关规划和要求，清理整顿非法采砂、非法码头，全面清除不合规码头。</w:t>
                  </w:r>
                </w:p>
                <w:p w14:paraId="5D56B787">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-加快现有高污染或高风险产品生产企业“退城入园”进度，逐步退出环境敏感区。</w:t>
                  </w:r>
                </w:p>
                <w:p w14:paraId="7DF9D833">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【不符合空间布局要求活动的退出要求】</w:t>
                  </w:r>
                  <w:r>
                    <w:rPr>
                      <w:rFonts w:hint="eastAsia" w:ascii="Times New Roman" w:hAnsi="Times New Roman" w:eastAsia="宋体" w:cs="Times New Roman"/>
                      <w:b w:val="0"/>
                      <w:color w:val="auto"/>
                      <w:sz w:val="21"/>
                      <w:szCs w:val="21"/>
                      <w:lang w:val="en-US" w:eastAsia="zh-CN"/>
                    </w:rPr>
                    <w:t>/</w:t>
                  </w:r>
                </w:p>
                <w:p w14:paraId="7EF168C2">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【其他空间布局约束要求】</w:t>
                  </w:r>
                  <w:r>
                    <w:rPr>
                      <w:rFonts w:hint="eastAsia" w:ascii="Times New Roman" w:hAnsi="Times New Roman" w:eastAsia="宋体" w:cs="Times New Roman"/>
                      <w:b w:val="0"/>
                      <w:color w:val="auto"/>
                      <w:sz w:val="21"/>
                      <w:szCs w:val="21"/>
                      <w:lang w:val="en-US" w:eastAsia="zh-CN"/>
                    </w:rPr>
                    <w:t>/</w:t>
                  </w:r>
                </w:p>
              </w:tc>
              <w:tc>
                <w:tcPr>
                  <w:tcW w:w="593" w:type="pct"/>
                  <w:tcBorders>
                    <w:tl2br w:val="nil"/>
                    <w:tr2bl w:val="nil"/>
                  </w:tcBorders>
                  <w:noWrap w:val="0"/>
                  <w:vAlign w:val="center"/>
                </w:tcPr>
                <w:p w14:paraId="3A2CC95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color w:val="auto"/>
                      <w:szCs w:val="21"/>
                      <w:lang w:eastAsia="zh-CN"/>
                    </w:rPr>
                  </w:pPr>
                  <w:r>
                    <w:rPr>
                      <w:color w:val="auto"/>
                      <w:szCs w:val="21"/>
                    </w:rPr>
                    <w:t>本项目</w:t>
                  </w:r>
                  <w:r>
                    <w:rPr>
                      <w:rFonts w:hint="eastAsia"/>
                      <w:color w:val="auto"/>
                      <w:szCs w:val="21"/>
                    </w:rPr>
                    <w:t>为</w:t>
                  </w:r>
                  <w:r>
                    <w:rPr>
                      <w:rFonts w:hint="eastAsia"/>
                      <w:color w:val="auto"/>
                      <w:szCs w:val="21"/>
                      <w:lang w:eastAsia="zh-CN"/>
                    </w:rPr>
                    <w:t>保障性租赁住房</w:t>
                  </w:r>
                  <w:r>
                    <w:rPr>
                      <w:rFonts w:hint="eastAsia"/>
                      <w:color w:val="auto"/>
                      <w:szCs w:val="21"/>
                    </w:rPr>
                    <w:t>建设项目</w:t>
                  </w:r>
                  <w:r>
                    <w:rPr>
                      <w:color w:val="auto"/>
                      <w:szCs w:val="21"/>
                    </w:rPr>
                    <w:t>，</w:t>
                  </w:r>
                  <w:r>
                    <w:rPr>
                      <w:rFonts w:hint="eastAsia"/>
                      <w:color w:val="auto"/>
                      <w:szCs w:val="21"/>
                      <w:lang w:eastAsia="zh-CN"/>
                    </w:rPr>
                    <w:t>不属于工业企业，不涉及高污染燃料，</w:t>
                  </w:r>
                  <w:r>
                    <w:rPr>
                      <w:color w:val="auto"/>
                      <w:szCs w:val="21"/>
                    </w:rPr>
                    <w:t>不属于</w:t>
                  </w:r>
                  <w:r>
                    <w:rPr>
                      <w:rFonts w:hint="eastAsia"/>
                      <w:color w:val="auto"/>
                      <w:szCs w:val="21"/>
                    </w:rPr>
                    <w:t>采</w:t>
                  </w:r>
                  <w:r>
                    <w:rPr>
                      <w:color w:val="auto"/>
                      <w:kern w:val="0"/>
                      <w:szCs w:val="21"/>
                    </w:rPr>
                    <w:t>、选、冶</w:t>
                  </w:r>
                  <w:r>
                    <w:rPr>
                      <w:rFonts w:hint="eastAsia"/>
                      <w:color w:val="auto"/>
                      <w:szCs w:val="21"/>
                    </w:rPr>
                    <w:t>矿行业，施工及运行过程产生的固废均进行合理处置，不</w:t>
                  </w:r>
                  <w:r>
                    <w:rPr>
                      <w:rFonts w:hint="eastAsia" w:ascii="宋体" w:hAnsi="宋体" w:cs="宋体"/>
                      <w:color w:val="auto"/>
                      <w:kern w:val="0"/>
                      <w:szCs w:val="21"/>
                    </w:rPr>
                    <w:t>在长江流域河湖管理范围内倾倒、填埋、堆放、弃置、处理固体废物</w:t>
                  </w:r>
                  <w:r>
                    <w:rPr>
                      <w:color w:val="auto"/>
                      <w:szCs w:val="21"/>
                    </w:rPr>
                    <w:t>。</w:t>
                  </w:r>
                </w:p>
              </w:tc>
              <w:tc>
                <w:tcPr>
                  <w:tcW w:w="197" w:type="pct"/>
                  <w:tcBorders>
                    <w:tl2br w:val="nil"/>
                    <w:tr2bl w:val="nil"/>
                  </w:tcBorders>
                  <w:noWrap w:val="0"/>
                  <w:vAlign w:val="center"/>
                </w:tcPr>
                <w:p w14:paraId="6DD6D16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符合</w:t>
                  </w:r>
                </w:p>
              </w:tc>
            </w:tr>
            <w:tr w14:paraId="745BB735">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40" w:hRule="atLeast"/>
                <w:jc w:val="center"/>
              </w:trPr>
              <w:tc>
                <w:tcPr>
                  <w:tcW w:w="154" w:type="pct"/>
                  <w:vMerge w:val="continue"/>
                  <w:tcBorders>
                    <w:tl2br w:val="nil"/>
                    <w:tr2bl w:val="nil"/>
                  </w:tcBorders>
                  <w:noWrap w:val="0"/>
                  <w:vAlign w:val="center"/>
                </w:tcPr>
                <w:p w14:paraId="7CBDA10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171" w:type="pct"/>
                  <w:vMerge w:val="continue"/>
                  <w:tcBorders>
                    <w:tl2br w:val="nil"/>
                    <w:tr2bl w:val="nil"/>
                  </w:tcBorders>
                  <w:noWrap w:val="0"/>
                  <w:vAlign w:val="center"/>
                </w:tcPr>
                <w:p w14:paraId="7FAAE17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192" w:type="pct"/>
                  <w:vMerge w:val="continue"/>
                  <w:tcBorders>
                    <w:tl2br w:val="nil"/>
                    <w:tr2bl w:val="nil"/>
                  </w:tcBorders>
                  <w:noWrap w:val="0"/>
                  <w:vAlign w:val="center"/>
                </w:tcPr>
                <w:p w14:paraId="422E3C4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346" w:type="pct"/>
                  <w:tcBorders>
                    <w:tl2br w:val="nil"/>
                    <w:tr2bl w:val="nil"/>
                  </w:tcBorders>
                  <w:noWrap w:val="0"/>
                  <w:vAlign w:val="center"/>
                </w:tcPr>
                <w:p w14:paraId="4387A44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污染物排放管控</w:t>
                  </w:r>
                </w:p>
              </w:tc>
              <w:tc>
                <w:tcPr>
                  <w:tcW w:w="3345" w:type="pct"/>
                  <w:tcBorders>
                    <w:tl2br w:val="nil"/>
                    <w:tr2bl w:val="nil"/>
                  </w:tcBorders>
                  <w:shd w:val="clear" w:color="auto" w:fill="auto"/>
                  <w:noWrap w:val="0"/>
                  <w:vAlign w:val="center"/>
                </w:tcPr>
                <w:p w14:paraId="2370131B">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eastAsia" w:ascii="Times New Roman" w:hAnsi="Times New Roman" w:eastAsia="宋体" w:cs="Times New Roman"/>
                      <w:b w:val="0"/>
                      <w:color w:val="auto"/>
                      <w:sz w:val="21"/>
                      <w:szCs w:val="21"/>
                      <w:lang w:eastAsia="zh-CN"/>
                    </w:rPr>
                  </w:pPr>
                  <w:r>
                    <w:rPr>
                      <w:rFonts w:hint="eastAsia" w:ascii="Times New Roman" w:hAnsi="Times New Roman" w:eastAsia="宋体" w:cs="Times New Roman"/>
                      <w:b w:val="0"/>
                      <w:color w:val="auto"/>
                      <w:sz w:val="21"/>
                      <w:szCs w:val="21"/>
                      <w:lang w:eastAsia="zh-CN"/>
                    </w:rPr>
                    <w:t>【</w:t>
                  </w:r>
                  <w:r>
                    <w:rPr>
                      <w:rFonts w:hint="default" w:ascii="Times New Roman" w:hAnsi="Times New Roman" w:eastAsia="宋体" w:cs="Times New Roman"/>
                      <w:b w:val="0"/>
                      <w:color w:val="auto"/>
                      <w:sz w:val="21"/>
                      <w:szCs w:val="21"/>
                    </w:rPr>
                    <w:t>允许排放量要求</w:t>
                  </w:r>
                  <w:r>
                    <w:rPr>
                      <w:rFonts w:hint="eastAsia" w:ascii="Times New Roman" w:hAnsi="Times New Roman" w:eastAsia="宋体" w:cs="Times New Roman"/>
                      <w:b w:val="0"/>
                      <w:color w:val="auto"/>
                      <w:sz w:val="21"/>
                      <w:szCs w:val="21"/>
                      <w:lang w:eastAsia="zh-CN"/>
                    </w:rPr>
                    <w:t>】</w:t>
                  </w:r>
                </w:p>
                <w:p w14:paraId="08458FB7">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为保证2025、2035年区域地表水控制断面水质不下降，5个城镇重点管控单元COD、氨氮、总磷允许排放量2025年建议控制在34823.36吨、3944.61吨、752.25吨以下，2035年建议控制在35519.83吨、4023.51吨、767.31吨以下。</w:t>
                  </w:r>
                </w:p>
                <w:p w14:paraId="27673268">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【现有源提标升级改造】</w:t>
                  </w:r>
                </w:p>
                <w:p w14:paraId="00D2CF48">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-到2025年，基本消除城市建成区生活污水直排口和收集处理设施空白区，县城污水处理率达到95%以上；水环境敏感地区污水处理基本达到一级A标排放标准。</w:t>
                  </w:r>
                </w:p>
                <w:p w14:paraId="6220A280">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-到2035年，城市生活污水收集管网基本全覆盖，城镇污水处理能力全覆盖，全面实现污泥无害化处理。</w:t>
                  </w:r>
                </w:p>
                <w:p w14:paraId="6FEFDABF">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-加快城镇生活污水处理设施建设。推动县级及以上污水处理设施提标改造，坚持新建污水处理设施与配套管网同步涉及、同步建设、同步投运。</w:t>
                  </w:r>
                </w:p>
                <w:p w14:paraId="1CF7925B">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-推进车船结构升级，城区环卫、邮政、通勤、轻型物流配送等车辆使用新能源或清洁能源汽车比达到80%以上。</w:t>
                  </w:r>
                </w:p>
                <w:p w14:paraId="56D68CCB">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-全面落实各类施工工地扬尘防控措施，重点、重大项目工地实现视频监控、可吸入颗粒物（PM</w:t>
                  </w:r>
                  <w:r>
                    <w:rPr>
                      <w:rFonts w:hint="default" w:ascii="Times New Roman" w:hAnsi="Times New Roman" w:eastAsia="宋体" w:cs="Times New Roman"/>
                      <w:b w:val="0"/>
                      <w:color w:val="auto"/>
                      <w:sz w:val="21"/>
                      <w:szCs w:val="21"/>
                      <w:vertAlign w:val="subscript"/>
                    </w:rPr>
                    <w:t>10</w:t>
                  </w:r>
                  <w:r>
                    <w:rPr>
                      <w:rFonts w:hint="default" w:ascii="Times New Roman" w:hAnsi="Times New Roman" w:eastAsia="宋体" w:cs="Times New Roman"/>
                      <w:b w:val="0"/>
                      <w:color w:val="auto"/>
                      <w:sz w:val="21"/>
                      <w:szCs w:val="21"/>
                    </w:rPr>
                    <w:t>）在线监测全覆盖。</w:t>
                  </w:r>
                </w:p>
                <w:p w14:paraId="36CFE247">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-有序开展城市生活源VOCs污染防治；全面推广房屋建筑和市政工程涉VOCs工序环节使用低VOCs含量涂料和胶粘剂；推进加油站按照《四川省加油站大气污染排放标准》要求安装油气处理装置。</w:t>
                  </w:r>
                </w:p>
                <w:p w14:paraId="096EB8F0">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-加大新能源汽车在城市公交、出租汽车、城市配送、邮政快递、机场、铁路货场、重点地区港口等领域应用，地级以上城市清洁能源汽车在公共领域使用率显著提升，设区的市城市公交车基本实现新能源化。</w:t>
                  </w:r>
                </w:p>
                <w:p w14:paraId="69FD3B96">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【新增源等量或倍量替代】</w:t>
                  </w:r>
                </w:p>
                <w:p w14:paraId="3A9B4DC3">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1.污染物排放绩效水平准入要求：</w:t>
                  </w:r>
                </w:p>
                <w:p w14:paraId="6E230CFA">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从事机动车修理、印刷、服装干洗、研发等排放挥发性有机污染物的生产作业，应当按照有关技术规范进行综合治理。禁止露天和敞开式喷漆作业；包装印刷业必须使用符合环保要求的油墨；餐饮服务业油烟必须经处理达到相应排放标准要求。-建材行业原料破碎、生产、运输、装卸等各环节严格落实抑尘措施，有效控制粉尘无组织排放。</w:t>
                  </w:r>
                </w:p>
                <w:p w14:paraId="7105855D">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-推进建筑装饰行业VOCs综合治理，倡导绿色装修，推广使用符合环保要求的建筑涂料、木器涂料、胶黏剂等产品。</w:t>
                  </w:r>
                </w:p>
                <w:p w14:paraId="25136CF8">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-全面推广汽修行业使用低挥发性涂料，采用高效涂装工艺，完善有机废气收集和处理系统，取缔露天和敞开是汽修喷涂作业。</w:t>
                  </w:r>
                </w:p>
                <w:p w14:paraId="21D8F010">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到2025年，中心城区污水处理率达到100%；到2030年，中心城区污水处理率达到100%，县城污水处理率达100%；到2023年底，力争全市生活垃圾焚烧处理能力占比达到60%以上，具备厨余垃圾集中处理能力；县城生活垃圾无害化处理率保持95%以上，乡镇及行政村生活垃圾收转运处置体系基本实现全覆盖。</w:t>
                  </w:r>
                </w:p>
                <w:p w14:paraId="6C1A2B27">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2.新建噪声敏感建筑物时，建设单位应全面执行绿色建筑标准，合理确定建筑物与交通干线等的防噪声距离，落实隔声减噪措施。</w:t>
                  </w:r>
                </w:p>
                <w:p w14:paraId="273BB476">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3.已竣工交付使用的住宅楼、商铺、办公楼等建筑物不得在午、夜间进行产噪装修作业，在其他时间进行装修作业的，应当采取噪声防治措施。</w:t>
                  </w:r>
                </w:p>
                <w:p w14:paraId="1BA3D799">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【新增源排放标准限值】</w:t>
                  </w:r>
                  <w:r>
                    <w:rPr>
                      <w:rFonts w:hint="eastAsia" w:ascii="Times New Roman" w:hAnsi="Times New Roman" w:eastAsia="宋体" w:cs="Times New Roman"/>
                      <w:b w:val="0"/>
                      <w:color w:val="auto"/>
                      <w:sz w:val="21"/>
                      <w:szCs w:val="21"/>
                      <w:lang w:val="en-US" w:eastAsia="zh-CN"/>
                    </w:rPr>
                    <w:t>/</w:t>
                  </w:r>
                </w:p>
                <w:p w14:paraId="066B4726">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【污染物排放绩效水平准入要求】</w:t>
                  </w:r>
                  <w:r>
                    <w:rPr>
                      <w:rFonts w:hint="eastAsia" w:ascii="Times New Roman" w:hAnsi="Times New Roman" w:eastAsia="宋体" w:cs="Times New Roman"/>
                      <w:b w:val="0"/>
                      <w:color w:val="auto"/>
                      <w:sz w:val="21"/>
                      <w:szCs w:val="21"/>
                      <w:lang w:val="en-US" w:eastAsia="zh-CN"/>
                    </w:rPr>
                    <w:t>/</w:t>
                  </w:r>
                </w:p>
                <w:p w14:paraId="6CD5D409">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【其他污染物排放管控要求】</w:t>
                  </w:r>
                  <w:r>
                    <w:rPr>
                      <w:rFonts w:hint="eastAsia" w:ascii="Times New Roman" w:hAnsi="Times New Roman" w:eastAsia="宋体" w:cs="Times New Roman"/>
                      <w:b w:val="0"/>
                      <w:color w:val="auto"/>
                      <w:sz w:val="21"/>
                      <w:szCs w:val="21"/>
                      <w:lang w:val="en-US" w:eastAsia="zh-CN"/>
                    </w:rPr>
                    <w:t>/</w:t>
                  </w:r>
                </w:p>
              </w:tc>
              <w:tc>
                <w:tcPr>
                  <w:tcW w:w="593" w:type="pct"/>
                  <w:tcBorders>
                    <w:tl2br w:val="nil"/>
                    <w:tr2bl w:val="nil"/>
                  </w:tcBorders>
                  <w:noWrap w:val="0"/>
                  <w:vAlign w:val="center"/>
                </w:tcPr>
                <w:p w14:paraId="75EA4EF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highlight w:val="yellow"/>
                      <w:lang w:eastAsia="zh-CN"/>
                    </w:rPr>
                  </w:pPr>
                  <w:r>
                    <w:rPr>
                      <w:rFonts w:hint="eastAsia" w:ascii="宋体" w:hAnsi="宋体" w:eastAsia="宋体" w:cs="宋体"/>
                      <w:color w:val="auto"/>
                      <w:kern w:val="0"/>
                      <w:sz w:val="21"/>
                    </w:rPr>
                    <w:t>项目施工期废水经沉淀后回用于洒水降尘，施工人员生活污水依托周边居民已有污水处理设施处理后排入市政管网，运营期废水经预处理池处理后排入市政污水管网经关坝镇污水处理站处理达</w:t>
                  </w:r>
                  <w:r>
                    <w:rPr>
                      <w:rFonts w:ascii="宋体" w:hAnsi="宋体" w:eastAsia="宋体" w:cs="宋体"/>
                      <w:color w:val="auto"/>
                      <w:kern w:val="0"/>
                      <w:sz w:val="21"/>
                    </w:rPr>
                    <w:t>《城镇污水处理厂污染物排放标准》一级A标后排放</w:t>
                  </w:r>
                  <w:r>
                    <w:rPr>
                      <w:rFonts w:hint="eastAsia" w:ascii="宋体" w:hAnsi="宋体" w:eastAsia="宋体" w:cs="宋体"/>
                      <w:color w:val="auto"/>
                      <w:kern w:val="0"/>
                      <w:sz w:val="21"/>
                    </w:rPr>
                    <w:t>。</w:t>
                  </w:r>
                  <w:r>
                    <w:rPr>
                      <w:rFonts w:hint="eastAsia" w:ascii="宋体" w:hAnsi="宋体" w:cs="宋体"/>
                      <w:color w:val="auto"/>
                      <w:kern w:val="0"/>
                      <w:sz w:val="21"/>
                      <w:lang w:eastAsia="zh-CN"/>
                    </w:rPr>
                    <w:t>项目房屋建筑过程使用低</w:t>
                  </w:r>
                  <w:r>
                    <w:rPr>
                      <w:rFonts w:hint="eastAsia" w:eastAsia="宋体"/>
                      <w:color w:val="auto"/>
                      <w:sz w:val="21"/>
                    </w:rPr>
                    <w:t>VOCs含量涂料和胶粘剂</w:t>
                  </w:r>
                  <w:r>
                    <w:rPr>
                      <w:rFonts w:hint="eastAsia"/>
                      <w:color w:val="auto"/>
                      <w:sz w:val="21"/>
                      <w:lang w:eastAsia="zh-CN"/>
                    </w:rPr>
                    <w:t>。项目不在午间夜间进行施工作业。</w:t>
                  </w:r>
                </w:p>
              </w:tc>
              <w:tc>
                <w:tcPr>
                  <w:tcW w:w="197" w:type="pct"/>
                  <w:tcBorders>
                    <w:tl2br w:val="nil"/>
                    <w:tr2bl w:val="nil"/>
                  </w:tcBorders>
                  <w:noWrap w:val="0"/>
                  <w:vAlign w:val="center"/>
                </w:tcPr>
                <w:p w14:paraId="16B2F09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符合</w:t>
                  </w:r>
                </w:p>
              </w:tc>
            </w:tr>
            <w:tr w14:paraId="2FD1862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40" w:hRule="atLeast"/>
                <w:jc w:val="center"/>
              </w:trPr>
              <w:tc>
                <w:tcPr>
                  <w:tcW w:w="154" w:type="pct"/>
                  <w:vMerge w:val="continue"/>
                  <w:tcBorders>
                    <w:tl2br w:val="nil"/>
                    <w:tr2bl w:val="nil"/>
                  </w:tcBorders>
                  <w:noWrap w:val="0"/>
                  <w:vAlign w:val="center"/>
                </w:tcPr>
                <w:p w14:paraId="5F4A8D7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171" w:type="pct"/>
                  <w:vMerge w:val="continue"/>
                  <w:tcBorders>
                    <w:tl2br w:val="nil"/>
                    <w:tr2bl w:val="nil"/>
                  </w:tcBorders>
                  <w:noWrap w:val="0"/>
                  <w:vAlign w:val="center"/>
                </w:tcPr>
                <w:p w14:paraId="4B30A9A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192" w:type="pct"/>
                  <w:vMerge w:val="continue"/>
                  <w:tcBorders>
                    <w:tl2br w:val="nil"/>
                    <w:tr2bl w:val="nil"/>
                  </w:tcBorders>
                  <w:noWrap w:val="0"/>
                  <w:vAlign w:val="center"/>
                </w:tcPr>
                <w:p w14:paraId="66273B1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346" w:type="pct"/>
                  <w:tcBorders>
                    <w:tl2br w:val="nil"/>
                    <w:tr2bl w:val="nil"/>
                  </w:tcBorders>
                  <w:noWrap w:val="0"/>
                  <w:vAlign w:val="center"/>
                </w:tcPr>
                <w:p w14:paraId="6667BB9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环境风险防控</w:t>
                  </w:r>
                </w:p>
              </w:tc>
              <w:tc>
                <w:tcPr>
                  <w:tcW w:w="3345" w:type="pct"/>
                  <w:tcBorders>
                    <w:tl2br w:val="nil"/>
                    <w:tr2bl w:val="nil"/>
                  </w:tcBorders>
                  <w:shd w:val="clear" w:color="auto" w:fill="auto"/>
                  <w:noWrap w:val="0"/>
                  <w:vAlign w:val="center"/>
                </w:tcPr>
                <w:p w14:paraId="237C5544">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eastAsia" w:ascii="Times New Roman" w:hAnsi="Times New Roman" w:eastAsia="宋体" w:cs="Times New Roman"/>
                      <w:b w:val="0"/>
                      <w:bCs w:val="0"/>
                      <w:color w:val="auto"/>
                      <w:sz w:val="21"/>
                      <w:szCs w:val="21"/>
                      <w:lang w:eastAsia="zh-CN"/>
                    </w:rPr>
                  </w:pPr>
                  <w:r>
                    <w:rPr>
                      <w:rFonts w:hint="eastAsia"/>
                      <w:b w:val="0"/>
                      <w:bCs w:val="0"/>
                      <w:color w:val="auto"/>
                      <w:szCs w:val="21"/>
                      <w:lang w:eastAsia="zh-CN"/>
                    </w:rPr>
                    <w:t>【</w:t>
                  </w:r>
                  <w:r>
                    <w:rPr>
                      <w:rFonts w:hint="eastAsia"/>
                      <w:b w:val="0"/>
                      <w:bCs w:val="0"/>
                      <w:color w:val="auto"/>
                      <w:szCs w:val="21"/>
                    </w:rPr>
                    <w:t>联防联控要求</w:t>
                  </w:r>
                  <w:r>
                    <w:rPr>
                      <w:rFonts w:hint="eastAsia" w:ascii="Times New Roman" w:hAnsi="Times New Roman" w:eastAsia="宋体" w:cs="Times New Roman"/>
                      <w:b w:val="0"/>
                      <w:bCs w:val="0"/>
                      <w:color w:val="auto"/>
                      <w:sz w:val="21"/>
                      <w:szCs w:val="21"/>
                      <w:lang w:eastAsia="zh-CN"/>
                    </w:rPr>
                    <w:t>】</w:t>
                  </w:r>
                </w:p>
                <w:p w14:paraId="582E4B08">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强化大气污染区域联防联控措施，实施重污染天气应急管控。修订重污染天气应急预案，动态更新污染源排放清单，落实重点企业错峰生产、压产限产、工地停工等强制性措施，有效减缓重污染天气影响。</w:t>
                  </w:r>
                </w:p>
                <w:p w14:paraId="3C076EB1">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eastAsia"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rPr>
                    <w:t>【严格管控类农用地管控要求】</w:t>
                  </w:r>
                  <w:r>
                    <w:rPr>
                      <w:rFonts w:hint="eastAsia" w:ascii="Times New Roman" w:hAnsi="Times New Roman" w:eastAsia="宋体" w:cs="Times New Roman"/>
                      <w:b w:val="0"/>
                      <w:bCs w:val="0"/>
                      <w:color w:val="auto"/>
                      <w:sz w:val="21"/>
                      <w:szCs w:val="21"/>
                      <w:lang w:val="en-US" w:eastAsia="zh-CN"/>
                    </w:rPr>
                    <w:t>/</w:t>
                  </w:r>
                </w:p>
                <w:p w14:paraId="0E9E07BB">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【安全利用类农用地管控要求】</w:t>
                  </w:r>
                  <w:r>
                    <w:rPr>
                      <w:rFonts w:hint="eastAsia" w:ascii="Times New Roman" w:hAnsi="Times New Roman" w:eastAsia="宋体" w:cs="Times New Roman"/>
                      <w:b w:val="0"/>
                      <w:bCs w:val="0"/>
                      <w:color w:val="auto"/>
                      <w:sz w:val="21"/>
                      <w:szCs w:val="21"/>
                      <w:lang w:val="en-US" w:eastAsia="zh-CN"/>
                    </w:rPr>
                    <w:t>/</w:t>
                  </w:r>
                </w:p>
                <w:p w14:paraId="30C32733">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eastAsia"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rPr>
                    <w:t>【污染地块管控要求】</w:t>
                  </w:r>
                  <w:r>
                    <w:rPr>
                      <w:rFonts w:hint="eastAsia" w:ascii="Times New Roman" w:hAnsi="Times New Roman" w:eastAsia="宋体" w:cs="Times New Roman"/>
                      <w:b w:val="0"/>
                      <w:bCs w:val="0"/>
                      <w:color w:val="auto"/>
                      <w:sz w:val="21"/>
                      <w:szCs w:val="21"/>
                      <w:lang w:val="en-US" w:eastAsia="zh-CN"/>
                    </w:rPr>
                    <w:t>/</w:t>
                  </w:r>
                </w:p>
                <w:p w14:paraId="0C108C7F">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eastAsia"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rPr>
                    <w:t>【园区环境风险防控要求】</w:t>
                  </w:r>
                  <w:r>
                    <w:rPr>
                      <w:rFonts w:hint="eastAsia" w:ascii="Times New Roman" w:hAnsi="Times New Roman" w:eastAsia="宋体" w:cs="Times New Roman"/>
                      <w:b w:val="0"/>
                      <w:bCs w:val="0"/>
                      <w:color w:val="auto"/>
                      <w:sz w:val="21"/>
                      <w:szCs w:val="21"/>
                      <w:lang w:val="en-US" w:eastAsia="zh-CN"/>
                    </w:rPr>
                    <w:t>/</w:t>
                  </w:r>
                </w:p>
                <w:p w14:paraId="02D99DD0">
                  <w:pPr>
                    <w:adjustRightInd w:val="0"/>
                    <w:snapToGrid w:val="0"/>
                    <w:jc w:val="both"/>
                    <w:rPr>
                      <w:rFonts w:hint="eastAsia"/>
                      <w:b w:val="0"/>
                      <w:bCs w:val="0"/>
                      <w:color w:val="auto"/>
                      <w:szCs w:val="21"/>
                      <w:lang w:eastAsia="zh-CN"/>
                    </w:rPr>
                  </w:pPr>
                  <w:r>
                    <w:rPr>
                      <w:rFonts w:hint="eastAsia"/>
                      <w:b w:val="0"/>
                      <w:bCs w:val="0"/>
                      <w:color w:val="auto"/>
                      <w:szCs w:val="21"/>
                      <w:lang w:eastAsia="zh-CN"/>
                    </w:rPr>
                    <w:t>【</w:t>
                  </w:r>
                  <w:r>
                    <w:rPr>
                      <w:rFonts w:hint="eastAsia"/>
                      <w:b w:val="0"/>
                      <w:bCs w:val="0"/>
                      <w:color w:val="auto"/>
                      <w:szCs w:val="21"/>
                    </w:rPr>
                    <w:t>其他环境风险防控要求</w:t>
                  </w:r>
                  <w:r>
                    <w:rPr>
                      <w:rFonts w:hint="eastAsia"/>
                      <w:b w:val="0"/>
                      <w:bCs w:val="0"/>
                      <w:color w:val="auto"/>
                      <w:szCs w:val="21"/>
                      <w:lang w:eastAsia="zh-CN"/>
                    </w:rPr>
                    <w:t>】</w:t>
                  </w:r>
                </w:p>
                <w:p w14:paraId="74769F06">
                  <w:pPr>
                    <w:adjustRightInd w:val="0"/>
                    <w:snapToGrid w:val="0"/>
                    <w:jc w:val="both"/>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企业环境风险防控要求</w:t>
                  </w:r>
                  <w:r>
                    <w:rPr>
                      <w:rFonts w:hint="eastAsia" w:ascii="Times New Roman" w:hAnsi="Times New Roman" w:eastAsia="宋体"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rPr>
                    <w:t>现有涉及五类重金属的企业，严控污染物排放，限时整治或搬迁。</w:t>
                  </w:r>
                </w:p>
                <w:p w14:paraId="3BB53581">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eastAsia"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rPr>
                    <w:t>用地环境风险防控要求</w:t>
                  </w:r>
                  <w:r>
                    <w:rPr>
                      <w:rFonts w:hint="eastAsia" w:ascii="Times New Roman" w:hAnsi="Times New Roman" w:eastAsia="宋体"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rPr>
                    <w:t>工业企业退出用地，须经评估、修复满足相应用地功能后，方可改变用途</w:t>
                  </w:r>
                  <w:r>
                    <w:rPr>
                      <w:rFonts w:hint="eastAsia" w:ascii="Times New Roman" w:hAnsi="Times New Roman" w:eastAsia="宋体" w:cs="Times New Roman"/>
                      <w:b w:val="0"/>
                      <w:bCs w:val="0"/>
                      <w:color w:val="auto"/>
                      <w:sz w:val="21"/>
                      <w:szCs w:val="21"/>
                      <w:lang w:eastAsia="zh-CN"/>
                    </w:rPr>
                    <w:t>。</w:t>
                  </w:r>
                </w:p>
              </w:tc>
              <w:tc>
                <w:tcPr>
                  <w:tcW w:w="593" w:type="pct"/>
                  <w:tcBorders>
                    <w:tl2br w:val="nil"/>
                    <w:tr2bl w:val="nil"/>
                  </w:tcBorders>
                  <w:noWrap w:val="0"/>
                  <w:vAlign w:val="center"/>
                </w:tcPr>
                <w:p w14:paraId="53D588F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highlight w:val="yellow"/>
                      <w:lang w:eastAsia="zh-CN"/>
                    </w:rPr>
                  </w:pPr>
                  <w:r>
                    <w:rPr>
                      <w:rFonts w:hint="eastAsia"/>
                      <w:color w:val="auto"/>
                      <w:szCs w:val="21"/>
                    </w:rPr>
                    <w:t>本项目严格按照《巴中市重污染天气应急预案》及修改单执行。</w:t>
                  </w:r>
                  <w:r>
                    <w:rPr>
                      <w:rFonts w:hint="eastAsia"/>
                      <w:color w:val="auto"/>
                      <w:szCs w:val="21"/>
                      <w:lang w:eastAsia="zh-CN"/>
                    </w:rPr>
                    <w:t>项目不涉及重金属，不属于工业企业。</w:t>
                  </w:r>
                </w:p>
              </w:tc>
              <w:tc>
                <w:tcPr>
                  <w:tcW w:w="197" w:type="pct"/>
                  <w:tcBorders>
                    <w:tl2br w:val="nil"/>
                    <w:tr2bl w:val="nil"/>
                  </w:tcBorders>
                  <w:noWrap w:val="0"/>
                  <w:vAlign w:val="center"/>
                </w:tcPr>
                <w:p w14:paraId="2712E3A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符合</w:t>
                  </w:r>
                </w:p>
              </w:tc>
            </w:tr>
            <w:tr w14:paraId="5E6CC88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40" w:hRule="atLeast"/>
                <w:jc w:val="center"/>
              </w:trPr>
              <w:tc>
                <w:tcPr>
                  <w:tcW w:w="154" w:type="pct"/>
                  <w:vMerge w:val="continue"/>
                  <w:tcBorders>
                    <w:tl2br w:val="nil"/>
                    <w:tr2bl w:val="nil"/>
                  </w:tcBorders>
                  <w:noWrap w:val="0"/>
                  <w:vAlign w:val="center"/>
                </w:tcPr>
                <w:p w14:paraId="071784D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171" w:type="pct"/>
                  <w:vMerge w:val="continue"/>
                  <w:tcBorders>
                    <w:tl2br w:val="nil"/>
                    <w:tr2bl w:val="nil"/>
                  </w:tcBorders>
                  <w:noWrap w:val="0"/>
                  <w:vAlign w:val="center"/>
                </w:tcPr>
                <w:p w14:paraId="0568839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192" w:type="pct"/>
                  <w:vMerge w:val="continue"/>
                  <w:tcBorders>
                    <w:tl2br w:val="nil"/>
                    <w:tr2bl w:val="nil"/>
                  </w:tcBorders>
                  <w:noWrap w:val="0"/>
                  <w:vAlign w:val="center"/>
                </w:tcPr>
                <w:p w14:paraId="3352017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346" w:type="pct"/>
                  <w:tcBorders>
                    <w:tl2br w:val="nil"/>
                    <w:tr2bl w:val="nil"/>
                  </w:tcBorders>
                  <w:noWrap w:val="0"/>
                  <w:vAlign w:val="center"/>
                </w:tcPr>
                <w:p w14:paraId="0A667C0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资源开发利用效率要求</w:t>
                  </w:r>
                </w:p>
              </w:tc>
              <w:tc>
                <w:tcPr>
                  <w:tcW w:w="3345" w:type="pct"/>
                  <w:tcBorders>
                    <w:tl2br w:val="nil"/>
                    <w:tr2bl w:val="nil"/>
                  </w:tcBorders>
                  <w:shd w:val="clear" w:color="auto" w:fill="auto"/>
                  <w:noWrap w:val="0"/>
                  <w:vAlign w:val="center"/>
                </w:tcPr>
                <w:p w14:paraId="1D914D55">
                  <w:pPr>
                    <w:adjustRightInd w:val="0"/>
                    <w:snapToGrid w:val="0"/>
                    <w:jc w:val="both"/>
                    <w:rPr>
                      <w:rFonts w:hint="eastAsia" w:eastAsia="宋体"/>
                      <w:b w:val="0"/>
                      <w:bCs w:val="0"/>
                      <w:color w:val="auto"/>
                      <w:szCs w:val="21"/>
                      <w:lang w:eastAsia="zh-CN"/>
                    </w:rPr>
                  </w:pPr>
                  <w:r>
                    <w:rPr>
                      <w:rFonts w:hint="eastAsia"/>
                      <w:b w:val="0"/>
                      <w:bCs w:val="0"/>
                      <w:color w:val="auto"/>
                      <w:szCs w:val="21"/>
                      <w:lang w:eastAsia="zh-CN"/>
                    </w:rPr>
                    <w:t>【</w:t>
                  </w:r>
                  <w:r>
                    <w:rPr>
                      <w:rFonts w:hint="eastAsia"/>
                      <w:b w:val="0"/>
                      <w:bCs w:val="0"/>
                      <w:color w:val="auto"/>
                      <w:szCs w:val="21"/>
                    </w:rPr>
                    <w:t>水资源利用总量要求</w:t>
                  </w:r>
                  <w:r>
                    <w:rPr>
                      <w:rFonts w:hint="eastAsia"/>
                      <w:b w:val="0"/>
                      <w:bCs w:val="0"/>
                      <w:color w:val="auto"/>
                      <w:szCs w:val="21"/>
                      <w:lang w:eastAsia="zh-CN"/>
                    </w:rPr>
                    <w:t>】</w:t>
                  </w:r>
                </w:p>
                <w:p w14:paraId="639FF290">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-到2025年，全市用水总量控制在7.15亿m</w:t>
                  </w:r>
                  <w:r>
                    <w:rPr>
                      <w:rFonts w:hint="default" w:ascii="Times New Roman" w:hAnsi="Times New Roman" w:eastAsia="宋体" w:cs="Times New Roman"/>
                      <w:b w:val="0"/>
                      <w:bCs w:val="0"/>
                      <w:color w:val="auto"/>
                      <w:sz w:val="21"/>
                      <w:szCs w:val="21"/>
                      <w:vertAlign w:val="superscript"/>
                    </w:rPr>
                    <w:t>3</w:t>
                  </w:r>
                  <w:r>
                    <w:rPr>
                      <w:rFonts w:hint="default" w:ascii="Times New Roman" w:hAnsi="Times New Roman" w:eastAsia="宋体" w:cs="Times New Roman"/>
                      <w:b w:val="0"/>
                      <w:bCs w:val="0"/>
                      <w:color w:val="auto"/>
                      <w:sz w:val="21"/>
                      <w:szCs w:val="21"/>
                    </w:rPr>
                    <w:t>以内；到2030年，全市用水总量控制在7.4亿m</w:t>
                  </w:r>
                  <w:r>
                    <w:rPr>
                      <w:rFonts w:hint="default" w:ascii="Times New Roman" w:hAnsi="Times New Roman" w:eastAsia="宋体" w:cs="Times New Roman"/>
                      <w:b w:val="0"/>
                      <w:bCs w:val="0"/>
                      <w:color w:val="auto"/>
                      <w:sz w:val="21"/>
                      <w:szCs w:val="21"/>
                      <w:vertAlign w:val="superscript"/>
                    </w:rPr>
                    <w:t>3</w:t>
                  </w:r>
                  <w:r>
                    <w:rPr>
                      <w:rFonts w:hint="default" w:ascii="Times New Roman" w:hAnsi="Times New Roman" w:eastAsia="宋体" w:cs="Times New Roman"/>
                      <w:b w:val="0"/>
                      <w:bCs w:val="0"/>
                      <w:color w:val="auto"/>
                      <w:sz w:val="21"/>
                      <w:szCs w:val="21"/>
                    </w:rPr>
                    <w:t>以内，万元工业增加值用水量17.15m</w:t>
                  </w:r>
                  <w:r>
                    <w:rPr>
                      <w:rFonts w:hint="default" w:ascii="Times New Roman" w:hAnsi="Times New Roman" w:eastAsia="宋体" w:cs="Times New Roman"/>
                      <w:b w:val="0"/>
                      <w:bCs w:val="0"/>
                      <w:color w:val="auto"/>
                      <w:sz w:val="21"/>
                      <w:szCs w:val="21"/>
                      <w:vertAlign w:val="superscript"/>
                    </w:rPr>
                    <w:t>3</w:t>
                  </w:r>
                  <w:r>
                    <w:rPr>
                      <w:rFonts w:hint="default" w:ascii="Times New Roman" w:hAnsi="Times New Roman" w:eastAsia="宋体" w:cs="Times New Roman"/>
                      <w:b w:val="0"/>
                      <w:bCs w:val="0"/>
                      <w:color w:val="auto"/>
                      <w:sz w:val="21"/>
                      <w:szCs w:val="21"/>
                    </w:rPr>
                    <w:t>。</w:t>
                  </w:r>
                </w:p>
                <w:p w14:paraId="2926EE81">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eastAsia" w:eastAsia="宋体"/>
                      <w:b w:val="0"/>
                      <w:bCs w:val="0"/>
                      <w:color w:val="auto"/>
                      <w:szCs w:val="21"/>
                      <w:lang w:eastAsia="zh-CN"/>
                    </w:rPr>
                  </w:pPr>
                  <w:r>
                    <w:rPr>
                      <w:rFonts w:hint="eastAsia"/>
                      <w:b w:val="0"/>
                      <w:bCs w:val="0"/>
                      <w:color w:val="auto"/>
                      <w:szCs w:val="21"/>
                      <w:lang w:eastAsia="zh-CN"/>
                    </w:rPr>
                    <w:t>【</w:t>
                  </w:r>
                  <w:r>
                    <w:rPr>
                      <w:rFonts w:hint="eastAsia"/>
                      <w:b w:val="0"/>
                      <w:bCs w:val="0"/>
                      <w:color w:val="auto"/>
                      <w:szCs w:val="21"/>
                    </w:rPr>
                    <w:t>地下水开采要求</w:t>
                  </w:r>
                  <w:r>
                    <w:rPr>
                      <w:rFonts w:hint="eastAsia"/>
                      <w:b w:val="0"/>
                      <w:bCs w:val="0"/>
                      <w:color w:val="auto"/>
                      <w:szCs w:val="21"/>
                      <w:lang w:eastAsia="zh-CN"/>
                    </w:rPr>
                    <w:t>】</w:t>
                  </w:r>
                </w:p>
                <w:p w14:paraId="48678787">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-巴中市2025年地下水开采控制控制量保持在1400万m</w:t>
                  </w:r>
                  <w:r>
                    <w:rPr>
                      <w:rFonts w:hint="default" w:ascii="Times New Roman" w:hAnsi="Times New Roman" w:eastAsia="宋体" w:cs="Times New Roman"/>
                      <w:b w:val="0"/>
                      <w:bCs w:val="0"/>
                      <w:color w:val="auto"/>
                      <w:sz w:val="21"/>
                      <w:szCs w:val="21"/>
                      <w:vertAlign w:val="superscript"/>
                    </w:rPr>
                    <w:t>3</w:t>
                  </w:r>
                  <w:r>
                    <w:rPr>
                      <w:rFonts w:hint="default" w:ascii="Times New Roman" w:hAnsi="Times New Roman" w:eastAsia="宋体" w:cs="Times New Roman"/>
                      <w:b w:val="0"/>
                      <w:bCs w:val="0"/>
                      <w:color w:val="auto"/>
                      <w:sz w:val="21"/>
                      <w:szCs w:val="21"/>
                    </w:rPr>
                    <w:t>以内。</w:t>
                  </w:r>
                </w:p>
                <w:p w14:paraId="046E3A52">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-地下水开采量控制在可开采量的允许范围内，抑制用水过度增长。</w:t>
                  </w:r>
                </w:p>
                <w:p w14:paraId="26B66D02">
                  <w:pPr>
                    <w:adjustRightInd w:val="0"/>
                    <w:snapToGrid w:val="0"/>
                    <w:jc w:val="both"/>
                    <w:rPr>
                      <w:rFonts w:hint="eastAsia" w:eastAsia="宋体"/>
                      <w:b w:val="0"/>
                      <w:bCs w:val="0"/>
                      <w:color w:val="auto"/>
                      <w:szCs w:val="21"/>
                      <w:lang w:eastAsia="zh-CN"/>
                    </w:rPr>
                  </w:pPr>
                  <w:r>
                    <w:rPr>
                      <w:rFonts w:hint="eastAsia"/>
                      <w:b w:val="0"/>
                      <w:bCs w:val="0"/>
                      <w:color w:val="auto"/>
                      <w:szCs w:val="21"/>
                      <w:lang w:eastAsia="zh-CN"/>
                    </w:rPr>
                    <w:t>【</w:t>
                  </w:r>
                  <w:r>
                    <w:rPr>
                      <w:rFonts w:hint="eastAsia"/>
                      <w:b w:val="0"/>
                      <w:bCs w:val="0"/>
                      <w:color w:val="auto"/>
                      <w:szCs w:val="21"/>
                    </w:rPr>
                    <w:t>能源利用总量及效率要求</w:t>
                  </w:r>
                  <w:r>
                    <w:rPr>
                      <w:rFonts w:hint="eastAsia"/>
                      <w:b w:val="0"/>
                      <w:bCs w:val="0"/>
                      <w:color w:val="auto"/>
                      <w:szCs w:val="21"/>
                      <w:lang w:eastAsia="zh-CN"/>
                    </w:rPr>
                    <w:t>】</w:t>
                  </w:r>
                </w:p>
                <w:p w14:paraId="299172D8">
                  <w:pPr>
                    <w:adjustRightInd w:val="0"/>
                    <w:snapToGrid w:val="0"/>
                    <w:jc w:val="both"/>
                    <w:rPr>
                      <w:rFonts w:hint="eastAsia"/>
                      <w:b w:val="0"/>
                      <w:bCs w:val="0"/>
                      <w:color w:val="auto"/>
                      <w:szCs w:val="21"/>
                    </w:rPr>
                  </w:pPr>
                  <w:r>
                    <w:rPr>
                      <w:rFonts w:hint="eastAsia"/>
                      <w:b w:val="0"/>
                      <w:bCs w:val="0"/>
                      <w:color w:val="auto"/>
                      <w:szCs w:val="21"/>
                    </w:rPr>
                    <w:t>-禁止使用不符合商品煤质量管理规定所列环保指标要求的商品煤。禁止劣质散煤流通与使用，依法查处散煤无照经营行为。加大民用散煤清洁化治理力度，推进以电代煤、以气代煤，推广使用洁净煤、先进民用炉具，加强民用散煤管理。</w:t>
                  </w:r>
                </w:p>
                <w:p w14:paraId="3B4E5D12">
                  <w:pPr>
                    <w:adjustRightInd w:val="0"/>
                    <w:snapToGrid w:val="0"/>
                    <w:jc w:val="both"/>
                    <w:rPr>
                      <w:rFonts w:hint="eastAsia" w:eastAsia="宋体"/>
                      <w:b w:val="0"/>
                      <w:bCs w:val="0"/>
                      <w:color w:val="auto"/>
                      <w:szCs w:val="21"/>
                      <w:lang w:eastAsia="zh-CN"/>
                    </w:rPr>
                  </w:pPr>
                  <w:r>
                    <w:rPr>
                      <w:rFonts w:hint="eastAsia"/>
                      <w:b w:val="0"/>
                      <w:bCs w:val="0"/>
                      <w:color w:val="auto"/>
                      <w:szCs w:val="21"/>
                      <w:lang w:eastAsia="zh-CN"/>
                    </w:rPr>
                    <w:t>【</w:t>
                  </w:r>
                  <w:r>
                    <w:rPr>
                      <w:rFonts w:hint="eastAsia"/>
                      <w:b w:val="0"/>
                      <w:bCs w:val="0"/>
                      <w:color w:val="auto"/>
                      <w:szCs w:val="21"/>
                    </w:rPr>
                    <w:t>禁燃区要求</w:t>
                  </w:r>
                  <w:r>
                    <w:rPr>
                      <w:rFonts w:hint="eastAsia"/>
                      <w:b w:val="0"/>
                      <w:bCs w:val="0"/>
                      <w:color w:val="auto"/>
                      <w:szCs w:val="21"/>
                      <w:lang w:eastAsia="zh-CN"/>
                    </w:rPr>
                    <w:t>】</w:t>
                  </w:r>
                </w:p>
                <w:p w14:paraId="747E5939">
                  <w:pPr>
                    <w:adjustRightInd w:val="0"/>
                    <w:snapToGrid w:val="0"/>
                    <w:jc w:val="both"/>
                    <w:rPr>
                      <w:rFonts w:hint="eastAsia"/>
                      <w:b w:val="0"/>
                      <w:bCs w:val="0"/>
                      <w:color w:val="auto"/>
                      <w:szCs w:val="21"/>
                    </w:rPr>
                  </w:pPr>
                  <w:r>
                    <w:rPr>
                      <w:rFonts w:hint="eastAsia"/>
                      <w:b w:val="0"/>
                      <w:bCs w:val="0"/>
                      <w:color w:val="auto"/>
                      <w:szCs w:val="21"/>
                    </w:rPr>
                    <w:t>-在禁燃区范围内禁止销售、燃用高污染燃料。禁燃区内禁止新建、扩建燃用高污染燃料的设施；已建成的，应当于2021年12月31日前改用天然气、页岩气、液化石油气、电或其他清洁能源。现有燃用高污染燃料燃用设施在拆除或改造前，有关单位（企业）应当采取措施，确保大气污染物排放达到国家规定标准。</w:t>
                  </w:r>
                </w:p>
                <w:p w14:paraId="4AF011BD">
                  <w:pPr>
                    <w:adjustRightInd w:val="0"/>
                    <w:snapToGrid w:val="0"/>
                    <w:jc w:val="both"/>
                    <w:rPr>
                      <w:rFonts w:hint="eastAsia" w:eastAsia="宋体"/>
                      <w:b w:val="0"/>
                      <w:bCs w:val="0"/>
                      <w:color w:val="auto"/>
                      <w:szCs w:val="21"/>
                      <w:lang w:eastAsia="zh-CN"/>
                    </w:rPr>
                  </w:pPr>
                  <w:r>
                    <w:rPr>
                      <w:rFonts w:hint="eastAsia"/>
                      <w:b w:val="0"/>
                      <w:bCs w:val="0"/>
                      <w:color w:val="auto"/>
                      <w:szCs w:val="21"/>
                      <w:lang w:eastAsia="zh-CN"/>
                    </w:rPr>
                    <w:t>【</w:t>
                  </w:r>
                  <w:r>
                    <w:rPr>
                      <w:rFonts w:hint="eastAsia"/>
                      <w:b w:val="0"/>
                      <w:bCs w:val="0"/>
                      <w:color w:val="auto"/>
                      <w:szCs w:val="21"/>
                    </w:rPr>
                    <w:t>其他资源利用效率要求</w:t>
                  </w:r>
                  <w:r>
                    <w:rPr>
                      <w:rFonts w:hint="eastAsia"/>
                      <w:b w:val="0"/>
                      <w:bCs w:val="0"/>
                      <w:color w:val="auto"/>
                      <w:szCs w:val="21"/>
                      <w:lang w:eastAsia="zh-CN"/>
                    </w:rPr>
                    <w:t>】</w:t>
                  </w:r>
                </w:p>
                <w:p w14:paraId="372DF08A">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b w:val="0"/>
                      <w:bCs w:val="0"/>
                      <w:color w:val="auto"/>
                      <w:szCs w:val="21"/>
                    </w:rPr>
                    <w:t>到2025年，巴中市城市再生水利用率达到不低于20%，到2030年，再生水利用率不低于30%。</w:t>
                  </w:r>
                </w:p>
              </w:tc>
              <w:tc>
                <w:tcPr>
                  <w:tcW w:w="593" w:type="pct"/>
                  <w:tcBorders>
                    <w:tl2br w:val="nil"/>
                    <w:tr2bl w:val="nil"/>
                  </w:tcBorders>
                  <w:noWrap w:val="0"/>
                  <w:vAlign w:val="center"/>
                </w:tcPr>
                <w:p w14:paraId="0115E45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lang w:val="en-US" w:eastAsia="zh-CN"/>
                    </w:rPr>
                  </w:pPr>
                  <w:r>
                    <w:rPr>
                      <w:rFonts w:hint="eastAsia" w:eastAsia="宋体"/>
                      <w:color w:val="auto"/>
                      <w:sz w:val="21"/>
                      <w:szCs w:val="21"/>
                      <w:lang w:eastAsia="zh-CN"/>
                    </w:rPr>
                    <w:t>项目用水量符合要求，不涉及地下水开采，不涉及煤等高污染燃料。</w:t>
                  </w:r>
                </w:p>
              </w:tc>
              <w:tc>
                <w:tcPr>
                  <w:tcW w:w="197" w:type="pct"/>
                  <w:tcBorders>
                    <w:tl2br w:val="nil"/>
                    <w:tr2bl w:val="nil"/>
                  </w:tcBorders>
                  <w:noWrap w:val="0"/>
                  <w:vAlign w:val="center"/>
                </w:tcPr>
                <w:p w14:paraId="3FA11F2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bl>
          <w:p w14:paraId="16A4A966">
            <w:pPr>
              <w:autoSpaceDE w:val="0"/>
              <w:autoSpaceDN w:val="0"/>
              <w:adjustRightInd w:val="0"/>
              <w:snapToGrid w:val="0"/>
              <w:spacing w:line="360" w:lineRule="auto"/>
              <w:ind w:firstLine="480" w:firstLineChars="200"/>
              <w:rPr>
                <w:rFonts w:hint="eastAsia" w:ascii="Times New Roman" w:hAnsi="Times New Roman" w:eastAsia="宋体" w:cs="Times New Roman"/>
                <w:bCs/>
                <w:color w:val="auto"/>
                <w:sz w:val="24"/>
                <w:lang w:val="en-US" w:eastAsia="zh-CN"/>
              </w:rPr>
            </w:pPr>
            <w:r>
              <w:rPr>
                <w:rFonts w:hint="eastAsia" w:cs="Times New Roman"/>
                <w:bCs/>
                <w:color w:val="auto"/>
                <w:sz w:val="24"/>
                <w:lang w:eastAsia="zh-CN"/>
              </w:rPr>
              <w:t>南江县</w:t>
            </w:r>
            <w:r>
              <w:rPr>
                <w:rFonts w:hint="default" w:ascii="Times New Roman" w:hAnsi="Times New Roman" w:eastAsia="宋体" w:cs="Times New Roman"/>
                <w:bCs/>
                <w:color w:val="auto"/>
                <w:sz w:val="24"/>
              </w:rPr>
              <w:t>普适性管控要求</w:t>
            </w:r>
            <w:r>
              <w:rPr>
                <w:rFonts w:hint="eastAsia" w:ascii="Times New Roman" w:hAnsi="Times New Roman" w:eastAsia="宋体" w:cs="Times New Roman"/>
                <w:bCs/>
                <w:color w:val="auto"/>
                <w:sz w:val="24"/>
                <w:lang w:eastAsia="zh-CN"/>
              </w:rPr>
              <w:t>见下表。</w:t>
            </w:r>
          </w:p>
          <w:p w14:paraId="349BB1AC">
            <w:pPr>
              <w:pStyle w:val="2"/>
              <w:keepNext w:val="0"/>
              <w:keepLines w:val="0"/>
              <w:pageBreakBefore w:val="0"/>
              <w:widowControl/>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b/>
                <w:bCs/>
                <w:color w:val="auto"/>
                <w:kern w:val="2"/>
                <w:sz w:val="21"/>
                <w:szCs w:val="24"/>
                <w:lang w:val="en-US" w:eastAsia="zh-CN" w:bidi="ar-SA"/>
              </w:rPr>
            </w:pPr>
            <w:r>
              <w:rPr>
                <w:rFonts w:hint="default" w:ascii="Times New Roman" w:hAnsi="Times New Roman" w:eastAsia="宋体" w:cs="Times New Roman"/>
                <w:b/>
                <w:bCs/>
                <w:color w:val="auto"/>
                <w:kern w:val="2"/>
                <w:sz w:val="21"/>
                <w:szCs w:val="24"/>
                <w:lang w:val="en-US" w:eastAsia="zh-CN" w:bidi="ar-SA"/>
              </w:rPr>
              <w:t>表1-</w:t>
            </w:r>
            <w:r>
              <w:rPr>
                <w:rFonts w:hint="eastAsia" w:ascii="Times New Roman" w:hAnsi="Times New Roman" w:eastAsia="宋体" w:cs="Times New Roman"/>
                <w:b/>
                <w:bCs/>
                <w:color w:val="auto"/>
                <w:kern w:val="2"/>
                <w:sz w:val="21"/>
                <w:szCs w:val="24"/>
                <w:lang w:val="en-US" w:eastAsia="zh-CN" w:bidi="ar-SA"/>
              </w:rPr>
              <w:t>3</w:t>
            </w:r>
            <w:r>
              <w:rPr>
                <w:rFonts w:hint="default" w:ascii="Times New Roman" w:hAnsi="Times New Roman" w:eastAsia="宋体" w:cs="Times New Roman"/>
                <w:b/>
                <w:bCs/>
                <w:color w:val="auto"/>
                <w:kern w:val="2"/>
                <w:sz w:val="21"/>
                <w:szCs w:val="24"/>
                <w:lang w:val="en-US" w:eastAsia="zh-CN" w:bidi="ar-SA"/>
              </w:rPr>
              <w:t xml:space="preserve">  项目与</w:t>
            </w:r>
            <w:r>
              <w:rPr>
                <w:rFonts w:hint="eastAsia" w:cs="Times New Roman"/>
                <w:b/>
                <w:bCs/>
                <w:color w:val="auto"/>
                <w:kern w:val="2"/>
                <w:sz w:val="21"/>
                <w:szCs w:val="24"/>
                <w:lang w:val="en-US" w:eastAsia="zh-CN" w:bidi="ar-SA"/>
              </w:rPr>
              <w:t>南江县</w:t>
            </w:r>
            <w:r>
              <w:rPr>
                <w:rFonts w:hint="default" w:ascii="Times New Roman" w:hAnsi="Times New Roman" w:eastAsia="宋体" w:cs="Times New Roman"/>
                <w:b/>
                <w:bCs/>
                <w:color w:val="auto"/>
                <w:kern w:val="2"/>
                <w:sz w:val="21"/>
                <w:szCs w:val="24"/>
                <w:lang w:val="en-US" w:eastAsia="zh-CN" w:bidi="ar-SA"/>
              </w:rPr>
              <w:t>普适性要求符合性分析表</w:t>
            </w:r>
          </w:p>
          <w:tbl>
            <w:tblPr>
              <w:tblStyle w:val="34"/>
              <w:tblW w:w="4993" w:type="pct"/>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10" w:type="dxa"/>
                <w:bottom w:w="0" w:type="dxa"/>
                <w:right w:w="10" w:type="dxa"/>
              </w:tblCellMar>
            </w:tblPr>
            <w:tblGrid>
              <w:gridCol w:w="304"/>
              <w:gridCol w:w="471"/>
              <w:gridCol w:w="902"/>
              <w:gridCol w:w="4713"/>
              <w:gridCol w:w="1261"/>
              <w:gridCol w:w="396"/>
            </w:tblGrid>
            <w:tr w14:paraId="01A24655">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40" w:hRule="atLeast"/>
                <w:jc w:val="center"/>
              </w:trPr>
              <w:tc>
                <w:tcPr>
                  <w:tcW w:w="188" w:type="pct"/>
                  <w:tcBorders>
                    <w:tl2br w:val="nil"/>
                    <w:tr2bl w:val="nil"/>
                  </w:tcBorders>
                  <w:noWrap w:val="0"/>
                  <w:vAlign w:val="center"/>
                </w:tcPr>
                <w:p w14:paraId="44A457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县区</w:t>
                  </w:r>
                </w:p>
              </w:tc>
              <w:tc>
                <w:tcPr>
                  <w:tcW w:w="292" w:type="pct"/>
                  <w:tcBorders>
                    <w:tl2br w:val="nil"/>
                    <w:tr2bl w:val="nil"/>
                  </w:tcBorders>
                  <w:noWrap w:val="0"/>
                  <w:vAlign w:val="center"/>
                </w:tcPr>
                <w:p w14:paraId="3669A8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区域名称</w:t>
                  </w:r>
                </w:p>
              </w:tc>
              <w:tc>
                <w:tcPr>
                  <w:tcW w:w="560" w:type="pct"/>
                  <w:tcBorders>
                    <w:tl2br w:val="nil"/>
                    <w:tr2bl w:val="nil"/>
                  </w:tcBorders>
                  <w:noWrap w:val="0"/>
                  <w:vAlign w:val="center"/>
                </w:tcPr>
                <w:p w14:paraId="7461CE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管控类别</w:t>
                  </w:r>
                </w:p>
              </w:tc>
              <w:tc>
                <w:tcPr>
                  <w:tcW w:w="2928" w:type="pct"/>
                  <w:tcBorders>
                    <w:tl2br w:val="nil"/>
                    <w:tr2bl w:val="nil"/>
                  </w:tcBorders>
                  <w:noWrap w:val="0"/>
                  <w:vAlign w:val="center"/>
                </w:tcPr>
                <w:p w14:paraId="364E79B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单元特性管控要求</w:t>
                  </w:r>
                </w:p>
              </w:tc>
              <w:tc>
                <w:tcPr>
                  <w:tcW w:w="783" w:type="pct"/>
                  <w:tcBorders>
                    <w:tl2br w:val="nil"/>
                    <w:tr2bl w:val="nil"/>
                  </w:tcBorders>
                  <w:noWrap w:val="0"/>
                  <w:vAlign w:val="center"/>
                </w:tcPr>
                <w:p w14:paraId="1346672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项目情况</w:t>
                  </w:r>
                </w:p>
              </w:tc>
              <w:tc>
                <w:tcPr>
                  <w:tcW w:w="246" w:type="pct"/>
                  <w:tcBorders>
                    <w:tl2br w:val="nil"/>
                    <w:tr2bl w:val="nil"/>
                  </w:tcBorders>
                  <w:noWrap w:val="0"/>
                  <w:vAlign w:val="center"/>
                </w:tcPr>
                <w:p w14:paraId="3833E7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符合性</w:t>
                  </w:r>
                </w:p>
              </w:tc>
            </w:tr>
            <w:tr w14:paraId="3C824B8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40" w:hRule="atLeast"/>
                <w:jc w:val="center"/>
              </w:trPr>
              <w:tc>
                <w:tcPr>
                  <w:tcW w:w="188" w:type="pct"/>
                  <w:vMerge w:val="restart"/>
                  <w:tcBorders>
                    <w:tl2br w:val="nil"/>
                    <w:tr2bl w:val="nil"/>
                  </w:tcBorders>
                  <w:noWrap w:val="0"/>
                  <w:vAlign w:val="center"/>
                </w:tcPr>
                <w:p w14:paraId="00846D1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南江县</w:t>
                  </w:r>
                </w:p>
              </w:tc>
              <w:tc>
                <w:tcPr>
                  <w:tcW w:w="292" w:type="pct"/>
                  <w:vMerge w:val="restart"/>
                  <w:tcBorders>
                    <w:tl2br w:val="nil"/>
                    <w:tr2bl w:val="nil"/>
                  </w:tcBorders>
                  <w:noWrap w:val="0"/>
                  <w:vAlign w:val="center"/>
                </w:tcPr>
                <w:p w14:paraId="35339B7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南江县</w:t>
                  </w:r>
                </w:p>
              </w:tc>
              <w:tc>
                <w:tcPr>
                  <w:tcW w:w="560" w:type="pct"/>
                  <w:tcBorders>
                    <w:tl2br w:val="nil"/>
                    <w:tr2bl w:val="nil"/>
                  </w:tcBorders>
                  <w:shd w:val="clear" w:color="auto" w:fill="auto"/>
                  <w:noWrap w:val="0"/>
                  <w:vAlign w:val="center"/>
                </w:tcPr>
                <w:p w14:paraId="6EEAFA98">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空间布局约束</w:t>
                  </w:r>
                </w:p>
              </w:tc>
              <w:tc>
                <w:tcPr>
                  <w:tcW w:w="2928" w:type="pct"/>
                  <w:tcBorders>
                    <w:tl2br w:val="nil"/>
                    <w:tr2bl w:val="nil"/>
                  </w:tcBorders>
                  <w:shd w:val="clear" w:color="auto" w:fill="auto"/>
                  <w:noWrap w:val="0"/>
                  <w:vAlign w:val="center"/>
                </w:tcPr>
                <w:p w14:paraId="3BCC2D99">
                  <w:pPr>
                    <w:pStyle w:val="86"/>
                    <w:adjustRightInd w:val="0"/>
                    <w:snapToGrid w:val="0"/>
                    <w:spacing w:line="240" w:lineRule="auto"/>
                    <w:ind w:firstLine="0" w:firstLineChars="0"/>
                    <w:jc w:val="both"/>
                    <w:rPr>
                      <w:rFonts w:hint="eastAsia" w:ascii="Times New Roman" w:hAnsi="Times New Roman" w:eastAsia="宋体" w:cs="Times New Roman"/>
                      <w:color w:val="auto"/>
                      <w:kern w:val="0"/>
                      <w:sz w:val="21"/>
                    </w:rPr>
                  </w:pPr>
                  <w:r>
                    <w:rPr>
                      <w:rFonts w:hint="eastAsia" w:ascii="Times New Roman" w:hAnsi="Times New Roman" w:eastAsia="宋体" w:cs="Times New Roman"/>
                      <w:color w:val="auto"/>
                      <w:kern w:val="0"/>
                      <w:sz w:val="21"/>
                    </w:rPr>
                    <w:t>【允许开发建设活动的要求】</w:t>
                  </w:r>
                </w:p>
                <w:p w14:paraId="6876348E">
                  <w:pPr>
                    <w:pStyle w:val="86"/>
                    <w:adjustRightInd w:val="0"/>
                    <w:snapToGrid w:val="0"/>
                    <w:spacing w:line="240" w:lineRule="auto"/>
                    <w:ind w:firstLine="0" w:firstLineChars="0"/>
                    <w:jc w:val="both"/>
                    <w:rPr>
                      <w:rFonts w:hint="eastAsia" w:ascii="Times New Roman" w:hAnsi="Times New Roman" w:eastAsia="宋体" w:cs="Times New Roman"/>
                      <w:color w:val="auto"/>
                      <w:kern w:val="0"/>
                      <w:sz w:val="21"/>
                    </w:rPr>
                  </w:pPr>
                  <w:r>
                    <w:rPr>
                      <w:rFonts w:hint="eastAsia" w:ascii="Times New Roman" w:hAnsi="Times New Roman" w:eastAsia="宋体" w:cs="Times New Roman"/>
                      <w:color w:val="auto"/>
                      <w:kern w:val="0"/>
                      <w:sz w:val="21"/>
                    </w:rPr>
                    <w:t>持续加强工业“三废”治理，严格环境准入条件，落实“两高”企业退出制度。</w:t>
                  </w:r>
                </w:p>
                <w:p w14:paraId="7CBB0BD3">
                  <w:pPr>
                    <w:pStyle w:val="86"/>
                    <w:adjustRightInd w:val="0"/>
                    <w:snapToGrid w:val="0"/>
                    <w:spacing w:line="240" w:lineRule="auto"/>
                    <w:ind w:firstLine="0" w:firstLineChars="0"/>
                    <w:jc w:val="both"/>
                    <w:rPr>
                      <w:rFonts w:hint="eastAsia" w:ascii="Times New Roman" w:hAnsi="Times New Roman" w:eastAsia="宋体" w:cs="Times New Roman"/>
                      <w:color w:val="auto"/>
                      <w:kern w:val="0"/>
                      <w:sz w:val="21"/>
                    </w:rPr>
                  </w:pPr>
                  <w:r>
                    <w:rPr>
                      <w:rFonts w:hint="eastAsia" w:ascii="Times New Roman" w:hAnsi="Times New Roman" w:eastAsia="宋体" w:cs="Times New Roman"/>
                      <w:color w:val="auto"/>
                      <w:kern w:val="0"/>
                      <w:sz w:val="21"/>
                    </w:rPr>
                    <w:t>【不符合空间布局要求活动的退出要求】</w:t>
                  </w:r>
                </w:p>
                <w:p w14:paraId="1CC34ADB">
                  <w:pPr>
                    <w:pStyle w:val="86"/>
                    <w:adjustRightInd w:val="0"/>
                    <w:snapToGrid w:val="0"/>
                    <w:spacing w:line="240" w:lineRule="auto"/>
                    <w:ind w:firstLine="0" w:firstLineChars="0"/>
                    <w:jc w:val="both"/>
                    <w:rPr>
                      <w:rFonts w:hint="eastAsia" w:ascii="Times New Roman" w:hAnsi="Times New Roman" w:eastAsia="宋体" w:cs="Times New Roman"/>
                      <w:color w:val="auto"/>
                      <w:kern w:val="0"/>
                      <w:sz w:val="21"/>
                    </w:rPr>
                  </w:pPr>
                  <w:r>
                    <w:rPr>
                      <w:rFonts w:hint="eastAsia" w:ascii="Times New Roman" w:hAnsi="Times New Roman" w:eastAsia="宋体" w:cs="Times New Roman"/>
                      <w:color w:val="auto"/>
                      <w:kern w:val="0"/>
                      <w:sz w:val="21"/>
                    </w:rPr>
                    <w:t>-统筹生态环境保护与经济社会发展的关系，落实重点生态功能区的定位管控要求，加强生物多样性保护和天然林保护；</w:t>
                  </w:r>
                </w:p>
                <w:p w14:paraId="427B5968">
                  <w:pPr>
                    <w:pStyle w:val="86"/>
                    <w:adjustRightInd w:val="0"/>
                    <w:snapToGrid w:val="0"/>
                    <w:spacing w:line="240" w:lineRule="auto"/>
                    <w:ind w:firstLine="0" w:firstLineChars="0"/>
                    <w:jc w:val="both"/>
                    <w:rPr>
                      <w:rFonts w:hint="default" w:ascii="Times New Roman" w:hAnsi="Times New Roman" w:eastAsia="宋体" w:cs="Times New Roman"/>
                      <w:color w:val="auto"/>
                      <w:kern w:val="0"/>
                      <w:sz w:val="21"/>
                      <w:lang w:val="en-US" w:eastAsia="zh-CN"/>
                    </w:rPr>
                  </w:pPr>
                  <w:r>
                    <w:rPr>
                      <w:rFonts w:hint="eastAsia" w:ascii="Times New Roman" w:hAnsi="Times New Roman" w:eastAsia="宋体" w:cs="Times New Roman"/>
                      <w:color w:val="auto"/>
                      <w:kern w:val="0"/>
                      <w:sz w:val="21"/>
                    </w:rPr>
                    <w:t>-推进流域水生态环境修复与治理，更加注重城乡生态环境保护基础设施建设与管理。</w:t>
                  </w:r>
                </w:p>
              </w:tc>
              <w:tc>
                <w:tcPr>
                  <w:tcW w:w="783" w:type="pct"/>
                  <w:tcBorders>
                    <w:tl2br w:val="nil"/>
                    <w:tr2bl w:val="nil"/>
                  </w:tcBorders>
                  <w:noWrap w:val="0"/>
                  <w:vAlign w:val="center"/>
                </w:tcPr>
                <w:p w14:paraId="39514D8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本项目不属于工业企业，</w:t>
                  </w:r>
                  <w:r>
                    <w:rPr>
                      <w:rFonts w:hint="eastAsia" w:ascii="Times New Roman" w:hAnsi="Times New Roman" w:eastAsia="宋体" w:cs="Times New Roman"/>
                      <w:b w:val="0"/>
                      <w:bCs/>
                      <w:color w:val="auto"/>
                      <w:kern w:val="2"/>
                      <w:sz w:val="21"/>
                      <w:szCs w:val="21"/>
                      <w:vertAlign w:val="baseline"/>
                      <w:lang w:val="en-US" w:eastAsia="zh-CN" w:bidi="ar-SA"/>
                    </w:rPr>
                    <w:t>不涉及天然林，建设期间将严格落实各项生态保护措施。</w:t>
                  </w:r>
                </w:p>
              </w:tc>
              <w:tc>
                <w:tcPr>
                  <w:tcW w:w="246" w:type="pct"/>
                  <w:tcBorders>
                    <w:tl2br w:val="nil"/>
                    <w:tr2bl w:val="nil"/>
                  </w:tcBorders>
                  <w:noWrap w:val="0"/>
                  <w:vAlign w:val="center"/>
                </w:tcPr>
                <w:p w14:paraId="0278610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符合</w:t>
                  </w:r>
                </w:p>
              </w:tc>
            </w:tr>
            <w:tr w14:paraId="2876E88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40" w:hRule="atLeast"/>
                <w:jc w:val="center"/>
              </w:trPr>
              <w:tc>
                <w:tcPr>
                  <w:tcW w:w="188" w:type="pct"/>
                  <w:vMerge w:val="continue"/>
                  <w:tcBorders>
                    <w:tl2br w:val="nil"/>
                    <w:tr2bl w:val="nil"/>
                  </w:tcBorders>
                  <w:noWrap w:val="0"/>
                  <w:vAlign w:val="center"/>
                </w:tcPr>
                <w:p w14:paraId="5D27769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292" w:type="pct"/>
                  <w:vMerge w:val="continue"/>
                  <w:tcBorders>
                    <w:tl2br w:val="nil"/>
                    <w:tr2bl w:val="nil"/>
                  </w:tcBorders>
                  <w:noWrap w:val="0"/>
                  <w:vAlign w:val="center"/>
                </w:tcPr>
                <w:p w14:paraId="2259EA0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560" w:type="pct"/>
                  <w:tcBorders>
                    <w:tl2br w:val="nil"/>
                    <w:tr2bl w:val="nil"/>
                  </w:tcBorders>
                  <w:shd w:val="clear" w:color="auto" w:fill="auto"/>
                  <w:noWrap w:val="0"/>
                  <w:vAlign w:val="center"/>
                </w:tcPr>
                <w:p w14:paraId="777D83C0">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污染物排放管控</w:t>
                  </w:r>
                </w:p>
              </w:tc>
              <w:tc>
                <w:tcPr>
                  <w:tcW w:w="2928" w:type="pct"/>
                  <w:tcBorders>
                    <w:tl2br w:val="nil"/>
                    <w:tr2bl w:val="nil"/>
                  </w:tcBorders>
                  <w:shd w:val="clear" w:color="auto" w:fill="auto"/>
                  <w:noWrap w:val="0"/>
                  <w:vAlign w:val="center"/>
                </w:tcPr>
                <w:p w14:paraId="6AD7E7B9">
                  <w:pPr>
                    <w:pStyle w:val="86"/>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lang w:val="en-US" w:eastAsia="zh-CN"/>
                    </w:rPr>
                    <w:t>/</w:t>
                  </w:r>
                </w:p>
              </w:tc>
              <w:tc>
                <w:tcPr>
                  <w:tcW w:w="783" w:type="pct"/>
                  <w:tcBorders>
                    <w:tl2br w:val="nil"/>
                    <w:tr2bl w:val="nil"/>
                  </w:tcBorders>
                  <w:shd w:val="clear" w:color="auto" w:fill="auto"/>
                  <w:noWrap w:val="0"/>
                  <w:vAlign w:val="center"/>
                </w:tcPr>
                <w:p w14:paraId="27F8095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c>
                <w:tcPr>
                  <w:tcW w:w="246" w:type="pct"/>
                  <w:tcBorders>
                    <w:tl2br w:val="nil"/>
                    <w:tr2bl w:val="nil"/>
                  </w:tcBorders>
                  <w:shd w:val="clear" w:color="auto" w:fill="auto"/>
                  <w:noWrap w:val="0"/>
                  <w:vAlign w:val="center"/>
                </w:tcPr>
                <w:p w14:paraId="2DF66DE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66ED3BBF">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40" w:hRule="atLeast"/>
                <w:jc w:val="center"/>
              </w:trPr>
              <w:tc>
                <w:tcPr>
                  <w:tcW w:w="188" w:type="pct"/>
                  <w:vMerge w:val="continue"/>
                  <w:tcBorders>
                    <w:tl2br w:val="nil"/>
                    <w:tr2bl w:val="nil"/>
                  </w:tcBorders>
                  <w:noWrap w:val="0"/>
                  <w:vAlign w:val="center"/>
                </w:tcPr>
                <w:p w14:paraId="2CD3F9D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292" w:type="pct"/>
                  <w:vMerge w:val="continue"/>
                  <w:tcBorders>
                    <w:tl2br w:val="nil"/>
                    <w:tr2bl w:val="nil"/>
                  </w:tcBorders>
                  <w:noWrap w:val="0"/>
                  <w:vAlign w:val="center"/>
                </w:tcPr>
                <w:p w14:paraId="641DF05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560" w:type="pct"/>
                  <w:tcBorders>
                    <w:tl2br w:val="nil"/>
                    <w:tr2bl w:val="nil"/>
                  </w:tcBorders>
                  <w:shd w:val="clear" w:color="auto" w:fill="auto"/>
                  <w:noWrap w:val="0"/>
                  <w:vAlign w:val="center"/>
                </w:tcPr>
                <w:p w14:paraId="452E480D">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环境风险防控</w:t>
                  </w:r>
                </w:p>
              </w:tc>
              <w:tc>
                <w:tcPr>
                  <w:tcW w:w="2928" w:type="pct"/>
                  <w:tcBorders>
                    <w:tl2br w:val="nil"/>
                    <w:tr2bl w:val="nil"/>
                  </w:tcBorders>
                  <w:shd w:val="clear" w:color="auto" w:fill="auto"/>
                  <w:noWrap w:val="0"/>
                  <w:vAlign w:val="center"/>
                </w:tcPr>
                <w:p w14:paraId="72FAA3C9">
                  <w:pPr>
                    <w:pStyle w:val="86"/>
                    <w:adjustRightInd w:val="0"/>
                    <w:snapToGrid w:val="0"/>
                    <w:spacing w:line="240" w:lineRule="auto"/>
                    <w:ind w:firstLine="0" w:firstLineChars="0"/>
                    <w:jc w:val="both"/>
                    <w:rPr>
                      <w:rFonts w:hint="eastAsia" w:ascii="Times New Roman" w:hAnsi="Times New Roman" w:eastAsia="宋体" w:cs="Times New Roman"/>
                      <w:color w:val="auto"/>
                      <w:kern w:val="0"/>
                      <w:sz w:val="21"/>
                    </w:rPr>
                  </w:pPr>
                  <w:r>
                    <w:rPr>
                      <w:rFonts w:hint="eastAsia" w:ascii="Times New Roman" w:hAnsi="Times New Roman" w:eastAsia="宋体" w:cs="Times New Roman"/>
                      <w:color w:val="auto"/>
                      <w:kern w:val="0"/>
                      <w:sz w:val="21"/>
                    </w:rPr>
                    <w:t>【园区环境风险防控要求】</w:t>
                  </w:r>
                </w:p>
                <w:p w14:paraId="5335FE7D">
                  <w:pPr>
                    <w:pStyle w:val="86"/>
                    <w:adjustRightInd w:val="0"/>
                    <w:snapToGrid w:val="0"/>
                    <w:spacing w:line="240" w:lineRule="auto"/>
                    <w:ind w:firstLine="0" w:firstLineChars="0"/>
                    <w:jc w:val="both"/>
                    <w:rPr>
                      <w:rFonts w:hint="eastAsia" w:ascii="Times New Roman" w:hAnsi="Times New Roman" w:eastAsia="宋体" w:cs="Times New Roman"/>
                      <w:color w:val="auto"/>
                      <w:kern w:val="0"/>
                      <w:sz w:val="21"/>
                    </w:rPr>
                  </w:pPr>
                  <w:r>
                    <w:rPr>
                      <w:rFonts w:hint="eastAsia" w:ascii="Times New Roman" w:hAnsi="Times New Roman" w:eastAsia="宋体" w:cs="Times New Roman"/>
                      <w:color w:val="auto"/>
                      <w:kern w:val="0"/>
                      <w:sz w:val="21"/>
                    </w:rPr>
                    <w:t>-进一步调整优化矿产资源开发利用结构，加强矿产、油气等资源开发项目和工矿废弃地的污染治理及生态修复；</w:t>
                  </w:r>
                </w:p>
                <w:p w14:paraId="0F1263C1">
                  <w:pPr>
                    <w:pStyle w:val="86"/>
                    <w:adjustRightInd w:val="0"/>
                    <w:snapToGrid w:val="0"/>
                    <w:spacing w:line="240" w:lineRule="auto"/>
                    <w:ind w:firstLine="0" w:firstLineChars="0"/>
                    <w:jc w:val="both"/>
                    <w:rPr>
                      <w:rFonts w:hint="eastAsia" w:ascii="Times New Roman" w:hAnsi="Times New Roman" w:eastAsia="宋体" w:cs="Times New Roman"/>
                      <w:color w:val="auto"/>
                      <w:kern w:val="0"/>
                      <w:sz w:val="21"/>
                      <w:lang w:val="en-US" w:eastAsia="zh-CN"/>
                    </w:rPr>
                  </w:pPr>
                  <w:r>
                    <w:rPr>
                      <w:rFonts w:hint="eastAsia" w:ascii="Times New Roman" w:hAnsi="Times New Roman" w:eastAsia="宋体" w:cs="Times New Roman"/>
                      <w:color w:val="auto"/>
                      <w:kern w:val="0"/>
                      <w:sz w:val="21"/>
                    </w:rPr>
                    <w:t>-强化水土流失防治，注重水源涵养地保护。加强对光雾山、关坝、杨坝等区域的生态环境重点管控，从严审批各类资源开发项目。</w:t>
                  </w:r>
                </w:p>
              </w:tc>
              <w:tc>
                <w:tcPr>
                  <w:tcW w:w="783" w:type="pct"/>
                  <w:tcBorders>
                    <w:tl2br w:val="nil"/>
                    <w:tr2bl w:val="nil"/>
                  </w:tcBorders>
                  <w:noWrap w:val="0"/>
                  <w:vAlign w:val="center"/>
                </w:tcPr>
                <w:p w14:paraId="2133002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b w:val="0"/>
                      <w:bCs/>
                      <w:color w:val="auto"/>
                      <w:kern w:val="2"/>
                      <w:sz w:val="21"/>
                      <w:szCs w:val="21"/>
                      <w:vertAlign w:val="baseline"/>
                      <w:lang w:val="en-US" w:eastAsia="zh-CN" w:bidi="ar-SA"/>
                    </w:rPr>
                    <w:t>项目不涉及矿产开发；项目施工期严格落实各项水土保持措施，保护周边地表水体。</w:t>
                  </w:r>
                </w:p>
              </w:tc>
              <w:tc>
                <w:tcPr>
                  <w:tcW w:w="246" w:type="pct"/>
                  <w:tcBorders>
                    <w:tl2br w:val="nil"/>
                    <w:tr2bl w:val="nil"/>
                  </w:tcBorders>
                  <w:noWrap w:val="0"/>
                  <w:vAlign w:val="center"/>
                </w:tcPr>
                <w:p w14:paraId="1781843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4D87B05C">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40" w:hRule="atLeast"/>
                <w:jc w:val="center"/>
              </w:trPr>
              <w:tc>
                <w:tcPr>
                  <w:tcW w:w="188" w:type="pct"/>
                  <w:vMerge w:val="continue"/>
                  <w:tcBorders>
                    <w:tl2br w:val="nil"/>
                    <w:tr2bl w:val="nil"/>
                  </w:tcBorders>
                  <w:noWrap w:val="0"/>
                  <w:vAlign w:val="center"/>
                </w:tcPr>
                <w:p w14:paraId="324895A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292" w:type="pct"/>
                  <w:vMerge w:val="continue"/>
                  <w:tcBorders>
                    <w:tl2br w:val="nil"/>
                    <w:tr2bl w:val="nil"/>
                  </w:tcBorders>
                  <w:noWrap w:val="0"/>
                  <w:vAlign w:val="center"/>
                </w:tcPr>
                <w:p w14:paraId="1EFBFBB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560" w:type="pct"/>
                  <w:tcBorders>
                    <w:tl2br w:val="nil"/>
                    <w:tr2bl w:val="nil"/>
                  </w:tcBorders>
                  <w:shd w:val="clear" w:color="auto" w:fill="auto"/>
                  <w:noWrap w:val="0"/>
                  <w:vAlign w:val="center"/>
                </w:tcPr>
                <w:p w14:paraId="0D2A2A75">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资源开发利用效率要求</w:t>
                  </w:r>
                </w:p>
              </w:tc>
              <w:tc>
                <w:tcPr>
                  <w:tcW w:w="2928" w:type="pct"/>
                  <w:tcBorders>
                    <w:tl2br w:val="nil"/>
                    <w:tr2bl w:val="nil"/>
                  </w:tcBorders>
                  <w:shd w:val="clear" w:color="auto" w:fill="auto"/>
                  <w:noWrap w:val="0"/>
                  <w:vAlign w:val="center"/>
                </w:tcPr>
                <w:p w14:paraId="7FE6DD05">
                  <w:pPr>
                    <w:pStyle w:val="86"/>
                    <w:adjustRightInd w:val="0"/>
                    <w:snapToGrid w:val="0"/>
                    <w:spacing w:line="240" w:lineRule="auto"/>
                    <w:ind w:firstLine="0" w:firstLineChars="0"/>
                    <w:jc w:val="both"/>
                    <w:rPr>
                      <w:rFonts w:hint="default" w:ascii="Times New Roman" w:hAnsi="Times New Roman" w:eastAsia="宋体" w:cs="Times New Roman"/>
                      <w:color w:val="auto"/>
                      <w:kern w:val="0"/>
                      <w:sz w:val="21"/>
                      <w:lang w:val="en-US" w:eastAsia="zh-CN"/>
                    </w:rPr>
                  </w:pPr>
                  <w:r>
                    <w:rPr>
                      <w:rFonts w:hint="eastAsia" w:ascii="Times New Roman" w:hAnsi="Times New Roman" w:eastAsia="宋体" w:cs="Times New Roman"/>
                      <w:color w:val="auto"/>
                      <w:kern w:val="0"/>
                      <w:sz w:val="21"/>
                      <w:lang w:val="en-US" w:eastAsia="zh-CN"/>
                    </w:rPr>
                    <w:t>/</w:t>
                  </w:r>
                </w:p>
              </w:tc>
              <w:tc>
                <w:tcPr>
                  <w:tcW w:w="783" w:type="pct"/>
                  <w:tcBorders>
                    <w:tl2br w:val="nil"/>
                    <w:tr2bl w:val="nil"/>
                  </w:tcBorders>
                  <w:noWrap w:val="0"/>
                  <w:vAlign w:val="center"/>
                </w:tcPr>
                <w:p w14:paraId="68C6916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46" w:type="pct"/>
                  <w:tcBorders>
                    <w:tl2br w:val="nil"/>
                    <w:tr2bl w:val="nil"/>
                  </w:tcBorders>
                  <w:noWrap w:val="0"/>
                  <w:vAlign w:val="center"/>
                </w:tcPr>
                <w:p w14:paraId="2A80FA6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bl>
          <w:p w14:paraId="32FAD927">
            <w:pPr>
              <w:autoSpaceDE w:val="0"/>
              <w:autoSpaceDN w:val="0"/>
              <w:adjustRightInd w:val="0"/>
              <w:snapToGrid w:val="0"/>
              <w:spacing w:line="360" w:lineRule="auto"/>
              <w:ind w:firstLine="480" w:firstLineChars="200"/>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eastAsia="zh-CN"/>
              </w:rPr>
              <w:t>生态环境管控单元</w:t>
            </w:r>
            <w:r>
              <w:rPr>
                <w:rFonts w:hint="default" w:ascii="Times New Roman" w:hAnsi="Times New Roman" w:eastAsia="宋体" w:cs="Times New Roman"/>
                <w:bCs/>
                <w:color w:val="auto"/>
                <w:sz w:val="24"/>
              </w:rPr>
              <w:t>管控要求</w:t>
            </w:r>
            <w:r>
              <w:rPr>
                <w:rFonts w:hint="eastAsia" w:ascii="Times New Roman" w:hAnsi="Times New Roman" w:eastAsia="宋体" w:cs="Times New Roman"/>
                <w:bCs/>
                <w:color w:val="auto"/>
                <w:sz w:val="24"/>
                <w:lang w:eastAsia="zh-CN"/>
              </w:rPr>
              <w:t>见下表。</w:t>
            </w:r>
          </w:p>
          <w:p w14:paraId="20213016">
            <w:pPr>
              <w:pStyle w:val="2"/>
              <w:keepNext w:val="0"/>
              <w:keepLines w:val="0"/>
              <w:pageBreakBefore w:val="0"/>
              <w:widowControl/>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b/>
                <w:bCs/>
                <w:color w:val="auto"/>
                <w:kern w:val="2"/>
                <w:sz w:val="21"/>
                <w:szCs w:val="24"/>
                <w:lang w:val="en-US" w:eastAsia="zh-CN" w:bidi="ar-SA"/>
              </w:rPr>
            </w:pPr>
            <w:r>
              <w:rPr>
                <w:rFonts w:hint="default" w:ascii="Times New Roman" w:hAnsi="Times New Roman" w:eastAsia="宋体" w:cs="Times New Roman"/>
                <w:b/>
                <w:bCs/>
                <w:color w:val="auto"/>
                <w:kern w:val="2"/>
                <w:sz w:val="21"/>
                <w:szCs w:val="24"/>
                <w:lang w:val="en-US" w:eastAsia="zh-CN" w:bidi="ar-SA"/>
              </w:rPr>
              <w:t>表1-</w:t>
            </w:r>
            <w:r>
              <w:rPr>
                <w:rFonts w:hint="eastAsia" w:ascii="Times New Roman" w:hAnsi="Times New Roman" w:eastAsia="宋体" w:cs="Times New Roman"/>
                <w:b/>
                <w:bCs/>
                <w:color w:val="auto"/>
                <w:kern w:val="2"/>
                <w:sz w:val="21"/>
                <w:szCs w:val="24"/>
                <w:lang w:val="en-US" w:eastAsia="zh-CN" w:bidi="ar-SA"/>
              </w:rPr>
              <w:t>4</w:t>
            </w:r>
            <w:r>
              <w:rPr>
                <w:rFonts w:hint="default" w:ascii="Times New Roman" w:hAnsi="Times New Roman" w:eastAsia="宋体" w:cs="Times New Roman"/>
                <w:b/>
                <w:bCs/>
                <w:color w:val="auto"/>
                <w:kern w:val="2"/>
                <w:sz w:val="21"/>
                <w:szCs w:val="24"/>
                <w:lang w:val="en-US" w:eastAsia="zh-CN" w:bidi="ar-SA"/>
              </w:rPr>
              <w:t xml:space="preserve">  项目与环境</w:t>
            </w:r>
            <w:r>
              <w:rPr>
                <w:rFonts w:hint="eastAsia" w:ascii="Times New Roman" w:hAnsi="Times New Roman" w:eastAsia="宋体" w:cs="Times New Roman"/>
                <w:b/>
                <w:bCs/>
                <w:color w:val="auto"/>
                <w:kern w:val="2"/>
                <w:sz w:val="21"/>
                <w:szCs w:val="24"/>
                <w:lang w:val="en-US" w:eastAsia="zh-CN" w:bidi="ar-SA"/>
              </w:rPr>
              <w:t>分区</w:t>
            </w:r>
            <w:r>
              <w:rPr>
                <w:rFonts w:hint="default" w:ascii="Times New Roman" w:hAnsi="Times New Roman" w:eastAsia="宋体" w:cs="Times New Roman"/>
                <w:b/>
                <w:bCs/>
                <w:color w:val="auto"/>
                <w:kern w:val="2"/>
                <w:sz w:val="21"/>
                <w:szCs w:val="24"/>
                <w:lang w:val="en-US" w:eastAsia="zh-CN" w:bidi="ar-SA"/>
              </w:rPr>
              <w:t>管控单元要求符合性分析表</w:t>
            </w:r>
          </w:p>
          <w:tbl>
            <w:tblPr>
              <w:tblStyle w:val="34"/>
              <w:tblW w:w="5000" w:type="pct"/>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10" w:type="dxa"/>
                <w:bottom w:w="0" w:type="dxa"/>
                <w:right w:w="10" w:type="dxa"/>
              </w:tblCellMar>
            </w:tblPr>
            <w:tblGrid>
              <w:gridCol w:w="394"/>
              <w:gridCol w:w="410"/>
              <w:gridCol w:w="289"/>
              <w:gridCol w:w="345"/>
              <w:gridCol w:w="669"/>
              <w:gridCol w:w="4585"/>
              <w:gridCol w:w="1069"/>
              <w:gridCol w:w="297"/>
            </w:tblGrid>
            <w:tr w14:paraId="15184B74">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44" w:type="pct"/>
                  <w:tcBorders>
                    <w:tl2br w:val="nil"/>
                    <w:tr2bl w:val="nil"/>
                  </w:tcBorders>
                  <w:noWrap w:val="0"/>
                  <w:vAlign w:val="center"/>
                </w:tcPr>
                <w:p w14:paraId="602D3E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环境管控单元编码</w:t>
                  </w:r>
                </w:p>
              </w:tc>
              <w:tc>
                <w:tcPr>
                  <w:tcW w:w="254" w:type="pct"/>
                  <w:tcBorders>
                    <w:tl2br w:val="nil"/>
                    <w:tr2bl w:val="nil"/>
                  </w:tcBorders>
                  <w:noWrap w:val="0"/>
                  <w:vAlign w:val="center"/>
                </w:tcPr>
                <w:p w14:paraId="3F4BC1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环境管控单元名称</w:t>
                  </w:r>
                </w:p>
              </w:tc>
              <w:tc>
                <w:tcPr>
                  <w:tcW w:w="179" w:type="pct"/>
                  <w:tcBorders>
                    <w:tl2br w:val="nil"/>
                    <w:tr2bl w:val="nil"/>
                  </w:tcBorders>
                  <w:noWrap w:val="0"/>
                  <w:vAlign w:val="center"/>
                </w:tcPr>
                <w:p w14:paraId="57A50E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管控单元类型</w:t>
                  </w:r>
                </w:p>
              </w:tc>
              <w:tc>
                <w:tcPr>
                  <w:tcW w:w="214" w:type="pct"/>
                  <w:tcBorders>
                    <w:tl2br w:val="nil"/>
                    <w:tr2bl w:val="nil"/>
                  </w:tcBorders>
                  <w:noWrap w:val="0"/>
                  <w:vAlign w:val="center"/>
                </w:tcPr>
                <w:p w14:paraId="2582E4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所属县区</w:t>
                  </w:r>
                </w:p>
              </w:tc>
              <w:tc>
                <w:tcPr>
                  <w:tcW w:w="415" w:type="pct"/>
                  <w:tcBorders>
                    <w:tl2br w:val="nil"/>
                    <w:tr2bl w:val="nil"/>
                  </w:tcBorders>
                  <w:noWrap w:val="0"/>
                  <w:vAlign w:val="center"/>
                </w:tcPr>
                <w:p w14:paraId="468EAC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管控类别</w:t>
                  </w:r>
                </w:p>
              </w:tc>
              <w:tc>
                <w:tcPr>
                  <w:tcW w:w="2844" w:type="pct"/>
                  <w:tcBorders>
                    <w:tl2br w:val="nil"/>
                    <w:tr2bl w:val="nil"/>
                  </w:tcBorders>
                  <w:noWrap w:val="0"/>
                  <w:vAlign w:val="center"/>
                </w:tcPr>
                <w:p w14:paraId="64E8C8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单元特性管控要求</w:t>
                  </w:r>
                </w:p>
              </w:tc>
              <w:tc>
                <w:tcPr>
                  <w:tcW w:w="663" w:type="pct"/>
                  <w:tcBorders>
                    <w:tl2br w:val="nil"/>
                    <w:tr2bl w:val="nil"/>
                  </w:tcBorders>
                  <w:noWrap w:val="0"/>
                  <w:vAlign w:val="center"/>
                </w:tcPr>
                <w:p w14:paraId="6008095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z w:val="21"/>
                      <w:szCs w:val="21"/>
                    </w:rPr>
                    <w:t>项目情况</w:t>
                  </w:r>
                </w:p>
              </w:tc>
              <w:tc>
                <w:tcPr>
                  <w:tcW w:w="184" w:type="pct"/>
                  <w:tcBorders>
                    <w:tl2br w:val="nil"/>
                    <w:tr2bl w:val="nil"/>
                  </w:tcBorders>
                  <w:noWrap w:val="0"/>
                  <w:vAlign w:val="center"/>
                </w:tcPr>
                <w:p w14:paraId="01CBD60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z w:val="21"/>
                      <w:szCs w:val="21"/>
                    </w:rPr>
                    <w:t>符合性</w:t>
                  </w:r>
                </w:p>
              </w:tc>
            </w:tr>
            <w:tr w14:paraId="17F099A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44" w:type="pct"/>
                  <w:vMerge w:val="restart"/>
                  <w:tcBorders>
                    <w:tl2br w:val="nil"/>
                    <w:tr2bl w:val="nil"/>
                  </w:tcBorders>
                  <w:shd w:val="clear" w:color="auto" w:fill="auto"/>
                  <w:noWrap w:val="0"/>
                  <w:vAlign w:val="center"/>
                </w:tcPr>
                <w:p w14:paraId="087C72D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ZH51192220001</w:t>
                  </w:r>
                </w:p>
              </w:tc>
              <w:tc>
                <w:tcPr>
                  <w:tcW w:w="254" w:type="pct"/>
                  <w:vMerge w:val="restart"/>
                  <w:tcBorders>
                    <w:tl2br w:val="nil"/>
                    <w:tr2bl w:val="nil"/>
                  </w:tcBorders>
                  <w:shd w:val="clear" w:color="auto" w:fill="auto"/>
                  <w:noWrap w:val="0"/>
                  <w:vAlign w:val="center"/>
                </w:tcPr>
                <w:p w14:paraId="3DFB721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南江县城镇空间</w:t>
                  </w:r>
                </w:p>
              </w:tc>
              <w:tc>
                <w:tcPr>
                  <w:tcW w:w="179" w:type="pct"/>
                  <w:vMerge w:val="restart"/>
                  <w:tcBorders>
                    <w:tl2br w:val="nil"/>
                    <w:tr2bl w:val="nil"/>
                  </w:tcBorders>
                  <w:shd w:val="clear" w:color="auto" w:fill="auto"/>
                  <w:noWrap w:val="0"/>
                  <w:vAlign w:val="center"/>
                </w:tcPr>
                <w:p w14:paraId="517A5BC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重点管控单元</w:t>
                  </w:r>
                </w:p>
              </w:tc>
              <w:tc>
                <w:tcPr>
                  <w:tcW w:w="214" w:type="pct"/>
                  <w:vMerge w:val="restart"/>
                  <w:tcBorders>
                    <w:tl2br w:val="nil"/>
                    <w:tr2bl w:val="nil"/>
                  </w:tcBorders>
                  <w:shd w:val="clear" w:color="auto" w:fill="auto"/>
                  <w:noWrap w:val="0"/>
                  <w:vAlign w:val="center"/>
                </w:tcPr>
                <w:p w14:paraId="51DDCE6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巴中市南江县</w:t>
                  </w:r>
                </w:p>
              </w:tc>
              <w:tc>
                <w:tcPr>
                  <w:tcW w:w="415" w:type="pct"/>
                  <w:tcBorders>
                    <w:tl2br w:val="nil"/>
                    <w:tr2bl w:val="nil"/>
                  </w:tcBorders>
                  <w:shd w:val="clear" w:color="auto" w:fill="auto"/>
                  <w:noWrap w:val="0"/>
                  <w:vAlign w:val="center"/>
                </w:tcPr>
                <w:p w14:paraId="5CF709D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空间布局约束</w:t>
                  </w:r>
                </w:p>
              </w:tc>
              <w:tc>
                <w:tcPr>
                  <w:tcW w:w="2844" w:type="pct"/>
                  <w:tcBorders>
                    <w:tl2br w:val="nil"/>
                    <w:tr2bl w:val="nil"/>
                  </w:tcBorders>
                  <w:shd w:val="clear" w:color="auto" w:fill="auto"/>
                  <w:noWrap w:val="0"/>
                  <w:vAlign w:val="center"/>
                </w:tcPr>
                <w:p w14:paraId="16922990">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【禁止开发建设活动的要求】</w:t>
                  </w:r>
                </w:p>
                <w:p w14:paraId="704F4601">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执行城镇重点管控单元普适性管控要求。</w:t>
                  </w:r>
                </w:p>
                <w:p w14:paraId="1333DF0D">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【限制开发建设活动的要求】</w:t>
                  </w:r>
                </w:p>
                <w:p w14:paraId="08CBF288">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（1）实施南进、东延、北拓的城市空间拓展策略，未来城市建设用地拓展应将朝阳新区作为城镇中心区；城镇开发空间规模控制在96平方公里以内。</w:t>
                  </w:r>
                </w:p>
                <w:p w14:paraId="00C5C7F7">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（2）禁止在城区、饮用水水源地主流域上游2公里内建设鸡、羊养殖场，现有大型集中养殖场须立即配套粪便无害化处理设施和污水处理设施。</w:t>
                  </w:r>
                </w:p>
                <w:p w14:paraId="04E052CA">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（3）县城新建房地产开发项目须布局在经审批的城镇规划区范围内；禁止在退耕还林、还草、还湿地块新建房地产开发项目。</w:t>
                  </w:r>
                </w:p>
                <w:p w14:paraId="4CFF7121">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（4）城镇建设需依据现有资源环境承载能力相对较强的城镇集中布局、据点式开发，禁止成片蔓延式扩张。</w:t>
                  </w:r>
                </w:p>
                <w:p w14:paraId="3B380836">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（5）其他要求执行城镇重点管控单元普适性管控要求。</w:t>
                  </w:r>
                </w:p>
                <w:p w14:paraId="2AED1B63">
                  <w:pPr>
                    <w:spacing w:before="0" w:after="0"/>
                    <w:jc w:val="left"/>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【允许开发建设活动的要求】</w:t>
                  </w:r>
                  <w:r>
                    <w:rPr>
                      <w:rFonts w:hint="eastAsia" w:ascii="Times New Roman" w:hAnsi="Times New Roman" w:eastAsia="宋体" w:cs="Times New Roman"/>
                      <w:b w:val="0"/>
                      <w:color w:val="auto"/>
                      <w:sz w:val="21"/>
                      <w:szCs w:val="21"/>
                      <w:lang w:val="en-US" w:eastAsia="zh-CN"/>
                    </w:rPr>
                    <w:t>/</w:t>
                  </w:r>
                </w:p>
                <w:p w14:paraId="4241C645">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【不符合空间布局要求活动的退出要求】</w:t>
                  </w:r>
                </w:p>
                <w:p w14:paraId="002EADBA">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执行城镇重点管控单元普适性管控要求。</w:t>
                  </w:r>
                </w:p>
                <w:p w14:paraId="29CCEAE8">
                  <w:pPr>
                    <w:spacing w:before="0" w:after="0"/>
                    <w:jc w:val="left"/>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【其他空间布局约束要求】</w:t>
                  </w:r>
                  <w:r>
                    <w:rPr>
                      <w:rFonts w:hint="eastAsia" w:ascii="Times New Roman" w:hAnsi="Times New Roman" w:eastAsia="宋体" w:cs="Times New Roman"/>
                      <w:b w:val="0"/>
                      <w:color w:val="auto"/>
                      <w:sz w:val="21"/>
                      <w:szCs w:val="21"/>
                      <w:lang w:val="en-US" w:eastAsia="zh-CN"/>
                    </w:rPr>
                    <w:t>/</w:t>
                  </w:r>
                </w:p>
              </w:tc>
              <w:tc>
                <w:tcPr>
                  <w:tcW w:w="663" w:type="pct"/>
                  <w:tcBorders>
                    <w:tl2br w:val="nil"/>
                    <w:tr2bl w:val="nil"/>
                  </w:tcBorders>
                  <w:noWrap w:val="0"/>
                  <w:vAlign w:val="center"/>
                </w:tcPr>
                <w:p w14:paraId="37CF501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highlight w:val="none"/>
                      <w:lang w:eastAsia="zh-CN"/>
                    </w:rPr>
                  </w:pPr>
                  <w:r>
                    <w:rPr>
                      <w:rFonts w:hint="eastAsia"/>
                      <w:color w:val="auto"/>
                      <w:szCs w:val="21"/>
                    </w:rPr>
                    <w:t>本项目</w:t>
                  </w:r>
                  <w:r>
                    <w:rPr>
                      <w:rFonts w:hint="eastAsia"/>
                      <w:color w:val="auto"/>
                      <w:szCs w:val="21"/>
                      <w:lang w:eastAsia="zh-CN"/>
                    </w:rPr>
                    <w:t>为房地产项目，位于南江县关坝镇镇区，位于城镇开发边界内</w:t>
                  </w:r>
                  <w:r>
                    <w:rPr>
                      <w:rFonts w:hint="eastAsia"/>
                      <w:color w:val="auto"/>
                      <w:kern w:val="0"/>
                      <w:szCs w:val="21"/>
                    </w:rPr>
                    <w:t>。</w:t>
                  </w:r>
                </w:p>
              </w:tc>
              <w:tc>
                <w:tcPr>
                  <w:tcW w:w="184" w:type="pct"/>
                  <w:tcBorders>
                    <w:tl2br w:val="nil"/>
                    <w:tr2bl w:val="nil"/>
                  </w:tcBorders>
                  <w:noWrap w:val="0"/>
                  <w:vAlign w:val="center"/>
                </w:tcPr>
                <w:p w14:paraId="36CF76E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符合</w:t>
                  </w:r>
                </w:p>
              </w:tc>
            </w:tr>
            <w:tr w14:paraId="1282FB3D">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44" w:type="pct"/>
                  <w:vMerge w:val="continue"/>
                  <w:tcBorders>
                    <w:tl2br w:val="nil"/>
                    <w:tr2bl w:val="nil"/>
                  </w:tcBorders>
                  <w:noWrap w:val="0"/>
                  <w:vAlign w:val="center"/>
                </w:tcPr>
                <w:p w14:paraId="4B89440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254" w:type="pct"/>
                  <w:vMerge w:val="continue"/>
                  <w:tcBorders>
                    <w:tl2br w:val="nil"/>
                    <w:tr2bl w:val="nil"/>
                  </w:tcBorders>
                  <w:noWrap w:val="0"/>
                  <w:vAlign w:val="center"/>
                </w:tcPr>
                <w:p w14:paraId="3C633AE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179" w:type="pct"/>
                  <w:vMerge w:val="continue"/>
                  <w:tcBorders>
                    <w:tl2br w:val="nil"/>
                    <w:tr2bl w:val="nil"/>
                  </w:tcBorders>
                  <w:noWrap w:val="0"/>
                  <w:vAlign w:val="center"/>
                </w:tcPr>
                <w:p w14:paraId="1730C94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67007F5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415" w:type="pct"/>
                  <w:tcBorders>
                    <w:tl2br w:val="nil"/>
                    <w:tr2bl w:val="nil"/>
                  </w:tcBorders>
                  <w:shd w:val="clear" w:color="auto" w:fill="auto"/>
                  <w:noWrap w:val="0"/>
                  <w:vAlign w:val="center"/>
                </w:tcPr>
                <w:p w14:paraId="1281BD1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污染物排放管控</w:t>
                  </w:r>
                </w:p>
              </w:tc>
              <w:tc>
                <w:tcPr>
                  <w:tcW w:w="2844" w:type="pct"/>
                  <w:tcBorders>
                    <w:tl2br w:val="nil"/>
                    <w:tr2bl w:val="nil"/>
                  </w:tcBorders>
                  <w:shd w:val="clear" w:color="auto" w:fill="auto"/>
                  <w:noWrap w:val="0"/>
                  <w:vAlign w:val="center"/>
                </w:tcPr>
                <w:p w14:paraId="5C5A2401">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【现有源提标升级改造】</w:t>
                  </w:r>
                </w:p>
                <w:p w14:paraId="67CF1C88">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（1）划定禁鸣区，在居住区、市政机关、学校及医院等噪声敏感单位附近对车速进行限制。</w:t>
                  </w:r>
                </w:p>
                <w:p w14:paraId="2F1EDB13">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（2）严格执行老旧机动车强制报废制度，加快淘汰污染严重的老旧车辆，鼓励使用新能源汽车，加快电动汽车充电桩、天然气加气站等基础设施建设，按期完成国家第五阶段标准车用汽油、柴油升级置换。</w:t>
                  </w:r>
                </w:p>
                <w:p w14:paraId="0047D125">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（3）公众绿色出行率达到55%及以上。</w:t>
                  </w:r>
                </w:p>
                <w:p w14:paraId="63272C6B">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（4）其他要求执行城镇重点管控单元普适性管控要求</w:t>
                  </w:r>
                </w:p>
                <w:p w14:paraId="2AA86CE1">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【新增源等量或倍量替代】</w:t>
                  </w:r>
                </w:p>
                <w:p w14:paraId="095340D5">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执行城镇重点管控单元普适性管控要求</w:t>
                  </w:r>
                </w:p>
                <w:p w14:paraId="3E026F49">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【新增源排放标准限值】</w:t>
                  </w:r>
                </w:p>
                <w:p w14:paraId="513D77C3">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执行城镇重点管控单元普适性管控要求。</w:t>
                  </w:r>
                </w:p>
                <w:p w14:paraId="750B933A">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【污染物排放绩效水平准入要求】</w:t>
                  </w:r>
                </w:p>
                <w:p w14:paraId="717201DB">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执行城镇重点管控单元普适性管控要求</w:t>
                  </w:r>
                </w:p>
                <w:p w14:paraId="24B73891">
                  <w:pPr>
                    <w:spacing w:before="0" w:after="0"/>
                    <w:jc w:val="left"/>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【其他污染物排放管控要求】</w:t>
                  </w:r>
                  <w:r>
                    <w:rPr>
                      <w:rFonts w:hint="eastAsia" w:ascii="Times New Roman" w:hAnsi="Times New Roman" w:eastAsia="宋体" w:cs="Times New Roman"/>
                      <w:b w:val="0"/>
                      <w:color w:val="auto"/>
                      <w:sz w:val="21"/>
                      <w:szCs w:val="21"/>
                      <w:lang w:val="en-US" w:eastAsia="zh-CN"/>
                    </w:rPr>
                    <w:t>/</w:t>
                  </w:r>
                </w:p>
              </w:tc>
              <w:tc>
                <w:tcPr>
                  <w:tcW w:w="663" w:type="pct"/>
                  <w:tcBorders>
                    <w:tl2br w:val="nil"/>
                    <w:tr2bl w:val="nil"/>
                  </w:tcBorders>
                  <w:noWrap w:val="0"/>
                  <w:vAlign w:val="center"/>
                </w:tcPr>
                <w:p w14:paraId="5462C77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highlight w:val="none"/>
                      <w:lang w:eastAsia="zh-CN"/>
                    </w:rPr>
                  </w:pPr>
                  <w:r>
                    <w:rPr>
                      <w:rFonts w:hint="eastAsia"/>
                      <w:color w:val="auto"/>
                      <w:szCs w:val="21"/>
                      <w:lang w:eastAsia="zh-CN"/>
                    </w:rPr>
                    <w:t>项目施工过程运输车辆进行低速行驶。</w:t>
                  </w:r>
                </w:p>
              </w:tc>
              <w:tc>
                <w:tcPr>
                  <w:tcW w:w="184" w:type="pct"/>
                  <w:tcBorders>
                    <w:tl2br w:val="nil"/>
                    <w:tr2bl w:val="nil"/>
                  </w:tcBorders>
                  <w:noWrap w:val="0"/>
                  <w:vAlign w:val="center"/>
                </w:tcPr>
                <w:p w14:paraId="7D1D4BA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符合</w:t>
                  </w:r>
                </w:p>
              </w:tc>
            </w:tr>
            <w:tr w14:paraId="1D2938BE">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44" w:type="pct"/>
                  <w:vMerge w:val="continue"/>
                  <w:tcBorders>
                    <w:tl2br w:val="nil"/>
                    <w:tr2bl w:val="nil"/>
                  </w:tcBorders>
                  <w:noWrap w:val="0"/>
                  <w:vAlign w:val="center"/>
                </w:tcPr>
                <w:p w14:paraId="30BF460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254" w:type="pct"/>
                  <w:vMerge w:val="continue"/>
                  <w:tcBorders>
                    <w:tl2br w:val="nil"/>
                    <w:tr2bl w:val="nil"/>
                  </w:tcBorders>
                  <w:noWrap w:val="0"/>
                  <w:vAlign w:val="center"/>
                </w:tcPr>
                <w:p w14:paraId="5369CBE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179" w:type="pct"/>
                  <w:vMerge w:val="continue"/>
                  <w:tcBorders>
                    <w:tl2br w:val="nil"/>
                    <w:tr2bl w:val="nil"/>
                  </w:tcBorders>
                  <w:noWrap w:val="0"/>
                  <w:vAlign w:val="center"/>
                </w:tcPr>
                <w:p w14:paraId="77E90C3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476DE1F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415" w:type="pct"/>
                  <w:tcBorders>
                    <w:tl2br w:val="nil"/>
                    <w:tr2bl w:val="nil"/>
                  </w:tcBorders>
                  <w:shd w:val="clear" w:color="auto" w:fill="auto"/>
                  <w:noWrap w:val="0"/>
                  <w:vAlign w:val="center"/>
                </w:tcPr>
                <w:p w14:paraId="5240C7B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环境风险防控</w:t>
                  </w:r>
                </w:p>
              </w:tc>
              <w:tc>
                <w:tcPr>
                  <w:tcW w:w="2844" w:type="pct"/>
                  <w:tcBorders>
                    <w:tl2br w:val="nil"/>
                    <w:tr2bl w:val="nil"/>
                  </w:tcBorders>
                  <w:shd w:val="clear" w:color="auto" w:fill="auto"/>
                  <w:noWrap w:val="0"/>
                  <w:vAlign w:val="center"/>
                </w:tcPr>
                <w:p w14:paraId="6A9BC05A">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【严格管控类农用地管控要求】</w:t>
                  </w:r>
                </w:p>
                <w:p w14:paraId="7F2665F8">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（1）工程建设要进行严格的地质灾害评价；停止一切不合理的建设活动，并采取各种措施积极恢复与改善生态环境。</w:t>
                  </w:r>
                </w:p>
                <w:p w14:paraId="37732219">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（2）其他要求执行城镇重点管控单元普适性管控要求。</w:t>
                  </w:r>
                </w:p>
                <w:p w14:paraId="2571C82C">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【安全利用类农用地管控要求】</w:t>
                  </w:r>
                </w:p>
                <w:p w14:paraId="61CE2769">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（1）工程建设要进行严格的地质灾害评价；停止一切不合理的建设活动，并采取各种措施积极恢复与改善生态环境。</w:t>
                  </w:r>
                </w:p>
                <w:p w14:paraId="55991FAE">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（2）其他要求执行城镇重点管控单元普适性管控要求。</w:t>
                  </w:r>
                </w:p>
                <w:p w14:paraId="022C5442">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【污染地块管控要求】</w:t>
                  </w:r>
                </w:p>
                <w:p w14:paraId="6F4EB8C0">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（1）工程建设要进行严格的地质灾害评价；停止一切不合理的建设活动，并采取各种措施积极恢复与改善生态环境。</w:t>
                  </w:r>
                </w:p>
                <w:p w14:paraId="6E050D8E">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（2）其他要求执行城镇重点管控单元普适性管控要求。</w:t>
                  </w:r>
                </w:p>
                <w:p w14:paraId="5A83DB3E">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【企业环境风险防控要求】</w:t>
                  </w:r>
                </w:p>
                <w:p w14:paraId="38BFD491">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执行城镇重点管控单元普适性管控要求</w:t>
                  </w:r>
                </w:p>
                <w:p w14:paraId="616C4548">
                  <w:pPr>
                    <w:spacing w:before="0" w:after="0"/>
                    <w:jc w:val="left"/>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【其他环境风险防控要求】</w:t>
                  </w:r>
                  <w:r>
                    <w:rPr>
                      <w:rFonts w:hint="eastAsia" w:ascii="Times New Roman" w:hAnsi="Times New Roman" w:eastAsia="宋体" w:cs="Times New Roman"/>
                      <w:b w:val="0"/>
                      <w:color w:val="auto"/>
                      <w:sz w:val="21"/>
                      <w:szCs w:val="21"/>
                      <w:lang w:val="en-US" w:eastAsia="zh-CN"/>
                    </w:rPr>
                    <w:t>/</w:t>
                  </w:r>
                </w:p>
              </w:tc>
              <w:tc>
                <w:tcPr>
                  <w:tcW w:w="663" w:type="pct"/>
                  <w:tcBorders>
                    <w:tl2br w:val="nil"/>
                    <w:tr2bl w:val="nil"/>
                  </w:tcBorders>
                  <w:noWrap w:val="0"/>
                  <w:vAlign w:val="center"/>
                </w:tcPr>
                <w:p w14:paraId="715707E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highlight w:val="none"/>
                      <w:lang w:eastAsia="zh-CN"/>
                    </w:rPr>
                  </w:pPr>
                  <w:r>
                    <w:rPr>
                      <w:rFonts w:hint="eastAsia"/>
                      <w:b w:val="0"/>
                      <w:bCs w:val="0"/>
                      <w:color w:val="auto"/>
                      <w:szCs w:val="21"/>
                      <w:lang w:eastAsia="zh-CN"/>
                    </w:rPr>
                    <w:t>项目正在开展地质灾害评价，项目施工过程采取有效的生态保护措施，施工结束后表土用于绿化回填改善生态环境。</w:t>
                  </w:r>
                </w:p>
              </w:tc>
              <w:tc>
                <w:tcPr>
                  <w:tcW w:w="184" w:type="pct"/>
                  <w:tcBorders>
                    <w:tl2br w:val="nil"/>
                    <w:tr2bl w:val="nil"/>
                  </w:tcBorders>
                  <w:noWrap w:val="0"/>
                  <w:vAlign w:val="center"/>
                </w:tcPr>
                <w:p w14:paraId="6B84F51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符合</w:t>
                  </w:r>
                </w:p>
              </w:tc>
            </w:tr>
            <w:tr w14:paraId="3819D39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44" w:type="pct"/>
                  <w:vMerge w:val="continue"/>
                  <w:tcBorders>
                    <w:tl2br w:val="nil"/>
                    <w:tr2bl w:val="nil"/>
                  </w:tcBorders>
                  <w:noWrap w:val="0"/>
                  <w:vAlign w:val="center"/>
                </w:tcPr>
                <w:p w14:paraId="4F1082E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254" w:type="pct"/>
                  <w:vMerge w:val="continue"/>
                  <w:tcBorders>
                    <w:tl2br w:val="nil"/>
                    <w:tr2bl w:val="nil"/>
                  </w:tcBorders>
                  <w:noWrap w:val="0"/>
                  <w:vAlign w:val="center"/>
                </w:tcPr>
                <w:p w14:paraId="2B6E194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179" w:type="pct"/>
                  <w:vMerge w:val="continue"/>
                  <w:tcBorders>
                    <w:tl2br w:val="nil"/>
                    <w:tr2bl w:val="nil"/>
                  </w:tcBorders>
                  <w:noWrap w:val="0"/>
                  <w:vAlign w:val="center"/>
                </w:tcPr>
                <w:p w14:paraId="0279BD8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4F50825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415" w:type="pct"/>
                  <w:tcBorders>
                    <w:tl2br w:val="nil"/>
                    <w:tr2bl w:val="nil"/>
                  </w:tcBorders>
                  <w:shd w:val="clear" w:color="auto" w:fill="auto"/>
                  <w:noWrap w:val="0"/>
                  <w:vAlign w:val="center"/>
                </w:tcPr>
                <w:p w14:paraId="2330ABA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资源开发利用效率要求</w:t>
                  </w:r>
                </w:p>
              </w:tc>
              <w:tc>
                <w:tcPr>
                  <w:tcW w:w="2844" w:type="pct"/>
                  <w:tcBorders>
                    <w:tl2br w:val="nil"/>
                    <w:tr2bl w:val="nil"/>
                  </w:tcBorders>
                  <w:shd w:val="clear" w:color="auto" w:fill="auto"/>
                  <w:noWrap w:val="0"/>
                  <w:vAlign w:val="center"/>
                </w:tcPr>
                <w:p w14:paraId="70149C22">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【水资源利用效率要求】</w:t>
                  </w:r>
                </w:p>
                <w:p w14:paraId="21CCBDB6">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执行城镇重点管控单元普适性管控要求</w:t>
                  </w:r>
                </w:p>
                <w:p w14:paraId="70E080FC">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【地下水开采要求】</w:t>
                  </w:r>
                </w:p>
                <w:p w14:paraId="50438ACE">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执行城镇重点管控单元普适性管控要求</w:t>
                  </w:r>
                </w:p>
                <w:p w14:paraId="2CF9FC7F">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【能源利用效率要求】</w:t>
                  </w:r>
                </w:p>
                <w:p w14:paraId="554A5A3D">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执行城镇重点管控单元普适性管控要求</w:t>
                  </w:r>
                </w:p>
                <w:p w14:paraId="72B0C59F">
                  <w:pPr>
                    <w:spacing w:before="0" w:after="0"/>
                    <w:jc w:val="left"/>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【其他资源利用效率要求】</w:t>
                  </w:r>
                  <w:r>
                    <w:rPr>
                      <w:rFonts w:hint="eastAsia" w:ascii="Times New Roman" w:hAnsi="Times New Roman" w:eastAsia="宋体" w:cs="Times New Roman"/>
                      <w:b w:val="0"/>
                      <w:color w:val="auto"/>
                      <w:sz w:val="21"/>
                      <w:szCs w:val="21"/>
                      <w:lang w:val="en-US" w:eastAsia="zh-CN"/>
                    </w:rPr>
                    <w:t>/</w:t>
                  </w:r>
                </w:p>
              </w:tc>
              <w:tc>
                <w:tcPr>
                  <w:tcW w:w="663" w:type="pct"/>
                  <w:tcBorders>
                    <w:tl2br w:val="nil"/>
                    <w:tr2bl w:val="nil"/>
                  </w:tcBorders>
                  <w:noWrap w:val="0"/>
                  <w:vAlign w:val="center"/>
                </w:tcPr>
                <w:p w14:paraId="61CC1A5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highlight w:val="yellow"/>
                      <w:lang w:eastAsia="zh-CN"/>
                    </w:rPr>
                  </w:pPr>
                  <w:r>
                    <w:rPr>
                      <w:rFonts w:hint="eastAsia" w:ascii="Times New Roman" w:hAnsi="Times New Roman" w:eastAsia="宋体" w:cs="Times New Roman"/>
                      <w:color w:val="auto"/>
                      <w:sz w:val="21"/>
                      <w:szCs w:val="21"/>
                      <w:highlight w:val="none"/>
                      <w:lang w:eastAsia="zh-CN"/>
                    </w:rPr>
                    <w:t>项目满足巴中市</w:t>
                  </w:r>
                  <w:r>
                    <w:rPr>
                      <w:rFonts w:hint="eastAsia" w:ascii="Times New Roman" w:hAnsi="Times New Roman" w:eastAsia="宋体" w:cs="Times New Roman"/>
                      <w:b w:val="0"/>
                      <w:color w:val="auto"/>
                      <w:sz w:val="21"/>
                      <w:szCs w:val="21"/>
                      <w:lang w:eastAsia="zh-CN"/>
                    </w:rPr>
                    <w:t>城镇</w:t>
                  </w:r>
                  <w:r>
                    <w:rPr>
                      <w:rFonts w:hint="default" w:ascii="Times New Roman" w:hAnsi="Times New Roman" w:eastAsia="宋体" w:cs="Times New Roman"/>
                      <w:b w:val="0"/>
                      <w:color w:val="auto"/>
                      <w:sz w:val="21"/>
                      <w:szCs w:val="21"/>
                    </w:rPr>
                    <w:t>重点</w:t>
                  </w:r>
                  <w:r>
                    <w:rPr>
                      <w:rFonts w:hint="eastAsia" w:ascii="Times New Roman" w:hAnsi="Times New Roman" w:eastAsia="宋体" w:cs="Times New Roman"/>
                      <w:b w:val="0"/>
                      <w:color w:val="auto"/>
                      <w:sz w:val="21"/>
                      <w:szCs w:val="21"/>
                      <w:lang w:eastAsia="zh-CN"/>
                    </w:rPr>
                    <w:t>管控</w:t>
                  </w:r>
                  <w:r>
                    <w:rPr>
                      <w:rFonts w:hint="default" w:ascii="Times New Roman" w:hAnsi="Times New Roman" w:eastAsia="宋体" w:cs="Times New Roman"/>
                      <w:b w:val="0"/>
                      <w:color w:val="auto"/>
                      <w:sz w:val="21"/>
                      <w:szCs w:val="21"/>
                    </w:rPr>
                    <w:t>单元</w:t>
                  </w:r>
                  <w:r>
                    <w:rPr>
                      <w:rFonts w:hint="eastAsia"/>
                      <w:color w:val="auto"/>
                      <w:szCs w:val="21"/>
                    </w:rPr>
                    <w:t>普适性管控要求</w:t>
                  </w:r>
                  <w:r>
                    <w:rPr>
                      <w:rFonts w:hint="eastAsia"/>
                      <w:color w:val="auto"/>
                      <w:szCs w:val="21"/>
                      <w:lang w:eastAsia="zh-CN"/>
                    </w:rPr>
                    <w:t>。</w:t>
                  </w:r>
                </w:p>
              </w:tc>
              <w:tc>
                <w:tcPr>
                  <w:tcW w:w="184" w:type="pct"/>
                  <w:tcBorders>
                    <w:tl2br w:val="nil"/>
                    <w:tr2bl w:val="nil"/>
                  </w:tcBorders>
                  <w:noWrap w:val="0"/>
                  <w:vAlign w:val="center"/>
                </w:tcPr>
                <w:p w14:paraId="3BC915A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eastAsia="zh-CN"/>
                    </w:rPr>
                    <w:t>符合</w:t>
                  </w:r>
                </w:p>
              </w:tc>
            </w:tr>
          </w:tbl>
          <w:p w14:paraId="09675B26">
            <w:pPr>
              <w:autoSpaceDE w:val="0"/>
              <w:autoSpaceDN w:val="0"/>
              <w:adjustRightInd w:val="0"/>
              <w:snapToGrid w:val="0"/>
              <w:spacing w:line="360" w:lineRule="auto"/>
              <w:ind w:firstLine="480" w:firstLineChars="200"/>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eastAsia="zh-CN"/>
              </w:rPr>
              <w:t>要素管控分区</w:t>
            </w:r>
            <w:r>
              <w:rPr>
                <w:rFonts w:hint="default" w:ascii="Times New Roman" w:hAnsi="Times New Roman" w:eastAsia="宋体" w:cs="Times New Roman"/>
                <w:bCs/>
                <w:color w:val="auto"/>
                <w:sz w:val="24"/>
              </w:rPr>
              <w:t>管控要求</w:t>
            </w:r>
            <w:r>
              <w:rPr>
                <w:rFonts w:hint="eastAsia" w:ascii="Times New Roman" w:hAnsi="Times New Roman" w:eastAsia="宋体" w:cs="Times New Roman"/>
                <w:bCs/>
                <w:color w:val="auto"/>
                <w:sz w:val="24"/>
                <w:lang w:eastAsia="zh-CN"/>
              </w:rPr>
              <w:t>见下表。</w:t>
            </w:r>
          </w:p>
          <w:p w14:paraId="4595A17D">
            <w:pPr>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kern w:val="2"/>
                <w:sz w:val="21"/>
                <w:szCs w:val="24"/>
                <w:lang w:val="en-US" w:eastAsia="zh-CN" w:bidi="ar-SA"/>
              </w:rPr>
              <w:t>表1-</w:t>
            </w:r>
            <w:r>
              <w:rPr>
                <w:rFonts w:hint="eastAsia" w:ascii="Times New Roman" w:hAnsi="Times New Roman" w:eastAsia="宋体" w:cs="Times New Roman"/>
                <w:b/>
                <w:bCs/>
                <w:color w:val="auto"/>
                <w:kern w:val="2"/>
                <w:sz w:val="21"/>
                <w:szCs w:val="24"/>
                <w:lang w:val="en-US" w:eastAsia="zh-CN" w:bidi="ar-SA"/>
              </w:rPr>
              <w:t>5</w:t>
            </w:r>
            <w:r>
              <w:rPr>
                <w:rFonts w:hint="default" w:ascii="Times New Roman" w:hAnsi="Times New Roman" w:eastAsia="宋体" w:cs="Times New Roman"/>
                <w:b/>
                <w:bCs/>
                <w:color w:val="auto"/>
                <w:kern w:val="2"/>
                <w:sz w:val="21"/>
                <w:szCs w:val="24"/>
                <w:lang w:val="en-US" w:eastAsia="zh-CN" w:bidi="ar-SA"/>
              </w:rPr>
              <w:t xml:space="preserve">  项目与要素管控分区要求符合性分析表</w:t>
            </w:r>
          </w:p>
          <w:tbl>
            <w:tblPr>
              <w:tblStyle w:val="34"/>
              <w:tblW w:w="5000" w:type="pct"/>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10" w:type="dxa"/>
                <w:bottom w:w="0" w:type="dxa"/>
                <w:right w:w="10" w:type="dxa"/>
              </w:tblCellMar>
            </w:tblPr>
            <w:tblGrid>
              <w:gridCol w:w="466"/>
              <w:gridCol w:w="413"/>
              <w:gridCol w:w="394"/>
              <w:gridCol w:w="324"/>
              <w:gridCol w:w="324"/>
              <w:gridCol w:w="345"/>
              <w:gridCol w:w="684"/>
              <w:gridCol w:w="3705"/>
              <w:gridCol w:w="1090"/>
              <w:gridCol w:w="313"/>
            </w:tblGrid>
            <w:tr w14:paraId="4FA1B91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tcBorders>
                    <w:tl2br w:val="nil"/>
                    <w:tr2bl w:val="nil"/>
                  </w:tcBorders>
                  <w:noWrap w:val="0"/>
                  <w:vAlign w:val="center"/>
                </w:tcPr>
                <w:p w14:paraId="1969BAB8">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管控分区编码</w:t>
                  </w:r>
                </w:p>
              </w:tc>
              <w:tc>
                <w:tcPr>
                  <w:tcW w:w="256" w:type="pct"/>
                  <w:tcBorders>
                    <w:tl2br w:val="nil"/>
                    <w:tr2bl w:val="nil"/>
                  </w:tcBorders>
                  <w:noWrap w:val="0"/>
                  <w:vAlign w:val="center"/>
                </w:tcPr>
                <w:p w14:paraId="0331CF59">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管控分区名称</w:t>
                  </w:r>
                </w:p>
              </w:tc>
              <w:tc>
                <w:tcPr>
                  <w:tcW w:w="244" w:type="pct"/>
                  <w:tcBorders>
                    <w:tl2br w:val="nil"/>
                    <w:tr2bl w:val="nil"/>
                  </w:tcBorders>
                  <w:noWrap w:val="0"/>
                  <w:vAlign w:val="center"/>
                </w:tcPr>
                <w:p w14:paraId="7F23D25B">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管控区分类</w:t>
                  </w:r>
                </w:p>
              </w:tc>
              <w:tc>
                <w:tcPr>
                  <w:tcW w:w="201" w:type="pct"/>
                  <w:tcBorders>
                    <w:tl2br w:val="nil"/>
                    <w:tr2bl w:val="nil"/>
                  </w:tcBorders>
                  <w:noWrap w:val="0"/>
                  <w:vAlign w:val="center"/>
                </w:tcPr>
                <w:p w14:paraId="0EB37A07">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环境要素</w:t>
                  </w:r>
                </w:p>
              </w:tc>
              <w:tc>
                <w:tcPr>
                  <w:tcW w:w="201" w:type="pct"/>
                  <w:tcBorders>
                    <w:tl2br w:val="nil"/>
                    <w:tr2bl w:val="nil"/>
                  </w:tcBorders>
                  <w:noWrap w:val="0"/>
                  <w:vAlign w:val="center"/>
                </w:tcPr>
                <w:p w14:paraId="40527F9F">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要素细类</w:t>
                  </w:r>
                </w:p>
              </w:tc>
              <w:tc>
                <w:tcPr>
                  <w:tcW w:w="214" w:type="pct"/>
                  <w:tcBorders>
                    <w:tl2br w:val="nil"/>
                    <w:tr2bl w:val="nil"/>
                  </w:tcBorders>
                  <w:noWrap w:val="0"/>
                  <w:vAlign w:val="center"/>
                </w:tcPr>
                <w:p w14:paraId="51546367">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所属县区</w:t>
                  </w:r>
                </w:p>
              </w:tc>
              <w:tc>
                <w:tcPr>
                  <w:tcW w:w="424" w:type="pct"/>
                  <w:tcBorders>
                    <w:tl2br w:val="nil"/>
                    <w:tr2bl w:val="nil"/>
                  </w:tcBorders>
                  <w:noWrap w:val="0"/>
                  <w:vAlign w:val="center"/>
                </w:tcPr>
                <w:p w14:paraId="7A54C7AD">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管控类别</w:t>
                  </w:r>
                </w:p>
              </w:tc>
              <w:tc>
                <w:tcPr>
                  <w:tcW w:w="2298" w:type="pct"/>
                  <w:tcBorders>
                    <w:tl2br w:val="nil"/>
                    <w:tr2bl w:val="nil"/>
                  </w:tcBorders>
                  <w:noWrap w:val="0"/>
                  <w:vAlign w:val="center"/>
                </w:tcPr>
                <w:p w14:paraId="5D12E508">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管控分区管控要求</w:t>
                  </w:r>
                </w:p>
              </w:tc>
              <w:tc>
                <w:tcPr>
                  <w:tcW w:w="676" w:type="pct"/>
                  <w:tcBorders>
                    <w:tl2br w:val="nil"/>
                    <w:tr2bl w:val="nil"/>
                  </w:tcBorders>
                  <w:noWrap w:val="0"/>
                  <w:vAlign w:val="center"/>
                </w:tcPr>
                <w:p w14:paraId="02FC2F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z w:val="21"/>
                      <w:szCs w:val="21"/>
                    </w:rPr>
                    <w:t>项目情况</w:t>
                  </w:r>
                </w:p>
              </w:tc>
              <w:tc>
                <w:tcPr>
                  <w:tcW w:w="194" w:type="pct"/>
                  <w:tcBorders>
                    <w:tl2br w:val="nil"/>
                    <w:tr2bl w:val="nil"/>
                  </w:tcBorders>
                  <w:noWrap w:val="0"/>
                  <w:vAlign w:val="center"/>
                </w:tcPr>
                <w:p w14:paraId="5B93AE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z w:val="21"/>
                      <w:szCs w:val="21"/>
                    </w:rPr>
                    <w:t>符合性</w:t>
                  </w:r>
                </w:p>
              </w:tc>
            </w:tr>
            <w:tr w14:paraId="13835AD9">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restart"/>
                  <w:tcBorders>
                    <w:tl2br w:val="nil"/>
                    <w:tr2bl w:val="nil"/>
                  </w:tcBorders>
                  <w:shd w:val="clear" w:color="auto" w:fill="auto"/>
                  <w:noWrap w:val="0"/>
                  <w:vAlign w:val="center"/>
                </w:tcPr>
                <w:p w14:paraId="76D26948">
                  <w:pPr>
                    <w:spacing w:before="0" w:after="0"/>
                    <w:jc w:val="center"/>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YS5119223210003</w:t>
                  </w:r>
                </w:p>
              </w:tc>
              <w:tc>
                <w:tcPr>
                  <w:tcW w:w="256" w:type="pct"/>
                  <w:vMerge w:val="restart"/>
                  <w:tcBorders>
                    <w:tl2br w:val="nil"/>
                    <w:tr2bl w:val="nil"/>
                  </w:tcBorders>
                  <w:shd w:val="clear" w:color="auto" w:fill="auto"/>
                  <w:noWrap w:val="0"/>
                  <w:vAlign w:val="center"/>
                </w:tcPr>
                <w:p w14:paraId="5473EA44">
                  <w:pPr>
                    <w:spacing w:before="0" w:after="0"/>
                    <w:jc w:val="center"/>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南江河-南江县-元潭-控制单元</w:t>
                  </w:r>
                </w:p>
              </w:tc>
              <w:tc>
                <w:tcPr>
                  <w:tcW w:w="244" w:type="pct"/>
                  <w:vMerge w:val="restart"/>
                  <w:tcBorders>
                    <w:tl2br w:val="nil"/>
                    <w:tr2bl w:val="nil"/>
                  </w:tcBorders>
                  <w:shd w:val="clear" w:color="auto" w:fill="auto"/>
                  <w:noWrap w:val="0"/>
                  <w:vAlign w:val="center"/>
                </w:tcPr>
                <w:p w14:paraId="67897C18">
                  <w:pPr>
                    <w:spacing w:before="0" w:after="0"/>
                    <w:jc w:val="center"/>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一般管控区</w:t>
                  </w:r>
                </w:p>
              </w:tc>
              <w:tc>
                <w:tcPr>
                  <w:tcW w:w="201" w:type="pct"/>
                  <w:vMerge w:val="restart"/>
                  <w:tcBorders>
                    <w:tl2br w:val="nil"/>
                    <w:tr2bl w:val="nil"/>
                  </w:tcBorders>
                  <w:shd w:val="clear" w:color="auto" w:fill="auto"/>
                  <w:noWrap w:val="0"/>
                  <w:vAlign w:val="center"/>
                </w:tcPr>
                <w:p w14:paraId="586238B5">
                  <w:pPr>
                    <w:spacing w:before="0" w:after="0"/>
                    <w:jc w:val="center"/>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水</w:t>
                  </w:r>
                </w:p>
              </w:tc>
              <w:tc>
                <w:tcPr>
                  <w:tcW w:w="201" w:type="pct"/>
                  <w:vMerge w:val="restart"/>
                  <w:tcBorders>
                    <w:tl2br w:val="nil"/>
                    <w:tr2bl w:val="nil"/>
                  </w:tcBorders>
                  <w:shd w:val="clear" w:color="auto" w:fill="auto"/>
                  <w:noWrap w:val="0"/>
                  <w:vAlign w:val="center"/>
                </w:tcPr>
                <w:p w14:paraId="695D50CE">
                  <w:pPr>
                    <w:spacing w:before="0" w:after="0"/>
                    <w:jc w:val="center"/>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水环境一般管控区</w:t>
                  </w:r>
                </w:p>
              </w:tc>
              <w:tc>
                <w:tcPr>
                  <w:tcW w:w="214" w:type="pct"/>
                  <w:vMerge w:val="restart"/>
                  <w:tcBorders>
                    <w:tl2br w:val="nil"/>
                    <w:tr2bl w:val="nil"/>
                  </w:tcBorders>
                  <w:shd w:val="clear" w:color="auto" w:fill="auto"/>
                  <w:noWrap w:val="0"/>
                  <w:vAlign w:val="center"/>
                </w:tcPr>
                <w:p w14:paraId="6A60485A">
                  <w:pPr>
                    <w:spacing w:before="0" w:after="0"/>
                    <w:jc w:val="center"/>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巴中市南江县</w:t>
                  </w:r>
                </w:p>
              </w:tc>
              <w:tc>
                <w:tcPr>
                  <w:tcW w:w="424" w:type="pct"/>
                  <w:tcBorders>
                    <w:tl2br w:val="nil"/>
                    <w:tr2bl w:val="nil"/>
                  </w:tcBorders>
                  <w:shd w:val="clear" w:color="auto" w:fill="auto"/>
                  <w:noWrap w:val="0"/>
                  <w:vAlign w:val="center"/>
                </w:tcPr>
                <w:p w14:paraId="3D0B0DE7">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空间布局约束</w:t>
                  </w:r>
                </w:p>
              </w:tc>
              <w:tc>
                <w:tcPr>
                  <w:tcW w:w="2298" w:type="pct"/>
                  <w:tcBorders>
                    <w:tl2br w:val="nil"/>
                    <w:tr2bl w:val="nil"/>
                  </w:tcBorders>
                  <w:shd w:val="clear" w:color="auto" w:fill="auto"/>
                  <w:noWrap w:val="0"/>
                  <w:vAlign w:val="center"/>
                </w:tcPr>
                <w:p w14:paraId="08AF6524">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【禁止开发建设活动的要求】</w:t>
                  </w:r>
                </w:p>
                <w:p w14:paraId="15E469EA">
                  <w:pPr>
                    <w:spacing w:before="0" w:after="0"/>
                    <w:jc w:val="left"/>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不再新建、改扩建开采规模在50万吨年以下的磷矿，不再新建露天磷矿。</w:t>
                  </w:r>
                </w:p>
              </w:tc>
              <w:tc>
                <w:tcPr>
                  <w:tcW w:w="676" w:type="pct"/>
                  <w:tcBorders>
                    <w:tl2br w:val="nil"/>
                    <w:tr2bl w:val="nil"/>
                  </w:tcBorders>
                  <w:noWrap w:val="0"/>
                  <w:vAlign w:val="center"/>
                </w:tcPr>
                <w:p w14:paraId="3343D19B">
                  <w:pPr>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项目不涉及磷矿。</w:t>
                  </w:r>
                </w:p>
              </w:tc>
              <w:tc>
                <w:tcPr>
                  <w:tcW w:w="194" w:type="pct"/>
                  <w:tcBorders>
                    <w:tl2br w:val="nil"/>
                    <w:tr2bl w:val="nil"/>
                  </w:tcBorders>
                  <w:noWrap w:val="0"/>
                  <w:vAlign w:val="center"/>
                </w:tcPr>
                <w:p w14:paraId="67E42F7B">
                  <w:pPr>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符合</w:t>
                  </w:r>
                </w:p>
              </w:tc>
            </w:tr>
            <w:tr w14:paraId="0777B05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280DD4DF">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0A919CF1">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04D75B19">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60AC39EA">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00CCF4B3">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47C04C6F">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2648D059">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污染物排放管控</w:t>
                  </w:r>
                </w:p>
              </w:tc>
              <w:tc>
                <w:tcPr>
                  <w:tcW w:w="2298" w:type="pct"/>
                  <w:tcBorders>
                    <w:tl2br w:val="nil"/>
                    <w:tr2bl w:val="nil"/>
                  </w:tcBorders>
                  <w:shd w:val="clear" w:color="auto" w:fill="auto"/>
                  <w:noWrap w:val="0"/>
                  <w:vAlign w:val="center"/>
                </w:tcPr>
                <w:p w14:paraId="6B3C4CFF">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【现有源提标升级改造】</w:t>
                  </w:r>
                </w:p>
                <w:p w14:paraId="716A2B12">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1、持续推进环保基础设施补短板，完善污水收集处理系统。2、保障乡镇污水收集处理设施顺畅运行。3、推进污水直排口排查与整治，落实“一口一策”整改措施。</w:t>
                  </w:r>
                </w:p>
                <w:p w14:paraId="2790ED5C">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【新增源等量或倍量替代】</w:t>
                  </w:r>
                </w:p>
                <w:p w14:paraId="77C8192F">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1、落实主要污染物排放总量指标控制要求，加强入河排污口登记、审批和监督管理。2、强化流域内工业点源、规模化畜禽养殖场运行监管，避免偷排、漏排。</w:t>
                  </w:r>
                </w:p>
                <w:p w14:paraId="49FBB150">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【新增源排放标准限值】</w:t>
                  </w:r>
                </w:p>
                <w:p w14:paraId="71E8C4FA">
                  <w:pPr>
                    <w:spacing w:before="0" w:after="0"/>
                    <w:jc w:val="left"/>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1、推进农村污染治理，稳步农村污水处理设施建设，适当预留发展空间，宜集中则集中，宜分散则分散。大力推进农村生活垃圾就地分类减量和资源化利用，因地制宜选择农村生活垃圾治理模式。严格做好“农家乐”、种植采摘园等范围内的生活及农产品产生污水及垃圾治理。2、以环境承载能力为约束，合理规划水产养殖空间及规模；推进水产生态健康养殖，加强渔业生产过程中抗菌药物使用管控。推进水产养殖治理，水产养殖废水应处理达到《四川省水产养殖业水污染物排放标准》后排放；实施池塘标准化改造，完善循环水和进排水处理设施；推进养殖尾水节水减排。3、以环境承载能力为约束，合理规划畜禽养殖空间及规模；推进畜禽粪污分类处置，根据排放去向或利用方式的不同执行相应的标准规范。不断提高畜禽养殖粪污资源化利用率及利用水平；设有污水排放口的规模化畜禽养殖场应当依法申领排污许可证。4、推进化肥、农药使用量“零增长”，逐步推进农田径流拦截及治理。</w:t>
                  </w:r>
                </w:p>
              </w:tc>
              <w:tc>
                <w:tcPr>
                  <w:tcW w:w="676" w:type="pct"/>
                  <w:tcBorders>
                    <w:tl2br w:val="nil"/>
                    <w:tr2bl w:val="nil"/>
                  </w:tcBorders>
                  <w:noWrap w:val="0"/>
                  <w:vAlign w:val="center"/>
                </w:tcPr>
                <w:p w14:paraId="164FB592">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lang w:val="en-US" w:eastAsia="zh-CN"/>
                    </w:rPr>
                    <w:t>项目</w:t>
                  </w:r>
                  <w:r>
                    <w:rPr>
                      <w:rFonts w:hint="eastAsia" w:ascii="宋体" w:hAnsi="宋体" w:eastAsia="宋体" w:cs="宋体"/>
                      <w:color w:val="auto"/>
                      <w:kern w:val="0"/>
                      <w:sz w:val="21"/>
                    </w:rPr>
                    <w:t>施工期废水经沉淀后回用于洒水降尘，施工人员生活污水依托周边居民已有污水处理设施处理后排入市政管网，运营期废水经预处理池处理后排入市政污水管网经关坝镇污水处理站处理达</w:t>
                  </w:r>
                  <w:r>
                    <w:rPr>
                      <w:rFonts w:ascii="宋体" w:hAnsi="宋体" w:eastAsia="宋体" w:cs="宋体"/>
                      <w:color w:val="auto"/>
                      <w:kern w:val="0"/>
                      <w:sz w:val="21"/>
                    </w:rPr>
                    <w:t>《城镇污水处理厂污染物排放标准》一级A标后排放</w:t>
                  </w:r>
                  <w:r>
                    <w:rPr>
                      <w:rFonts w:hint="eastAsia" w:ascii="宋体" w:hAnsi="宋体" w:eastAsia="宋体" w:cs="宋体"/>
                      <w:color w:val="auto"/>
                      <w:kern w:val="0"/>
                      <w:sz w:val="21"/>
                    </w:rPr>
                    <w:t>。</w:t>
                  </w:r>
                  <w:r>
                    <w:rPr>
                      <w:rFonts w:hint="eastAsia" w:ascii="宋体" w:hAnsi="宋体" w:eastAsia="宋体" w:cs="宋体"/>
                      <w:color w:val="auto"/>
                      <w:kern w:val="0"/>
                      <w:sz w:val="21"/>
                      <w:lang w:eastAsia="zh-CN"/>
                    </w:rPr>
                    <w:t>生活垃圾由环卫部门清运。</w:t>
                  </w:r>
                </w:p>
              </w:tc>
              <w:tc>
                <w:tcPr>
                  <w:tcW w:w="194" w:type="pct"/>
                  <w:tcBorders>
                    <w:tl2br w:val="nil"/>
                    <w:tr2bl w:val="nil"/>
                  </w:tcBorders>
                  <w:noWrap w:val="0"/>
                  <w:vAlign w:val="center"/>
                </w:tcPr>
                <w:p w14:paraId="556DDC58">
                  <w:pPr>
                    <w:jc w:val="center"/>
                    <w:rPr>
                      <w:rFonts w:hint="default" w:ascii="Times New Roman" w:hAnsi="Times New Roman" w:eastAsia="宋体"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符合</w:t>
                  </w:r>
                </w:p>
              </w:tc>
            </w:tr>
            <w:tr w14:paraId="7F42700D">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6110DB49">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6ED6F6C1">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504D3FDA">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1A5DD17E">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0AA4D324">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4B09D3F9">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7E4C2360">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环境风险防控</w:t>
                  </w:r>
                </w:p>
              </w:tc>
              <w:tc>
                <w:tcPr>
                  <w:tcW w:w="2298" w:type="pct"/>
                  <w:tcBorders>
                    <w:tl2br w:val="nil"/>
                    <w:tr2bl w:val="nil"/>
                  </w:tcBorders>
                  <w:shd w:val="clear" w:color="auto" w:fill="auto"/>
                  <w:noWrap w:val="0"/>
                  <w:vAlign w:val="center"/>
                </w:tcPr>
                <w:p w14:paraId="74E396B9">
                  <w:pPr>
                    <w:spacing w:before="0" w:after="0"/>
                    <w:jc w:val="left"/>
                    <w:rPr>
                      <w:rFonts w:hint="eastAsia" w:ascii="Times New Roman" w:hAnsi="Times New Roman" w:eastAsia="宋体" w:cs="Times New Roman"/>
                      <w:b w:val="0"/>
                      <w:color w:val="auto"/>
                      <w:sz w:val="21"/>
                      <w:szCs w:val="21"/>
                      <w:lang w:val="en-US" w:eastAsia="zh-CN"/>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7215FAEA">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w:t>
                  </w:r>
                </w:p>
              </w:tc>
              <w:tc>
                <w:tcPr>
                  <w:tcW w:w="194" w:type="pct"/>
                  <w:tcBorders>
                    <w:tl2br w:val="nil"/>
                    <w:tr2bl w:val="nil"/>
                  </w:tcBorders>
                  <w:shd w:val="clear" w:color="auto" w:fill="auto"/>
                  <w:noWrap w:val="0"/>
                  <w:vAlign w:val="center"/>
                </w:tcPr>
                <w:p w14:paraId="47AB0931">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p>
              </w:tc>
            </w:tr>
            <w:tr w14:paraId="39E239E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22E4A48E">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4C308BEC">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371A04E7">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44FB0310">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10EB776F">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10894F8C">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08BEDBFB">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资源开发利用效率要求</w:t>
                  </w:r>
                </w:p>
              </w:tc>
              <w:tc>
                <w:tcPr>
                  <w:tcW w:w="2298" w:type="pct"/>
                  <w:tcBorders>
                    <w:tl2br w:val="nil"/>
                    <w:tr2bl w:val="nil"/>
                  </w:tcBorders>
                  <w:shd w:val="clear" w:color="auto" w:fill="auto"/>
                  <w:noWrap w:val="0"/>
                  <w:vAlign w:val="center"/>
                </w:tcPr>
                <w:p w14:paraId="03D7B446">
                  <w:pPr>
                    <w:spacing w:before="0" w:after="0"/>
                    <w:jc w:val="left"/>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sz w:val="21"/>
                      <w:szCs w:val="21"/>
                    </w:rPr>
                    <w:t>强化种植业节水；推进农村污水分质资源化利用。</w:t>
                  </w:r>
                </w:p>
              </w:tc>
              <w:tc>
                <w:tcPr>
                  <w:tcW w:w="676" w:type="pct"/>
                  <w:tcBorders>
                    <w:tl2br w:val="nil"/>
                    <w:tr2bl w:val="nil"/>
                  </w:tcBorders>
                  <w:shd w:val="clear" w:color="auto" w:fill="auto"/>
                  <w:noWrap w:val="0"/>
                  <w:vAlign w:val="center"/>
                </w:tcPr>
                <w:p w14:paraId="4124BB92">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项目</w:t>
                  </w:r>
                  <w:r>
                    <w:rPr>
                      <w:rFonts w:hint="eastAsia" w:ascii="Times New Roman" w:hAnsi="Times New Roman" w:eastAsia="宋体" w:cs="Times New Roman"/>
                      <w:b w:val="0"/>
                      <w:color w:val="auto"/>
                      <w:sz w:val="21"/>
                      <w:szCs w:val="21"/>
                      <w:highlight w:val="none"/>
                      <w:lang w:eastAsia="zh-CN"/>
                    </w:rPr>
                    <w:t>不涉及种植业。用水量符合要求。</w:t>
                  </w:r>
                </w:p>
              </w:tc>
              <w:tc>
                <w:tcPr>
                  <w:tcW w:w="194" w:type="pct"/>
                  <w:tcBorders>
                    <w:tl2br w:val="nil"/>
                    <w:tr2bl w:val="nil"/>
                  </w:tcBorders>
                  <w:shd w:val="clear" w:color="auto" w:fill="auto"/>
                  <w:noWrap w:val="0"/>
                  <w:vAlign w:val="center"/>
                </w:tcPr>
                <w:p w14:paraId="736D77C4">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符合</w:t>
                  </w:r>
                </w:p>
              </w:tc>
            </w:tr>
            <w:tr w14:paraId="6E111CDD">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restart"/>
                  <w:tcBorders>
                    <w:tl2br w:val="nil"/>
                    <w:tr2bl w:val="nil"/>
                  </w:tcBorders>
                  <w:shd w:val="clear" w:color="auto" w:fill="auto"/>
                  <w:noWrap w:val="0"/>
                  <w:vAlign w:val="center"/>
                </w:tcPr>
                <w:p w14:paraId="1F21C1BA">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YS5119222530001</w:t>
                  </w:r>
                </w:p>
              </w:tc>
              <w:tc>
                <w:tcPr>
                  <w:tcW w:w="256" w:type="pct"/>
                  <w:vMerge w:val="restart"/>
                  <w:tcBorders>
                    <w:tl2br w:val="nil"/>
                    <w:tr2bl w:val="nil"/>
                  </w:tcBorders>
                  <w:shd w:val="clear" w:color="auto" w:fill="auto"/>
                  <w:noWrap w:val="0"/>
                  <w:vAlign w:val="center"/>
                </w:tcPr>
                <w:p w14:paraId="38D8C15A">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南江县城镇开发边界</w:t>
                  </w:r>
                </w:p>
              </w:tc>
              <w:tc>
                <w:tcPr>
                  <w:tcW w:w="244" w:type="pct"/>
                  <w:vMerge w:val="restart"/>
                  <w:tcBorders>
                    <w:tl2br w:val="nil"/>
                    <w:tr2bl w:val="nil"/>
                  </w:tcBorders>
                  <w:shd w:val="clear" w:color="auto" w:fill="auto"/>
                  <w:noWrap w:val="0"/>
                  <w:vAlign w:val="center"/>
                </w:tcPr>
                <w:p w14:paraId="68F9B6AB">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重点管控区</w:t>
                  </w:r>
                </w:p>
              </w:tc>
              <w:tc>
                <w:tcPr>
                  <w:tcW w:w="201" w:type="pct"/>
                  <w:vMerge w:val="restart"/>
                  <w:tcBorders>
                    <w:tl2br w:val="nil"/>
                    <w:tr2bl w:val="nil"/>
                  </w:tcBorders>
                  <w:shd w:val="clear" w:color="auto" w:fill="auto"/>
                  <w:noWrap w:val="0"/>
                  <w:vAlign w:val="center"/>
                </w:tcPr>
                <w:p w14:paraId="4C68EBB6">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自然资源</w:t>
                  </w:r>
                </w:p>
              </w:tc>
              <w:tc>
                <w:tcPr>
                  <w:tcW w:w="201" w:type="pct"/>
                  <w:vMerge w:val="restart"/>
                  <w:tcBorders>
                    <w:tl2br w:val="nil"/>
                    <w:tr2bl w:val="nil"/>
                  </w:tcBorders>
                  <w:shd w:val="clear" w:color="auto" w:fill="auto"/>
                  <w:noWrap w:val="0"/>
                  <w:vAlign w:val="center"/>
                </w:tcPr>
                <w:p w14:paraId="174A1FD6">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土地资源重点管控区</w:t>
                  </w:r>
                </w:p>
              </w:tc>
              <w:tc>
                <w:tcPr>
                  <w:tcW w:w="214" w:type="pct"/>
                  <w:vMerge w:val="restart"/>
                  <w:tcBorders>
                    <w:tl2br w:val="nil"/>
                    <w:tr2bl w:val="nil"/>
                  </w:tcBorders>
                  <w:shd w:val="clear" w:color="auto" w:fill="auto"/>
                  <w:noWrap w:val="0"/>
                  <w:vAlign w:val="center"/>
                </w:tcPr>
                <w:p w14:paraId="752FE849">
                  <w:pPr>
                    <w:spacing w:before="0" w:after="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b w:val="0"/>
                      <w:color w:val="auto"/>
                      <w:sz w:val="21"/>
                      <w:szCs w:val="21"/>
                    </w:rPr>
                    <w:t>巴中市南江县</w:t>
                  </w:r>
                </w:p>
              </w:tc>
              <w:tc>
                <w:tcPr>
                  <w:tcW w:w="424" w:type="pct"/>
                  <w:tcBorders>
                    <w:tl2br w:val="nil"/>
                    <w:tr2bl w:val="nil"/>
                  </w:tcBorders>
                  <w:shd w:val="clear" w:color="auto" w:fill="auto"/>
                  <w:noWrap w:val="0"/>
                  <w:vAlign w:val="center"/>
                </w:tcPr>
                <w:p w14:paraId="21DC6106">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空间布局约束</w:t>
                  </w:r>
                </w:p>
              </w:tc>
              <w:tc>
                <w:tcPr>
                  <w:tcW w:w="2298" w:type="pct"/>
                  <w:tcBorders>
                    <w:tl2br w:val="nil"/>
                    <w:tr2bl w:val="nil"/>
                  </w:tcBorders>
                  <w:shd w:val="clear" w:color="auto" w:fill="auto"/>
                  <w:noWrap w:val="0"/>
                  <w:vAlign w:val="center"/>
                </w:tcPr>
                <w:p w14:paraId="7F05406D">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【禁止开发建设活动的要求】</w:t>
                  </w:r>
                </w:p>
                <w:p w14:paraId="798ACF9B">
                  <w:pPr>
                    <w:spacing w:before="0" w:after="0"/>
                    <w:jc w:val="left"/>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1.以城镇开发建设现状为基础，综合考虑资源承载能力、人口分布、经济布局、城乡统筹、城镇无序蔓延。科学预留一定比例的留白区，为未来发展留有开发空间。城镇建设和发展不得违法违规侵占河道、湖面、滩地。2.城镇开发边界调整报国土空间规划原审批机关审批。</w:t>
                  </w:r>
                </w:p>
              </w:tc>
              <w:tc>
                <w:tcPr>
                  <w:tcW w:w="676" w:type="pct"/>
                  <w:tcBorders>
                    <w:tl2br w:val="nil"/>
                    <w:tr2bl w:val="nil"/>
                  </w:tcBorders>
                  <w:noWrap w:val="0"/>
                  <w:vAlign w:val="center"/>
                </w:tcPr>
                <w:p w14:paraId="1D0C4B2D">
                  <w:pPr>
                    <w:jc w:val="center"/>
                    <w:rPr>
                      <w:rFonts w:hint="default" w:ascii="Times New Roman" w:hAnsi="Times New Roman" w:eastAsia="宋体" w:cs="Times New Roman"/>
                      <w:color w:val="auto"/>
                      <w:sz w:val="21"/>
                      <w:szCs w:val="21"/>
                      <w:highlight w:val="none"/>
                    </w:rPr>
                  </w:pPr>
                  <w:r>
                    <w:rPr>
                      <w:rFonts w:hint="eastAsia"/>
                      <w:color w:val="auto"/>
                      <w:szCs w:val="21"/>
                      <w:lang w:eastAsia="zh-CN"/>
                    </w:rPr>
                    <w:t>项目位于城镇开发边界内，建设符合关坝镇规划，不侵占</w:t>
                  </w:r>
                  <w:r>
                    <w:rPr>
                      <w:rStyle w:val="36"/>
                      <w:rFonts w:hint="eastAsia" w:ascii="宋体" w:hAnsi="宋体" w:eastAsia="宋体" w:cs="Times New Roman"/>
                      <w:color w:val="auto"/>
                      <w:kern w:val="2"/>
                      <w:sz w:val="21"/>
                      <w:szCs w:val="21"/>
                      <w:lang w:val="en-US" w:eastAsia="zh-CN" w:bidi="ar-SA"/>
                    </w:rPr>
                    <w:t>河道、湖面、滩地</w:t>
                  </w:r>
                  <w:r>
                    <w:rPr>
                      <w:rStyle w:val="36"/>
                      <w:rFonts w:hint="eastAsia" w:ascii="宋体" w:hAnsi="宋体" w:cs="Times New Roman"/>
                      <w:color w:val="auto"/>
                      <w:kern w:val="2"/>
                      <w:sz w:val="21"/>
                      <w:szCs w:val="21"/>
                      <w:lang w:val="en-US" w:eastAsia="zh-CN" w:bidi="ar-SA"/>
                    </w:rPr>
                    <w:t>。</w:t>
                  </w:r>
                </w:p>
              </w:tc>
              <w:tc>
                <w:tcPr>
                  <w:tcW w:w="194" w:type="pct"/>
                  <w:tcBorders>
                    <w:tl2br w:val="nil"/>
                    <w:tr2bl w:val="nil"/>
                  </w:tcBorders>
                  <w:noWrap w:val="0"/>
                  <w:vAlign w:val="center"/>
                </w:tcPr>
                <w:p w14:paraId="2146346F">
                  <w:pPr>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760E8B92">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2374810E">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72C4753E">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25CB6ECA">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6ACBCB7F">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44EDDB73">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1CAD466F">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3F3C7FD9">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污染物排放管控</w:t>
                  </w:r>
                </w:p>
              </w:tc>
              <w:tc>
                <w:tcPr>
                  <w:tcW w:w="2298" w:type="pct"/>
                  <w:tcBorders>
                    <w:tl2br w:val="nil"/>
                    <w:tr2bl w:val="nil"/>
                  </w:tcBorders>
                  <w:shd w:val="clear" w:color="auto" w:fill="auto"/>
                  <w:noWrap w:val="0"/>
                  <w:vAlign w:val="center"/>
                </w:tcPr>
                <w:p w14:paraId="342992D5">
                  <w:pPr>
                    <w:spacing w:before="0" w:after="0"/>
                    <w:jc w:val="left"/>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73E8F74E">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1C465CEC">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551896D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72AD6DA0">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7F8D6862">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03F8DAB7">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24201604">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0AAA89D9">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042AA511">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534B5406">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环境风险防控</w:t>
                  </w:r>
                </w:p>
              </w:tc>
              <w:tc>
                <w:tcPr>
                  <w:tcW w:w="2298" w:type="pct"/>
                  <w:tcBorders>
                    <w:tl2br w:val="nil"/>
                    <w:tr2bl w:val="nil"/>
                  </w:tcBorders>
                  <w:shd w:val="clear" w:color="auto" w:fill="auto"/>
                  <w:noWrap w:val="0"/>
                  <w:vAlign w:val="center"/>
                </w:tcPr>
                <w:p w14:paraId="131DC4CD">
                  <w:pPr>
                    <w:spacing w:before="0" w:after="0"/>
                    <w:jc w:val="left"/>
                    <w:rPr>
                      <w:rFonts w:hint="eastAsia" w:ascii="Times New Roman" w:hAnsi="Times New Roman" w:eastAsia="宋体" w:cs="Times New Roman"/>
                      <w:b w:val="0"/>
                      <w:color w:val="auto"/>
                      <w:sz w:val="21"/>
                      <w:szCs w:val="21"/>
                      <w:lang w:val="en-US" w:eastAsia="zh-CN"/>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052D722B">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7553668A">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735F299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0142BE61">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5FBFCDC6">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45C1E209">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16664BA7">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3E01A459">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182A7A51">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6BE0B642">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资源开发利用效率要求</w:t>
                  </w:r>
                </w:p>
              </w:tc>
              <w:tc>
                <w:tcPr>
                  <w:tcW w:w="2298" w:type="pct"/>
                  <w:tcBorders>
                    <w:tl2br w:val="nil"/>
                    <w:tr2bl w:val="nil"/>
                  </w:tcBorders>
                  <w:shd w:val="clear" w:color="auto" w:fill="auto"/>
                  <w:noWrap w:val="0"/>
                  <w:vAlign w:val="center"/>
                </w:tcPr>
                <w:p w14:paraId="49684DB3">
                  <w:pPr>
                    <w:pStyle w:val="86"/>
                    <w:widowControl/>
                    <w:adjustRightInd w:val="0"/>
                    <w:snapToGrid w:val="0"/>
                    <w:spacing w:line="240" w:lineRule="auto"/>
                    <w:ind w:firstLine="0" w:firstLineChars="0"/>
                    <w:jc w:val="both"/>
                    <w:rPr>
                      <w:rFonts w:hint="eastAsia" w:eastAsia="宋体"/>
                      <w:b/>
                      <w:bCs/>
                      <w:color w:val="auto"/>
                      <w:sz w:val="21"/>
                      <w:lang w:val="en-US" w:eastAsia="zh-CN"/>
                    </w:rPr>
                  </w:pPr>
                  <w:r>
                    <w:rPr>
                      <w:rFonts w:hint="eastAsia" w:eastAsia="宋体"/>
                      <w:b/>
                      <w:bCs/>
                      <w:color w:val="auto"/>
                      <w:sz w:val="21"/>
                      <w:lang w:val="en-US" w:eastAsia="zh-CN"/>
                    </w:rPr>
                    <w:t>【土地资源开发效率要求】</w:t>
                  </w:r>
                </w:p>
                <w:p w14:paraId="1B26872D">
                  <w:pPr>
                    <w:pStyle w:val="86"/>
                    <w:widowControl/>
                    <w:adjustRightInd w:val="0"/>
                    <w:snapToGrid w:val="0"/>
                    <w:spacing w:line="240" w:lineRule="auto"/>
                    <w:ind w:firstLine="0" w:firstLineChars="0"/>
                    <w:jc w:val="both"/>
                    <w:rPr>
                      <w:rFonts w:hint="default" w:ascii="Times New Roman" w:hAnsi="Times New Roman" w:eastAsia="宋体" w:cs="Times New Roman"/>
                      <w:b w:val="0"/>
                      <w:color w:val="auto"/>
                      <w:sz w:val="21"/>
                      <w:szCs w:val="21"/>
                      <w:lang w:val="en-US" w:eastAsia="zh-CN"/>
                    </w:rPr>
                  </w:pPr>
                  <w:r>
                    <w:rPr>
                      <w:rFonts w:hint="eastAsia" w:eastAsia="宋体"/>
                      <w:color w:val="auto"/>
                      <w:sz w:val="21"/>
                      <w:lang w:val="en-US" w:eastAsia="zh-CN"/>
                    </w:rPr>
                    <w:t>土地资源开发利用量不得超过土地资源利用上线控制性指标。</w:t>
                  </w:r>
                </w:p>
              </w:tc>
              <w:tc>
                <w:tcPr>
                  <w:tcW w:w="676" w:type="pct"/>
                  <w:tcBorders>
                    <w:tl2br w:val="nil"/>
                    <w:tr2bl w:val="nil"/>
                  </w:tcBorders>
                  <w:shd w:val="clear" w:color="auto" w:fill="auto"/>
                  <w:noWrap w:val="0"/>
                  <w:vAlign w:val="center"/>
                </w:tcPr>
                <w:p w14:paraId="7302D86C">
                  <w:pPr>
                    <w:jc w:val="center"/>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 w:val="21"/>
                      <w:lang w:eastAsia="zh-CN"/>
                    </w:rPr>
                    <w:t>项目占地不</w:t>
                  </w:r>
                  <w:r>
                    <w:rPr>
                      <w:rFonts w:hint="eastAsia" w:eastAsia="宋体"/>
                      <w:color w:val="auto"/>
                      <w:sz w:val="21"/>
                      <w:lang w:val="en-US" w:eastAsia="zh-CN"/>
                    </w:rPr>
                    <w:t>超过土地资源利用上线控制性指标。</w:t>
                  </w:r>
                </w:p>
              </w:tc>
              <w:tc>
                <w:tcPr>
                  <w:tcW w:w="194" w:type="pct"/>
                  <w:tcBorders>
                    <w:tl2br w:val="nil"/>
                    <w:tr2bl w:val="nil"/>
                  </w:tcBorders>
                  <w:shd w:val="clear" w:color="auto" w:fill="auto"/>
                  <w:noWrap w:val="0"/>
                  <w:vAlign w:val="center"/>
                </w:tcPr>
                <w:p w14:paraId="75E662C1">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符合</w:t>
                  </w:r>
                </w:p>
              </w:tc>
            </w:tr>
            <w:tr w14:paraId="7E9AC09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restart"/>
                  <w:tcBorders>
                    <w:tl2br w:val="nil"/>
                    <w:tr2bl w:val="nil"/>
                  </w:tcBorders>
                  <w:shd w:val="clear" w:color="auto" w:fill="auto"/>
                  <w:noWrap w:val="0"/>
                  <w:vAlign w:val="center"/>
                </w:tcPr>
                <w:p w14:paraId="50C3F7E4">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YS5119222550001</w:t>
                  </w:r>
                </w:p>
              </w:tc>
              <w:tc>
                <w:tcPr>
                  <w:tcW w:w="256" w:type="pct"/>
                  <w:vMerge w:val="restart"/>
                  <w:tcBorders>
                    <w:tl2br w:val="nil"/>
                    <w:tr2bl w:val="nil"/>
                  </w:tcBorders>
                  <w:shd w:val="clear" w:color="auto" w:fill="auto"/>
                  <w:noWrap w:val="0"/>
                  <w:vAlign w:val="center"/>
                </w:tcPr>
                <w:p w14:paraId="176CFDF3">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南江县自然资源重点管控区</w:t>
                  </w:r>
                </w:p>
              </w:tc>
              <w:tc>
                <w:tcPr>
                  <w:tcW w:w="244" w:type="pct"/>
                  <w:vMerge w:val="restart"/>
                  <w:tcBorders>
                    <w:tl2br w:val="nil"/>
                    <w:tr2bl w:val="nil"/>
                  </w:tcBorders>
                  <w:shd w:val="clear" w:color="auto" w:fill="auto"/>
                  <w:noWrap w:val="0"/>
                  <w:vAlign w:val="center"/>
                </w:tcPr>
                <w:p w14:paraId="29C45367">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重点管控区</w:t>
                  </w:r>
                </w:p>
              </w:tc>
              <w:tc>
                <w:tcPr>
                  <w:tcW w:w="201" w:type="pct"/>
                  <w:vMerge w:val="restart"/>
                  <w:tcBorders>
                    <w:tl2br w:val="nil"/>
                    <w:tr2bl w:val="nil"/>
                  </w:tcBorders>
                  <w:shd w:val="clear" w:color="auto" w:fill="auto"/>
                  <w:noWrap w:val="0"/>
                  <w:vAlign w:val="center"/>
                </w:tcPr>
                <w:p w14:paraId="013D64C2">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自然资源</w:t>
                  </w:r>
                </w:p>
              </w:tc>
              <w:tc>
                <w:tcPr>
                  <w:tcW w:w="201" w:type="pct"/>
                  <w:vMerge w:val="restart"/>
                  <w:tcBorders>
                    <w:tl2br w:val="nil"/>
                    <w:tr2bl w:val="nil"/>
                  </w:tcBorders>
                  <w:shd w:val="clear" w:color="auto" w:fill="auto"/>
                  <w:noWrap w:val="0"/>
                  <w:vAlign w:val="center"/>
                </w:tcPr>
                <w:p w14:paraId="59AE8E45">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自然资源重点管控区</w:t>
                  </w:r>
                </w:p>
              </w:tc>
              <w:tc>
                <w:tcPr>
                  <w:tcW w:w="214" w:type="pct"/>
                  <w:vMerge w:val="restart"/>
                  <w:tcBorders>
                    <w:tl2br w:val="nil"/>
                    <w:tr2bl w:val="nil"/>
                  </w:tcBorders>
                  <w:shd w:val="clear" w:color="auto" w:fill="auto"/>
                  <w:noWrap w:val="0"/>
                  <w:vAlign w:val="center"/>
                </w:tcPr>
                <w:p w14:paraId="10E4E293">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巴中市南江县</w:t>
                  </w:r>
                </w:p>
              </w:tc>
              <w:tc>
                <w:tcPr>
                  <w:tcW w:w="424" w:type="pct"/>
                  <w:tcBorders>
                    <w:tl2br w:val="nil"/>
                    <w:tr2bl w:val="nil"/>
                  </w:tcBorders>
                  <w:shd w:val="clear" w:color="auto" w:fill="auto"/>
                  <w:noWrap w:val="0"/>
                  <w:vAlign w:val="center"/>
                </w:tcPr>
                <w:p w14:paraId="343B8167">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空间布局约束</w:t>
                  </w:r>
                </w:p>
              </w:tc>
              <w:tc>
                <w:tcPr>
                  <w:tcW w:w="2298" w:type="pct"/>
                  <w:tcBorders>
                    <w:tl2br w:val="nil"/>
                    <w:tr2bl w:val="nil"/>
                  </w:tcBorders>
                  <w:shd w:val="clear" w:color="auto" w:fill="auto"/>
                  <w:noWrap w:val="0"/>
                  <w:vAlign w:val="center"/>
                </w:tcPr>
                <w:p w14:paraId="55BFC267">
                  <w:pPr>
                    <w:spacing w:before="0" w:after="0"/>
                    <w:jc w:val="left"/>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49309F94">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72579121">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472D89AE">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47A3F73A">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4389E974">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480B43D3">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70B7F7F4">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67BC8DC0">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56DBD35C">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5D4049A3">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污染物排放管控</w:t>
                  </w:r>
                </w:p>
              </w:tc>
              <w:tc>
                <w:tcPr>
                  <w:tcW w:w="2298" w:type="pct"/>
                  <w:tcBorders>
                    <w:tl2br w:val="nil"/>
                    <w:tr2bl w:val="nil"/>
                  </w:tcBorders>
                  <w:shd w:val="clear" w:color="auto" w:fill="auto"/>
                  <w:noWrap w:val="0"/>
                  <w:vAlign w:val="center"/>
                </w:tcPr>
                <w:p w14:paraId="57022511">
                  <w:pPr>
                    <w:spacing w:before="0" w:after="0"/>
                    <w:jc w:val="left"/>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73573DF3">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7635CD3A">
                  <w:pPr>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443818E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28D7D489">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23ED2964">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6EBFBF93">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6641ADBF">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11530238">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7242421C">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6C6E2C56">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环境风险防控</w:t>
                  </w:r>
                </w:p>
              </w:tc>
              <w:tc>
                <w:tcPr>
                  <w:tcW w:w="2298" w:type="pct"/>
                  <w:tcBorders>
                    <w:tl2br w:val="nil"/>
                    <w:tr2bl w:val="nil"/>
                  </w:tcBorders>
                  <w:shd w:val="clear" w:color="auto" w:fill="auto"/>
                  <w:noWrap w:val="0"/>
                  <w:vAlign w:val="center"/>
                </w:tcPr>
                <w:p w14:paraId="58FB4A43">
                  <w:pPr>
                    <w:spacing w:before="0" w:after="0"/>
                    <w:jc w:val="left"/>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0616E7FB">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0EB77F09">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62DE8DC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2F060C3D">
                  <w:pPr>
                    <w:jc w:val="center"/>
                    <w:rPr>
                      <w:rFonts w:hint="default" w:ascii="Times New Roman" w:hAnsi="Times New Roman" w:eastAsia="宋体" w:cs="Times New Roman"/>
                      <w:color w:val="auto"/>
                      <w:sz w:val="21"/>
                      <w:szCs w:val="21"/>
                      <w:highlight w:val="none"/>
                    </w:rPr>
                  </w:pPr>
                </w:p>
              </w:tc>
              <w:tc>
                <w:tcPr>
                  <w:tcW w:w="256" w:type="pct"/>
                  <w:vMerge w:val="continue"/>
                  <w:tcBorders>
                    <w:tl2br w:val="nil"/>
                    <w:tr2bl w:val="nil"/>
                  </w:tcBorders>
                  <w:noWrap w:val="0"/>
                  <w:vAlign w:val="center"/>
                </w:tcPr>
                <w:p w14:paraId="4FA1E976">
                  <w:pPr>
                    <w:jc w:val="center"/>
                    <w:rPr>
                      <w:rFonts w:hint="default" w:ascii="Times New Roman" w:hAnsi="Times New Roman" w:eastAsia="宋体" w:cs="Times New Roman"/>
                      <w:color w:val="auto"/>
                      <w:sz w:val="21"/>
                      <w:szCs w:val="21"/>
                      <w:highlight w:val="none"/>
                    </w:rPr>
                  </w:pPr>
                </w:p>
              </w:tc>
              <w:tc>
                <w:tcPr>
                  <w:tcW w:w="244" w:type="pct"/>
                  <w:vMerge w:val="continue"/>
                  <w:tcBorders>
                    <w:tl2br w:val="nil"/>
                    <w:tr2bl w:val="nil"/>
                  </w:tcBorders>
                  <w:noWrap w:val="0"/>
                  <w:vAlign w:val="center"/>
                </w:tcPr>
                <w:p w14:paraId="659D7AFA">
                  <w:pPr>
                    <w:jc w:val="center"/>
                    <w:rPr>
                      <w:rFonts w:hint="default" w:ascii="Times New Roman" w:hAnsi="Times New Roman" w:eastAsia="宋体" w:cs="Times New Roman"/>
                      <w:color w:val="auto"/>
                      <w:sz w:val="21"/>
                      <w:szCs w:val="21"/>
                      <w:highlight w:val="none"/>
                    </w:rPr>
                  </w:pPr>
                </w:p>
              </w:tc>
              <w:tc>
                <w:tcPr>
                  <w:tcW w:w="201" w:type="pct"/>
                  <w:vMerge w:val="continue"/>
                  <w:tcBorders>
                    <w:tl2br w:val="nil"/>
                    <w:tr2bl w:val="nil"/>
                  </w:tcBorders>
                  <w:noWrap w:val="0"/>
                  <w:vAlign w:val="center"/>
                </w:tcPr>
                <w:p w14:paraId="4625C5E2">
                  <w:pPr>
                    <w:jc w:val="center"/>
                    <w:rPr>
                      <w:rFonts w:hint="default" w:ascii="Times New Roman" w:hAnsi="Times New Roman" w:eastAsia="宋体" w:cs="Times New Roman"/>
                      <w:color w:val="auto"/>
                      <w:sz w:val="21"/>
                      <w:szCs w:val="21"/>
                      <w:highlight w:val="none"/>
                    </w:rPr>
                  </w:pPr>
                </w:p>
              </w:tc>
              <w:tc>
                <w:tcPr>
                  <w:tcW w:w="201" w:type="pct"/>
                  <w:vMerge w:val="continue"/>
                  <w:tcBorders>
                    <w:tl2br w:val="nil"/>
                    <w:tr2bl w:val="nil"/>
                  </w:tcBorders>
                  <w:noWrap w:val="0"/>
                  <w:vAlign w:val="center"/>
                </w:tcPr>
                <w:p w14:paraId="04799881">
                  <w:pPr>
                    <w:jc w:val="center"/>
                    <w:rPr>
                      <w:rFonts w:hint="default" w:ascii="Times New Roman" w:hAnsi="Times New Roman" w:eastAsia="宋体" w:cs="Times New Roman"/>
                      <w:color w:val="auto"/>
                      <w:sz w:val="21"/>
                      <w:szCs w:val="21"/>
                      <w:highlight w:val="none"/>
                    </w:rPr>
                  </w:pPr>
                </w:p>
              </w:tc>
              <w:tc>
                <w:tcPr>
                  <w:tcW w:w="214" w:type="pct"/>
                  <w:vMerge w:val="continue"/>
                  <w:tcBorders>
                    <w:tl2br w:val="nil"/>
                    <w:tr2bl w:val="nil"/>
                  </w:tcBorders>
                  <w:noWrap w:val="0"/>
                  <w:vAlign w:val="center"/>
                </w:tcPr>
                <w:p w14:paraId="1F85F96B">
                  <w:pPr>
                    <w:jc w:val="center"/>
                    <w:rPr>
                      <w:rFonts w:hint="default" w:ascii="Times New Roman" w:hAnsi="Times New Roman" w:eastAsia="宋体" w:cs="Times New Roman"/>
                      <w:color w:val="auto"/>
                      <w:sz w:val="21"/>
                      <w:szCs w:val="21"/>
                      <w:highlight w:val="none"/>
                    </w:rPr>
                  </w:pPr>
                </w:p>
              </w:tc>
              <w:tc>
                <w:tcPr>
                  <w:tcW w:w="424" w:type="pct"/>
                  <w:tcBorders>
                    <w:tl2br w:val="nil"/>
                    <w:tr2bl w:val="nil"/>
                  </w:tcBorders>
                  <w:shd w:val="clear" w:color="auto" w:fill="auto"/>
                  <w:noWrap w:val="0"/>
                  <w:vAlign w:val="center"/>
                </w:tcPr>
                <w:p w14:paraId="6304A16F">
                  <w:pPr>
                    <w:spacing w:before="0" w:after="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color w:val="auto"/>
                      <w:sz w:val="21"/>
                      <w:szCs w:val="21"/>
                      <w:highlight w:val="none"/>
                    </w:rPr>
                    <w:t>资源开发利用效率要求</w:t>
                  </w:r>
                </w:p>
              </w:tc>
              <w:tc>
                <w:tcPr>
                  <w:tcW w:w="2298" w:type="pct"/>
                  <w:tcBorders>
                    <w:tl2br w:val="nil"/>
                    <w:tr2bl w:val="nil"/>
                  </w:tcBorders>
                  <w:shd w:val="clear" w:color="auto" w:fill="auto"/>
                  <w:noWrap w:val="0"/>
                  <w:vAlign w:val="center"/>
                </w:tcPr>
                <w:p w14:paraId="20775B21">
                  <w:pPr>
                    <w:pStyle w:val="86"/>
                    <w:widowControl/>
                    <w:adjustRightInd w:val="0"/>
                    <w:snapToGrid w:val="0"/>
                    <w:spacing w:line="240" w:lineRule="auto"/>
                    <w:ind w:firstLine="0" w:firstLineChars="0"/>
                    <w:jc w:val="both"/>
                    <w:rPr>
                      <w:rFonts w:hint="eastAsia" w:eastAsia="宋体"/>
                      <w:b/>
                      <w:bCs/>
                      <w:color w:val="auto"/>
                      <w:sz w:val="21"/>
                      <w:lang w:val="en-US" w:eastAsia="zh-CN"/>
                    </w:rPr>
                  </w:pPr>
                  <w:r>
                    <w:rPr>
                      <w:rFonts w:hint="eastAsia" w:eastAsia="宋体"/>
                      <w:b/>
                      <w:bCs/>
                      <w:color w:val="auto"/>
                      <w:sz w:val="21"/>
                      <w:lang w:val="en-US" w:eastAsia="zh-CN"/>
                    </w:rPr>
                    <w:t>【土地资源开发效率要求】</w:t>
                  </w:r>
                </w:p>
                <w:p w14:paraId="0C0FDD21">
                  <w:pPr>
                    <w:pStyle w:val="86"/>
                    <w:widowControl/>
                    <w:adjustRightInd w:val="0"/>
                    <w:snapToGrid w:val="0"/>
                    <w:spacing w:line="240" w:lineRule="auto"/>
                    <w:ind w:firstLine="0" w:firstLineChars="0"/>
                    <w:jc w:val="both"/>
                    <w:rPr>
                      <w:rFonts w:hint="default" w:ascii="Times New Roman" w:hAnsi="Times New Roman" w:eastAsia="宋体" w:cs="Times New Roman"/>
                      <w:b w:val="0"/>
                      <w:color w:val="auto"/>
                      <w:kern w:val="2"/>
                      <w:sz w:val="21"/>
                      <w:szCs w:val="21"/>
                      <w:lang w:val="en-US" w:eastAsia="zh-CN" w:bidi="ar-SA"/>
                    </w:rPr>
                  </w:pPr>
                  <w:r>
                    <w:rPr>
                      <w:rFonts w:hint="eastAsia" w:eastAsia="宋体"/>
                      <w:color w:val="auto"/>
                      <w:sz w:val="21"/>
                      <w:lang w:val="en-US" w:eastAsia="zh-CN"/>
                    </w:rPr>
                    <w:t>土地资源开发利用量不得超过土地资源利用上线控制性指标。</w:t>
                  </w:r>
                </w:p>
              </w:tc>
              <w:tc>
                <w:tcPr>
                  <w:tcW w:w="676" w:type="pct"/>
                  <w:tcBorders>
                    <w:tl2br w:val="nil"/>
                    <w:tr2bl w:val="nil"/>
                  </w:tcBorders>
                  <w:shd w:val="clear" w:color="auto" w:fill="auto"/>
                  <w:noWrap w:val="0"/>
                  <w:vAlign w:val="center"/>
                </w:tcPr>
                <w:p w14:paraId="7545D247">
                  <w:pPr>
                    <w:jc w:val="center"/>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 w:val="21"/>
                      <w:lang w:eastAsia="zh-CN"/>
                    </w:rPr>
                    <w:t>项目占地不</w:t>
                  </w:r>
                  <w:r>
                    <w:rPr>
                      <w:rFonts w:hint="eastAsia" w:eastAsia="宋体"/>
                      <w:color w:val="auto"/>
                      <w:sz w:val="21"/>
                      <w:lang w:val="en-US" w:eastAsia="zh-CN"/>
                    </w:rPr>
                    <w:t>超过土地资源利用上线控制性指标。</w:t>
                  </w:r>
                </w:p>
              </w:tc>
              <w:tc>
                <w:tcPr>
                  <w:tcW w:w="194" w:type="pct"/>
                  <w:tcBorders>
                    <w:tl2br w:val="nil"/>
                    <w:tr2bl w:val="nil"/>
                  </w:tcBorders>
                  <w:shd w:val="clear" w:color="auto" w:fill="auto"/>
                  <w:noWrap w:val="0"/>
                  <w:vAlign w:val="center"/>
                </w:tcPr>
                <w:p w14:paraId="389D927C">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符合</w:t>
                  </w:r>
                </w:p>
              </w:tc>
            </w:tr>
            <w:tr w14:paraId="1643A83D">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restart"/>
                  <w:tcBorders>
                    <w:tl2br w:val="nil"/>
                    <w:tr2bl w:val="nil"/>
                  </w:tcBorders>
                  <w:shd w:val="clear" w:color="auto" w:fill="auto"/>
                  <w:noWrap w:val="0"/>
                  <w:vAlign w:val="center"/>
                </w:tcPr>
                <w:p w14:paraId="46AE19D7">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YS5119223610001</w:t>
                  </w:r>
                </w:p>
              </w:tc>
              <w:tc>
                <w:tcPr>
                  <w:tcW w:w="256" w:type="pct"/>
                  <w:vMerge w:val="restart"/>
                  <w:tcBorders>
                    <w:tl2br w:val="nil"/>
                    <w:tr2bl w:val="nil"/>
                  </w:tcBorders>
                  <w:shd w:val="clear" w:color="auto" w:fill="auto"/>
                  <w:noWrap w:val="0"/>
                  <w:vAlign w:val="center"/>
                </w:tcPr>
                <w:p w14:paraId="12E851D6">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渠江江河湖库岸线其他区域</w:t>
                  </w:r>
                </w:p>
              </w:tc>
              <w:tc>
                <w:tcPr>
                  <w:tcW w:w="244" w:type="pct"/>
                  <w:vMerge w:val="restart"/>
                  <w:tcBorders>
                    <w:tl2br w:val="nil"/>
                    <w:tr2bl w:val="nil"/>
                  </w:tcBorders>
                  <w:shd w:val="clear" w:color="auto" w:fill="auto"/>
                  <w:noWrap w:val="0"/>
                  <w:vAlign w:val="center"/>
                </w:tcPr>
                <w:p w14:paraId="72654C2E">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一般管控区</w:t>
                  </w:r>
                </w:p>
              </w:tc>
              <w:tc>
                <w:tcPr>
                  <w:tcW w:w="201" w:type="pct"/>
                  <w:vMerge w:val="restart"/>
                  <w:tcBorders>
                    <w:tl2br w:val="nil"/>
                    <w:tr2bl w:val="nil"/>
                  </w:tcBorders>
                  <w:shd w:val="clear" w:color="auto" w:fill="auto"/>
                  <w:noWrap w:val="0"/>
                  <w:vAlign w:val="center"/>
                </w:tcPr>
                <w:p w14:paraId="11468BB1">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岸线</w:t>
                  </w:r>
                </w:p>
              </w:tc>
              <w:tc>
                <w:tcPr>
                  <w:tcW w:w="201" w:type="pct"/>
                  <w:vMerge w:val="restart"/>
                  <w:tcBorders>
                    <w:tl2br w:val="nil"/>
                    <w:tr2bl w:val="nil"/>
                  </w:tcBorders>
                  <w:shd w:val="clear" w:color="auto" w:fill="auto"/>
                  <w:noWrap w:val="0"/>
                  <w:vAlign w:val="center"/>
                </w:tcPr>
                <w:p w14:paraId="7EFDB65E">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江河湖库其他区域</w:t>
                  </w:r>
                </w:p>
              </w:tc>
              <w:tc>
                <w:tcPr>
                  <w:tcW w:w="214" w:type="pct"/>
                  <w:vMerge w:val="restart"/>
                  <w:tcBorders>
                    <w:tl2br w:val="nil"/>
                    <w:tr2bl w:val="nil"/>
                  </w:tcBorders>
                  <w:shd w:val="clear" w:color="auto" w:fill="auto"/>
                  <w:noWrap w:val="0"/>
                  <w:vAlign w:val="center"/>
                </w:tcPr>
                <w:p w14:paraId="3AE9EDAF">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巴中市南江县</w:t>
                  </w:r>
                </w:p>
              </w:tc>
              <w:tc>
                <w:tcPr>
                  <w:tcW w:w="424" w:type="pct"/>
                  <w:tcBorders>
                    <w:tl2br w:val="nil"/>
                    <w:tr2bl w:val="nil"/>
                  </w:tcBorders>
                  <w:shd w:val="clear" w:color="auto" w:fill="auto"/>
                  <w:noWrap w:val="0"/>
                  <w:vAlign w:val="center"/>
                </w:tcPr>
                <w:p w14:paraId="7E35EDFB">
                  <w:pPr>
                    <w:spacing w:before="0" w:after="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color w:val="auto"/>
                      <w:sz w:val="21"/>
                      <w:szCs w:val="21"/>
                      <w:highlight w:val="none"/>
                    </w:rPr>
                    <w:t>空间布局约束</w:t>
                  </w:r>
                </w:p>
              </w:tc>
              <w:tc>
                <w:tcPr>
                  <w:tcW w:w="2298" w:type="pct"/>
                  <w:tcBorders>
                    <w:tl2br w:val="nil"/>
                    <w:tr2bl w:val="nil"/>
                  </w:tcBorders>
                  <w:shd w:val="clear" w:color="auto" w:fill="auto"/>
                  <w:noWrap w:val="0"/>
                  <w:vAlign w:val="center"/>
                </w:tcPr>
                <w:p w14:paraId="5D6F83CA">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【禁止开发建设活动的要求】</w:t>
                  </w:r>
                </w:p>
                <w:p w14:paraId="1BAA15C4">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岸线资源一般管控区-岸线保留区:</w:t>
                  </w:r>
                </w:p>
                <w:p w14:paraId="7FB6280B">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1.对河势变化剧烈的河段，规划期内暂不开发利用。</w:t>
                  </w:r>
                </w:p>
                <w:p w14:paraId="64A61EA5">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2.保留区内涉及国家级和省级自然保护区的实验区、水产种质资源保护区、国际重要湿地、国家重要湿地以及国家湿地公园、森林公园生态保育区和核心景区、地质公园地质遗迹保护区、世界自然遗产核心区和缓冲区等生态敏感区，但未纳入生态保护红线范围内的，禁止建设与各区相应法律法规不符合的项目。</w:t>
                  </w:r>
                </w:p>
                <w:p w14:paraId="63EF7DAB">
                  <w:pPr>
                    <w:spacing w:before="0" w:after="0"/>
                    <w:jc w:val="left"/>
                    <w:rPr>
                      <w:rFonts w:hint="eastAsia" w:ascii="Times New Roman" w:hAnsi="Times New Roman" w:eastAsia="宋体" w:cs="Times New Roman"/>
                      <w:b w:val="0"/>
                      <w:color w:val="auto"/>
                      <w:sz w:val="21"/>
                      <w:szCs w:val="21"/>
                      <w:lang w:eastAsia="zh-CN"/>
                    </w:rPr>
                  </w:pPr>
                  <w:r>
                    <w:rPr>
                      <w:rFonts w:hint="eastAsia" w:ascii="Times New Roman" w:hAnsi="Times New Roman" w:eastAsia="宋体" w:cs="Times New Roman"/>
                      <w:b w:val="0"/>
                      <w:color w:val="auto"/>
                      <w:sz w:val="21"/>
                      <w:szCs w:val="21"/>
                      <w:lang w:eastAsia="zh-CN"/>
                    </w:rPr>
                    <w:t>【</w:t>
                  </w:r>
                  <w:r>
                    <w:rPr>
                      <w:rFonts w:hint="default" w:ascii="Times New Roman" w:hAnsi="Times New Roman" w:eastAsia="宋体" w:cs="Times New Roman"/>
                      <w:b w:val="0"/>
                      <w:color w:val="auto"/>
                      <w:sz w:val="21"/>
                      <w:szCs w:val="21"/>
                    </w:rPr>
                    <w:t>限制开发建设活动的要求</w:t>
                  </w:r>
                  <w:r>
                    <w:rPr>
                      <w:rFonts w:hint="eastAsia" w:ascii="Times New Roman" w:hAnsi="Times New Roman" w:eastAsia="宋体" w:cs="Times New Roman"/>
                      <w:b w:val="0"/>
                      <w:color w:val="auto"/>
                      <w:sz w:val="21"/>
                      <w:szCs w:val="21"/>
                      <w:lang w:eastAsia="zh-CN"/>
                    </w:rPr>
                    <w:t>】</w:t>
                  </w:r>
                </w:p>
                <w:p w14:paraId="7E8746C0">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岸线资源一般管控区-岸线保留区:</w:t>
                  </w:r>
                </w:p>
                <w:p w14:paraId="2C693F8E">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1.为规划工程预留的岸线保留区，因经济社会发展需要，确需开展的重要基础设施建设，在不影响规划工程未来建设以及防洪、供水、生态安全的前提下，按相关法律法规要求履行河道内建设项目相关审批程序。</w:t>
                  </w:r>
                </w:p>
                <w:p w14:paraId="233E3447">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2.为满足生活生态岸线开发需要划定的岸线保留区，除建设生态公园、江滩风光带等项目外，不得建设其他生产设施。对虽具备开发利用条件，但现状经济社会发展水平相对较低，暂无开发利用需求的岸段，今后因经济社会发展确需开发利用的，经充分论证并按照法律法规要求履行相关审批程序后，可根据所在河段实际情况并参照岸线控制利用区或开发利用区管控要求进行管理。</w:t>
                  </w:r>
                </w:p>
                <w:p w14:paraId="7815F8BA">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岸线资源一般管控区-岸线开发利用区:</w:t>
                  </w:r>
                </w:p>
                <w:p w14:paraId="2AAAE8C2">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1.符合《长江保护法》《水法》《防洪法》《环境保护法》《港口法》《航道法》《河道管理条例》等国家有关法律法规，在不影响防洪、航运安全、河势稳定、水生态环境的情况下，根据岸线保护要求和沿河（湖泊）地区经济社会发展的需要，依法依规履行水行政许可相关手续后，科学合理地开发利用。</w:t>
                  </w:r>
                </w:p>
                <w:p w14:paraId="5B0E11FF">
                  <w:pPr>
                    <w:spacing w:before="0" w:after="0"/>
                    <w:jc w:val="left"/>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2.符合依法批准的省域城镇体系规划和城市总体规划，须统筹协调与流域综合规划，防洪规划，取水口、排污口及应急水源地布局规划，航运发展规划，港口规划等相关规划的关系，充分考虑与附近已有涉水工程间的相互影响，合理布局，按照“深水深用、浅水浅用”、“节约、集约利用”的原则，提高岸线资源利用效率，充分发挥岸线资源的综合效益。</w:t>
                  </w:r>
                </w:p>
              </w:tc>
              <w:tc>
                <w:tcPr>
                  <w:tcW w:w="676" w:type="pct"/>
                  <w:tcBorders>
                    <w:tl2br w:val="nil"/>
                    <w:tr2bl w:val="nil"/>
                  </w:tcBorders>
                  <w:noWrap w:val="0"/>
                  <w:vAlign w:val="center"/>
                </w:tcPr>
                <w:p w14:paraId="74C16F22">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本项目不涉及占用岸线，不涉及</w:t>
                  </w:r>
                  <w:r>
                    <w:rPr>
                      <w:rFonts w:hint="default" w:ascii="Times New Roman" w:hAnsi="Times New Roman" w:eastAsia="宋体" w:cs="Times New Roman"/>
                      <w:b w:val="0"/>
                      <w:color w:val="auto"/>
                      <w:sz w:val="21"/>
                      <w:szCs w:val="21"/>
                    </w:rPr>
                    <w:t>国家级和省级自然保护区的实验区、水产种质资源保护区、国际重要湿地、国家重要湿地以及国家湿地公园、森林公园生态保育区和核心景区、地质公园地质遗迹保护区、世界自然遗产核心区和缓冲区等生态敏感区</w:t>
                  </w:r>
                  <w:r>
                    <w:rPr>
                      <w:rFonts w:hint="eastAsia" w:ascii="Times New Roman" w:hAnsi="Times New Roman" w:eastAsia="宋体" w:cs="Times New Roman"/>
                      <w:b w:val="0"/>
                      <w:color w:val="auto"/>
                      <w:sz w:val="21"/>
                      <w:szCs w:val="21"/>
                      <w:lang w:eastAsia="zh-CN"/>
                    </w:rPr>
                    <w:t>；项目</w:t>
                  </w:r>
                  <w:r>
                    <w:rPr>
                      <w:rFonts w:hint="eastAsia" w:ascii="宋体" w:hAnsi="宋体" w:eastAsia="宋体" w:cs="宋体"/>
                      <w:color w:val="auto"/>
                      <w:kern w:val="0"/>
                      <w:sz w:val="21"/>
                    </w:rPr>
                    <w:t>施工期废水经沉淀后回用于洒水降尘，施工人员生活污水依托周边居民已有污水处理设施处理后排入市政管网，运营期废水经预处理池处理后排入市政污水管网经关坝镇污水处理站处理达</w:t>
                  </w:r>
                  <w:r>
                    <w:rPr>
                      <w:rFonts w:ascii="宋体" w:hAnsi="宋体" w:eastAsia="宋体" w:cs="宋体"/>
                      <w:color w:val="auto"/>
                      <w:kern w:val="0"/>
                      <w:sz w:val="21"/>
                    </w:rPr>
                    <w:t>《城镇污水处理厂污染物排放标准》一级A标后排放</w:t>
                  </w:r>
                  <w:r>
                    <w:rPr>
                      <w:rFonts w:hint="eastAsia" w:ascii="宋体" w:hAnsi="宋体" w:eastAsia="宋体" w:cs="宋体"/>
                      <w:color w:val="auto"/>
                      <w:kern w:val="0"/>
                      <w:sz w:val="21"/>
                      <w:lang w:eastAsia="zh-CN"/>
                    </w:rPr>
                    <w:t>。</w:t>
                  </w:r>
                </w:p>
              </w:tc>
              <w:tc>
                <w:tcPr>
                  <w:tcW w:w="194" w:type="pct"/>
                  <w:tcBorders>
                    <w:tl2br w:val="nil"/>
                    <w:tr2bl w:val="nil"/>
                  </w:tcBorders>
                  <w:noWrap w:val="0"/>
                  <w:vAlign w:val="center"/>
                </w:tcPr>
                <w:p w14:paraId="44573F87">
                  <w:pPr>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符合</w:t>
                  </w:r>
                </w:p>
              </w:tc>
            </w:tr>
            <w:tr w14:paraId="65A71D4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5EC1FF4F">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5A77538E">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2DFFB2D3">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638ADEAB">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3720E3F2">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78566527">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2B18B64F">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污染物排放管控</w:t>
                  </w:r>
                </w:p>
              </w:tc>
              <w:tc>
                <w:tcPr>
                  <w:tcW w:w="2298" w:type="pct"/>
                  <w:tcBorders>
                    <w:tl2br w:val="nil"/>
                    <w:tr2bl w:val="nil"/>
                  </w:tcBorders>
                  <w:shd w:val="clear" w:color="auto" w:fill="auto"/>
                  <w:noWrap w:val="0"/>
                  <w:vAlign w:val="center"/>
                </w:tcPr>
                <w:p w14:paraId="4277BB75">
                  <w:pPr>
                    <w:spacing w:before="0" w:after="0"/>
                    <w:jc w:val="left"/>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027E64BC">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71D69A76">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61CC87D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726FC2A5">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5293B6C7">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4FB5F220">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4CAE016D">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707D9EE1">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50D1761B">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77835D3E">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环境风险防控</w:t>
                  </w:r>
                </w:p>
              </w:tc>
              <w:tc>
                <w:tcPr>
                  <w:tcW w:w="2298" w:type="pct"/>
                  <w:tcBorders>
                    <w:tl2br w:val="nil"/>
                    <w:tr2bl w:val="nil"/>
                  </w:tcBorders>
                  <w:shd w:val="clear" w:color="auto" w:fill="auto"/>
                  <w:noWrap w:val="0"/>
                  <w:vAlign w:val="center"/>
                </w:tcPr>
                <w:p w14:paraId="1E248FA5">
                  <w:pPr>
                    <w:spacing w:before="0" w:after="0"/>
                    <w:jc w:val="left"/>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09F1ADF2">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342CD433">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5F9EF9F2">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2087CFF9">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774998CF">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634E0F0E">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6EC42CF7">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1E8D4844">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492C022D">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34C73D65">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资源开发利用效率要求</w:t>
                  </w:r>
                </w:p>
              </w:tc>
              <w:tc>
                <w:tcPr>
                  <w:tcW w:w="2298" w:type="pct"/>
                  <w:tcBorders>
                    <w:tl2br w:val="nil"/>
                    <w:tr2bl w:val="nil"/>
                  </w:tcBorders>
                  <w:shd w:val="clear" w:color="auto" w:fill="auto"/>
                  <w:noWrap w:val="0"/>
                  <w:vAlign w:val="center"/>
                </w:tcPr>
                <w:p w14:paraId="4AF7ADFC">
                  <w:pPr>
                    <w:spacing w:before="0" w:after="0"/>
                    <w:jc w:val="left"/>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34DA4D86">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0FACC784">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29DAADD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restart"/>
                  <w:tcBorders>
                    <w:tl2br w:val="nil"/>
                    <w:tr2bl w:val="nil"/>
                  </w:tcBorders>
                  <w:shd w:val="clear" w:color="auto" w:fill="auto"/>
                  <w:noWrap w:val="0"/>
                  <w:vAlign w:val="center"/>
                </w:tcPr>
                <w:p w14:paraId="3C8C5A9F">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YS5119223110001</w:t>
                  </w:r>
                </w:p>
              </w:tc>
              <w:tc>
                <w:tcPr>
                  <w:tcW w:w="256" w:type="pct"/>
                  <w:vMerge w:val="restart"/>
                  <w:tcBorders>
                    <w:tl2br w:val="nil"/>
                    <w:tr2bl w:val="nil"/>
                  </w:tcBorders>
                  <w:shd w:val="clear" w:color="auto" w:fill="auto"/>
                  <w:noWrap w:val="0"/>
                  <w:vAlign w:val="center"/>
                </w:tcPr>
                <w:p w14:paraId="73D9C6BA">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南江县其他区域</w:t>
                  </w:r>
                </w:p>
              </w:tc>
              <w:tc>
                <w:tcPr>
                  <w:tcW w:w="244" w:type="pct"/>
                  <w:vMerge w:val="restart"/>
                  <w:tcBorders>
                    <w:tl2br w:val="nil"/>
                    <w:tr2bl w:val="nil"/>
                  </w:tcBorders>
                  <w:shd w:val="clear" w:color="auto" w:fill="auto"/>
                  <w:noWrap w:val="0"/>
                  <w:vAlign w:val="center"/>
                </w:tcPr>
                <w:p w14:paraId="5D1AB287">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一般管控区</w:t>
                  </w:r>
                </w:p>
              </w:tc>
              <w:tc>
                <w:tcPr>
                  <w:tcW w:w="201" w:type="pct"/>
                  <w:vMerge w:val="restart"/>
                  <w:tcBorders>
                    <w:tl2br w:val="nil"/>
                    <w:tr2bl w:val="nil"/>
                  </w:tcBorders>
                  <w:shd w:val="clear" w:color="auto" w:fill="auto"/>
                  <w:noWrap w:val="0"/>
                  <w:vAlign w:val="center"/>
                </w:tcPr>
                <w:p w14:paraId="33ECC084">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生态</w:t>
                  </w:r>
                </w:p>
              </w:tc>
              <w:tc>
                <w:tcPr>
                  <w:tcW w:w="201" w:type="pct"/>
                  <w:vMerge w:val="restart"/>
                  <w:tcBorders>
                    <w:tl2br w:val="nil"/>
                    <w:tr2bl w:val="nil"/>
                  </w:tcBorders>
                  <w:shd w:val="clear" w:color="auto" w:fill="auto"/>
                  <w:noWrap w:val="0"/>
                  <w:vAlign w:val="center"/>
                </w:tcPr>
                <w:p w14:paraId="430D03A4">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一般管控区</w:t>
                  </w:r>
                </w:p>
              </w:tc>
              <w:tc>
                <w:tcPr>
                  <w:tcW w:w="214" w:type="pct"/>
                  <w:vMerge w:val="restart"/>
                  <w:tcBorders>
                    <w:tl2br w:val="nil"/>
                    <w:tr2bl w:val="nil"/>
                  </w:tcBorders>
                  <w:shd w:val="clear" w:color="auto" w:fill="auto"/>
                  <w:noWrap w:val="0"/>
                  <w:vAlign w:val="center"/>
                </w:tcPr>
                <w:p w14:paraId="4B6F4A1C">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巴中市南江县</w:t>
                  </w:r>
                </w:p>
              </w:tc>
              <w:tc>
                <w:tcPr>
                  <w:tcW w:w="424" w:type="pct"/>
                  <w:tcBorders>
                    <w:tl2br w:val="nil"/>
                    <w:tr2bl w:val="nil"/>
                  </w:tcBorders>
                  <w:shd w:val="clear" w:color="auto" w:fill="auto"/>
                  <w:noWrap w:val="0"/>
                  <w:vAlign w:val="center"/>
                </w:tcPr>
                <w:p w14:paraId="55216EDE">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空间布局约束</w:t>
                  </w:r>
                </w:p>
              </w:tc>
              <w:tc>
                <w:tcPr>
                  <w:tcW w:w="2298" w:type="pct"/>
                  <w:tcBorders>
                    <w:tl2br w:val="nil"/>
                    <w:tr2bl w:val="nil"/>
                  </w:tcBorders>
                  <w:shd w:val="clear" w:color="auto" w:fill="auto"/>
                  <w:noWrap w:val="0"/>
                  <w:vAlign w:val="center"/>
                </w:tcPr>
                <w:p w14:paraId="5373E26E">
                  <w:pPr>
                    <w:spacing w:before="0" w:after="0"/>
                    <w:jc w:val="left"/>
                    <w:rPr>
                      <w:rFonts w:hint="default" w:ascii="Times New Roman" w:hAnsi="Times New Roman" w:eastAsia="宋体" w:cs="Times New Roman"/>
                      <w:b w:val="0"/>
                      <w:color w:val="auto"/>
                      <w:sz w:val="21"/>
                      <w:szCs w:val="21"/>
                      <w:lang w:val="en-US" w:eastAsia="zh-CN"/>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noWrap w:val="0"/>
                  <w:vAlign w:val="center"/>
                </w:tcPr>
                <w:p w14:paraId="54DCE169">
                  <w:pPr>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noWrap w:val="0"/>
                  <w:vAlign w:val="center"/>
                </w:tcPr>
                <w:p w14:paraId="27EF557B">
                  <w:pPr>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r>
            <w:tr w14:paraId="5D3DB09F">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3B3DED46">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330008CD">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5F6791C1">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3956CCD0">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646F9A11">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0DE43DA3">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793A9507">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污染物排放管控</w:t>
                  </w:r>
                </w:p>
              </w:tc>
              <w:tc>
                <w:tcPr>
                  <w:tcW w:w="2298" w:type="pct"/>
                  <w:tcBorders>
                    <w:tl2br w:val="nil"/>
                    <w:tr2bl w:val="nil"/>
                  </w:tcBorders>
                  <w:shd w:val="clear" w:color="auto" w:fill="auto"/>
                  <w:noWrap w:val="0"/>
                  <w:vAlign w:val="center"/>
                </w:tcPr>
                <w:p w14:paraId="6DA10CB1">
                  <w:pPr>
                    <w:spacing w:before="0" w:after="0"/>
                    <w:jc w:val="left"/>
                    <w:rPr>
                      <w:rFonts w:hint="default" w:ascii="Times New Roman" w:hAnsi="Times New Roman" w:eastAsia="宋体" w:cs="Times New Roman"/>
                      <w:b w:val="0"/>
                      <w:color w:val="auto"/>
                      <w:sz w:val="21"/>
                      <w:szCs w:val="21"/>
                      <w:lang w:val="en-US" w:eastAsia="zh-CN"/>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750D32A0">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70210199">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135BD7A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2C67E4FA">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3A6EAAF4">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4CC1EB59">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789D11BE">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53E70138">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2214F493">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463CF3F9">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环境风险防控</w:t>
                  </w:r>
                </w:p>
              </w:tc>
              <w:tc>
                <w:tcPr>
                  <w:tcW w:w="2298" w:type="pct"/>
                  <w:tcBorders>
                    <w:tl2br w:val="nil"/>
                    <w:tr2bl w:val="nil"/>
                  </w:tcBorders>
                  <w:shd w:val="clear" w:color="auto" w:fill="auto"/>
                  <w:noWrap w:val="0"/>
                  <w:vAlign w:val="center"/>
                </w:tcPr>
                <w:p w14:paraId="61CEDB59">
                  <w:pPr>
                    <w:spacing w:before="0" w:after="0"/>
                    <w:jc w:val="left"/>
                    <w:rPr>
                      <w:rFonts w:hint="default" w:ascii="Times New Roman" w:hAnsi="Times New Roman" w:eastAsia="宋体" w:cs="Times New Roman"/>
                      <w:b w:val="0"/>
                      <w:color w:val="auto"/>
                      <w:sz w:val="21"/>
                      <w:szCs w:val="21"/>
                      <w:lang w:val="en-US" w:eastAsia="zh-CN"/>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055C3F12">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64E30631">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15596352">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242E9B3B">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05091D0B">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0DDE0A78">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45C5F513">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70E96DEE">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1197447F">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4B6B4666">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资源开发利用效率要求</w:t>
                  </w:r>
                </w:p>
              </w:tc>
              <w:tc>
                <w:tcPr>
                  <w:tcW w:w="2298" w:type="pct"/>
                  <w:tcBorders>
                    <w:tl2br w:val="nil"/>
                    <w:tr2bl w:val="nil"/>
                  </w:tcBorders>
                  <w:shd w:val="clear" w:color="auto" w:fill="auto"/>
                  <w:noWrap w:val="0"/>
                  <w:vAlign w:val="center"/>
                </w:tcPr>
                <w:p w14:paraId="083209E1">
                  <w:pPr>
                    <w:spacing w:before="0" w:after="0"/>
                    <w:jc w:val="left"/>
                    <w:rPr>
                      <w:rFonts w:hint="default" w:ascii="Times New Roman" w:hAnsi="Times New Roman" w:eastAsia="宋体" w:cs="Times New Roman"/>
                      <w:b w:val="0"/>
                      <w:color w:val="auto"/>
                      <w:sz w:val="21"/>
                      <w:szCs w:val="21"/>
                      <w:lang w:val="en-US" w:eastAsia="zh-CN"/>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noWrap w:val="0"/>
                  <w:vAlign w:val="center"/>
                </w:tcPr>
                <w:p w14:paraId="5FE50A9E">
                  <w:pPr>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noWrap w:val="0"/>
                  <w:vAlign w:val="center"/>
                </w:tcPr>
                <w:p w14:paraId="621D3A36">
                  <w:pPr>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r>
            <w:tr w14:paraId="7ABF5A1E">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restart"/>
                  <w:tcBorders>
                    <w:tl2br w:val="nil"/>
                    <w:tr2bl w:val="nil"/>
                  </w:tcBorders>
                  <w:shd w:val="clear" w:color="auto" w:fill="auto"/>
                  <w:noWrap w:val="0"/>
                  <w:vAlign w:val="center"/>
                </w:tcPr>
                <w:p w14:paraId="0EBDC392">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YS5119222340001</w:t>
                  </w:r>
                </w:p>
              </w:tc>
              <w:tc>
                <w:tcPr>
                  <w:tcW w:w="256" w:type="pct"/>
                  <w:vMerge w:val="restart"/>
                  <w:tcBorders>
                    <w:tl2br w:val="nil"/>
                    <w:tr2bl w:val="nil"/>
                  </w:tcBorders>
                  <w:shd w:val="clear" w:color="auto" w:fill="auto"/>
                  <w:noWrap w:val="0"/>
                  <w:vAlign w:val="center"/>
                </w:tcPr>
                <w:p w14:paraId="6DA1DB1F">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南江县城镇集中建设区</w:t>
                  </w:r>
                </w:p>
              </w:tc>
              <w:tc>
                <w:tcPr>
                  <w:tcW w:w="244" w:type="pct"/>
                  <w:vMerge w:val="restart"/>
                  <w:tcBorders>
                    <w:tl2br w:val="nil"/>
                    <w:tr2bl w:val="nil"/>
                  </w:tcBorders>
                  <w:shd w:val="clear" w:color="auto" w:fill="auto"/>
                  <w:noWrap w:val="0"/>
                  <w:vAlign w:val="center"/>
                </w:tcPr>
                <w:p w14:paraId="59292559">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重点管控区</w:t>
                  </w:r>
                </w:p>
              </w:tc>
              <w:tc>
                <w:tcPr>
                  <w:tcW w:w="201" w:type="pct"/>
                  <w:vMerge w:val="restart"/>
                  <w:tcBorders>
                    <w:tl2br w:val="nil"/>
                    <w:tr2bl w:val="nil"/>
                  </w:tcBorders>
                  <w:shd w:val="clear" w:color="auto" w:fill="auto"/>
                  <w:noWrap w:val="0"/>
                  <w:vAlign w:val="center"/>
                </w:tcPr>
                <w:p w14:paraId="6E3D05F5">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大气</w:t>
                  </w:r>
                </w:p>
              </w:tc>
              <w:tc>
                <w:tcPr>
                  <w:tcW w:w="201" w:type="pct"/>
                  <w:vMerge w:val="restart"/>
                  <w:tcBorders>
                    <w:tl2br w:val="nil"/>
                    <w:tr2bl w:val="nil"/>
                  </w:tcBorders>
                  <w:shd w:val="clear" w:color="auto" w:fill="auto"/>
                  <w:noWrap w:val="0"/>
                  <w:vAlign w:val="center"/>
                </w:tcPr>
                <w:p w14:paraId="43E79862">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大气环境受体敏感重点管控区</w:t>
                  </w:r>
                </w:p>
              </w:tc>
              <w:tc>
                <w:tcPr>
                  <w:tcW w:w="214" w:type="pct"/>
                  <w:vMerge w:val="restart"/>
                  <w:tcBorders>
                    <w:tl2br w:val="nil"/>
                    <w:tr2bl w:val="nil"/>
                  </w:tcBorders>
                  <w:shd w:val="clear" w:color="auto" w:fill="auto"/>
                  <w:noWrap w:val="0"/>
                  <w:vAlign w:val="center"/>
                </w:tcPr>
                <w:p w14:paraId="76EF4743">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巴中市南江县</w:t>
                  </w:r>
                </w:p>
              </w:tc>
              <w:tc>
                <w:tcPr>
                  <w:tcW w:w="424" w:type="pct"/>
                  <w:tcBorders>
                    <w:tl2br w:val="nil"/>
                    <w:tr2bl w:val="nil"/>
                  </w:tcBorders>
                  <w:shd w:val="clear" w:color="auto" w:fill="auto"/>
                  <w:noWrap w:val="0"/>
                  <w:vAlign w:val="center"/>
                </w:tcPr>
                <w:p w14:paraId="7F7EA802">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空间布局约束</w:t>
                  </w:r>
                </w:p>
              </w:tc>
              <w:tc>
                <w:tcPr>
                  <w:tcW w:w="2298" w:type="pct"/>
                  <w:tcBorders>
                    <w:tl2br w:val="nil"/>
                    <w:tr2bl w:val="nil"/>
                  </w:tcBorders>
                  <w:shd w:val="clear" w:color="auto" w:fill="auto"/>
                  <w:noWrap w:val="0"/>
                  <w:vAlign w:val="center"/>
                </w:tcPr>
                <w:p w14:paraId="79F33AF9">
                  <w:pPr>
                    <w:spacing w:before="0" w:after="0"/>
                    <w:jc w:val="left"/>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78E4A20F">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413C4F79">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703A334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79B23696">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53F3D4A5">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12A0EB1F">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62ACCB80">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6E27C972">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685C43E6">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59871613">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污染物排放管控</w:t>
                  </w:r>
                </w:p>
              </w:tc>
              <w:tc>
                <w:tcPr>
                  <w:tcW w:w="2298" w:type="pct"/>
                  <w:tcBorders>
                    <w:tl2br w:val="nil"/>
                    <w:tr2bl w:val="nil"/>
                  </w:tcBorders>
                  <w:shd w:val="clear" w:color="auto" w:fill="auto"/>
                  <w:noWrap w:val="0"/>
                  <w:vAlign w:val="center"/>
                </w:tcPr>
                <w:p w14:paraId="40A1907C">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【新增源排放标准限值】</w:t>
                  </w:r>
                </w:p>
                <w:p w14:paraId="1686E29D">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加大新能源汽车在城市公交、出租汽车、城市配送、邮政快递、机场、铁路货场、重点地区港口等领域应用，地级以上城市清洁能源汽车在公共领域使用率显著提升，设区的市城市公交车基本实现新能源化。</w:t>
                  </w:r>
                </w:p>
                <w:p w14:paraId="2D6F9421">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【污染物排放绩效水平准入要求】</w:t>
                  </w:r>
                </w:p>
                <w:p w14:paraId="5293E861">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全面落实各类施工工地扬尘防控措施，重点、重大项目工地实现视频监控、可吸入颗粒物（PM</w:t>
                  </w:r>
                  <w:r>
                    <w:rPr>
                      <w:rFonts w:hint="default" w:ascii="Times New Roman" w:hAnsi="Times New Roman" w:eastAsia="宋体" w:cs="Times New Roman"/>
                      <w:b w:val="0"/>
                      <w:color w:val="auto"/>
                      <w:sz w:val="21"/>
                      <w:szCs w:val="21"/>
                      <w:vertAlign w:val="subscript"/>
                    </w:rPr>
                    <w:t>10</w:t>
                  </w:r>
                  <w:r>
                    <w:rPr>
                      <w:rFonts w:hint="default" w:ascii="Times New Roman" w:hAnsi="Times New Roman" w:eastAsia="宋体" w:cs="Times New Roman"/>
                      <w:b w:val="0"/>
                      <w:color w:val="auto"/>
                      <w:sz w:val="21"/>
                      <w:szCs w:val="21"/>
                    </w:rPr>
                    <w:t>）在线监测全覆盖。</w:t>
                  </w:r>
                </w:p>
                <w:p w14:paraId="6A12A2FC">
                  <w:pPr>
                    <w:pStyle w:val="86"/>
                    <w:widowControl/>
                    <w:adjustRightInd w:val="0"/>
                    <w:snapToGrid w:val="0"/>
                    <w:spacing w:line="240" w:lineRule="auto"/>
                    <w:ind w:firstLine="0" w:firstLineChars="0"/>
                    <w:jc w:val="both"/>
                    <w:rPr>
                      <w:rFonts w:hint="eastAsia" w:eastAsia="宋体"/>
                      <w:b w:val="0"/>
                      <w:bCs w:val="0"/>
                      <w:color w:val="auto"/>
                      <w:sz w:val="21"/>
                      <w:lang w:eastAsia="zh-CN"/>
                    </w:rPr>
                  </w:pPr>
                  <w:r>
                    <w:rPr>
                      <w:rFonts w:hint="eastAsia" w:eastAsia="宋体"/>
                      <w:b w:val="0"/>
                      <w:bCs w:val="0"/>
                      <w:color w:val="auto"/>
                      <w:sz w:val="21"/>
                      <w:lang w:eastAsia="zh-CN"/>
                    </w:rPr>
                    <w:t>【</w:t>
                  </w:r>
                  <w:r>
                    <w:rPr>
                      <w:rFonts w:hint="eastAsia" w:eastAsia="宋体"/>
                      <w:b w:val="0"/>
                      <w:bCs w:val="0"/>
                      <w:color w:val="auto"/>
                      <w:sz w:val="21"/>
                    </w:rPr>
                    <w:t>其他大气污染物排放管控要求</w:t>
                  </w:r>
                  <w:r>
                    <w:rPr>
                      <w:rFonts w:hint="eastAsia" w:eastAsia="宋体"/>
                      <w:b w:val="0"/>
                      <w:bCs w:val="0"/>
                      <w:color w:val="auto"/>
                      <w:sz w:val="21"/>
                      <w:lang w:eastAsia="zh-CN"/>
                    </w:rPr>
                    <w:t>】</w:t>
                  </w:r>
                </w:p>
                <w:p w14:paraId="062A3962">
                  <w:pPr>
                    <w:spacing w:before="0" w:after="0"/>
                    <w:jc w:val="left"/>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bCs w:val="0"/>
                      <w:color w:val="auto"/>
                      <w:sz w:val="21"/>
                      <w:szCs w:val="21"/>
                    </w:rPr>
                    <w:t>有序开展城市生活源VOCs污染防治，全面推广房屋建筑和市政工程涉VOCs工序环节使用低VOCs含量</w:t>
                  </w:r>
                  <w:r>
                    <w:rPr>
                      <w:rFonts w:hint="default" w:ascii="Times New Roman" w:hAnsi="Times New Roman" w:eastAsia="宋体" w:cs="Times New Roman"/>
                      <w:b w:val="0"/>
                      <w:color w:val="auto"/>
                      <w:sz w:val="21"/>
                      <w:szCs w:val="21"/>
                    </w:rPr>
                    <w:t>涂料和胶粘剂；推进加油站按照《四川省加油站大气污染排放标准》要求安装油气处理装置</w:t>
                  </w:r>
                  <w:r>
                    <w:rPr>
                      <w:rFonts w:hint="eastAsia" w:ascii="Times New Roman" w:hAnsi="Times New Roman" w:eastAsia="宋体" w:cs="Times New Roman"/>
                      <w:b w:val="0"/>
                      <w:color w:val="auto"/>
                      <w:sz w:val="21"/>
                      <w:szCs w:val="21"/>
                      <w:lang w:eastAsia="zh-CN"/>
                    </w:rPr>
                    <w:t>。</w:t>
                  </w:r>
                </w:p>
              </w:tc>
              <w:tc>
                <w:tcPr>
                  <w:tcW w:w="676" w:type="pct"/>
                  <w:tcBorders>
                    <w:tl2br w:val="nil"/>
                    <w:tr2bl w:val="nil"/>
                  </w:tcBorders>
                  <w:shd w:val="clear" w:color="auto" w:fill="auto"/>
                  <w:noWrap w:val="0"/>
                  <w:vAlign w:val="center"/>
                </w:tcPr>
                <w:p w14:paraId="53B0A246">
                  <w:pPr>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lang w:eastAsia="zh-CN"/>
                    </w:rPr>
                    <w:t>项目施工期落实各项扬尘防控措施。项目</w:t>
                  </w:r>
                  <w:r>
                    <w:rPr>
                      <w:rFonts w:hint="eastAsia" w:eastAsia="宋体"/>
                      <w:color w:val="auto"/>
                      <w:sz w:val="21"/>
                    </w:rPr>
                    <w:t>房屋</w:t>
                  </w:r>
                  <w:r>
                    <w:rPr>
                      <w:rFonts w:hint="eastAsia"/>
                      <w:color w:val="auto"/>
                      <w:sz w:val="21"/>
                      <w:lang w:eastAsia="zh-CN"/>
                    </w:rPr>
                    <w:t>修建过程使用</w:t>
                  </w:r>
                  <w:r>
                    <w:rPr>
                      <w:rFonts w:hint="eastAsia" w:eastAsia="宋体"/>
                      <w:color w:val="auto"/>
                      <w:sz w:val="21"/>
                    </w:rPr>
                    <w:t>低VOCs含量涂料和胶粘剂</w:t>
                  </w:r>
                  <w:r>
                    <w:rPr>
                      <w:rFonts w:hint="eastAsia"/>
                      <w:color w:val="auto"/>
                      <w:sz w:val="21"/>
                      <w:lang w:eastAsia="zh-CN"/>
                    </w:rPr>
                    <w:t>。</w:t>
                  </w:r>
                </w:p>
              </w:tc>
              <w:tc>
                <w:tcPr>
                  <w:tcW w:w="194" w:type="pct"/>
                  <w:tcBorders>
                    <w:tl2br w:val="nil"/>
                    <w:tr2bl w:val="nil"/>
                  </w:tcBorders>
                  <w:shd w:val="clear" w:color="auto" w:fill="auto"/>
                  <w:noWrap w:val="0"/>
                  <w:vAlign w:val="center"/>
                </w:tcPr>
                <w:p w14:paraId="34EA0220">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符合</w:t>
                  </w:r>
                </w:p>
              </w:tc>
            </w:tr>
            <w:tr w14:paraId="7A95E02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4B5747DA">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4171E27D">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6CFA6246">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20FA9C9C">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56BDE8BA">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48BBA7C8">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398EB739">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环境风险防控</w:t>
                  </w:r>
                </w:p>
              </w:tc>
              <w:tc>
                <w:tcPr>
                  <w:tcW w:w="2298" w:type="pct"/>
                  <w:tcBorders>
                    <w:tl2br w:val="nil"/>
                    <w:tr2bl w:val="nil"/>
                  </w:tcBorders>
                  <w:shd w:val="clear" w:color="auto" w:fill="auto"/>
                  <w:noWrap w:val="0"/>
                  <w:vAlign w:val="center"/>
                </w:tcPr>
                <w:p w14:paraId="27BD6441">
                  <w:pPr>
                    <w:spacing w:before="0" w:after="0"/>
                    <w:jc w:val="left"/>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53B14CA7">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31CCE920">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31516F9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503CFF9D">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681B92C6">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0549AE57">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305C734C">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7B4F07B8">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52E9593D">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5519577D">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资源开发利用效率要求</w:t>
                  </w:r>
                </w:p>
              </w:tc>
              <w:tc>
                <w:tcPr>
                  <w:tcW w:w="2298" w:type="pct"/>
                  <w:tcBorders>
                    <w:tl2br w:val="nil"/>
                    <w:tr2bl w:val="nil"/>
                  </w:tcBorders>
                  <w:shd w:val="clear" w:color="auto" w:fill="auto"/>
                  <w:noWrap w:val="0"/>
                  <w:vAlign w:val="center"/>
                </w:tcPr>
                <w:p w14:paraId="1B79B9BA">
                  <w:pPr>
                    <w:spacing w:before="0" w:after="0"/>
                    <w:jc w:val="left"/>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4C3755A1">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2929E09B">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bl>
          <w:p w14:paraId="1606148F">
            <w:pPr>
              <w:adjustRightInd w:val="0"/>
              <w:snapToGrid w:val="0"/>
              <w:spacing w:line="360" w:lineRule="auto"/>
              <w:ind w:firstLine="480" w:firstLineChars="200"/>
              <w:rPr>
                <w:b/>
                <w:color w:val="auto"/>
                <w:sz w:val="24"/>
              </w:rPr>
            </w:pPr>
            <w:r>
              <w:rPr>
                <w:color w:val="auto"/>
                <w:sz w:val="24"/>
              </w:rPr>
              <w:t>本项目</w:t>
            </w:r>
            <w:r>
              <w:rPr>
                <w:rFonts w:hint="eastAsia"/>
                <w:color w:val="auto"/>
                <w:sz w:val="24"/>
              </w:rPr>
              <w:t>主要开展房地产开发活动，</w:t>
            </w:r>
            <w:r>
              <w:rPr>
                <w:color w:val="auto"/>
                <w:sz w:val="24"/>
              </w:rPr>
              <w:t>项目相关建设内容符合管控单元的普适性清单和单元级清单要求。</w:t>
            </w:r>
          </w:p>
          <w:p w14:paraId="27C0FA12">
            <w:pPr>
              <w:pStyle w:val="12"/>
              <w:adjustRightInd w:val="0"/>
              <w:snapToGrid w:val="0"/>
              <w:spacing w:before="0" w:line="360" w:lineRule="auto"/>
              <w:ind w:firstLine="482" w:firstLineChars="200"/>
              <w:rPr>
                <w:rFonts w:ascii="Times New Roman" w:hAnsi="Times New Roman"/>
                <w:b/>
                <w:color w:val="auto"/>
                <w:szCs w:val="24"/>
              </w:rPr>
            </w:pPr>
            <w:r>
              <w:rPr>
                <w:rFonts w:ascii="Times New Roman" w:hAnsi="Times New Roman"/>
                <w:b/>
                <w:color w:val="auto"/>
                <w:szCs w:val="24"/>
              </w:rPr>
              <w:t>综上分析，本项目与“</w:t>
            </w:r>
            <w:r>
              <w:rPr>
                <w:rFonts w:hint="eastAsia"/>
                <w:b/>
                <w:color w:val="auto"/>
                <w:sz w:val="24"/>
                <w:lang w:eastAsia="zh-CN"/>
              </w:rPr>
              <w:t>生态环境分区管控</w:t>
            </w:r>
            <w:r>
              <w:rPr>
                <w:rFonts w:ascii="Times New Roman" w:hAnsi="Times New Roman"/>
                <w:b/>
                <w:color w:val="auto"/>
                <w:szCs w:val="24"/>
              </w:rPr>
              <w:t>”相关管控要求相符。</w:t>
            </w:r>
          </w:p>
          <w:p w14:paraId="4D1779FB">
            <w:pPr>
              <w:pStyle w:val="12"/>
              <w:numPr>
                <w:ilvl w:val="0"/>
                <w:numId w:val="5"/>
              </w:numPr>
              <w:adjustRightInd w:val="0"/>
              <w:snapToGrid w:val="0"/>
              <w:spacing w:before="0" w:line="360" w:lineRule="auto"/>
              <w:ind w:firstLine="482" w:firstLineChars="200"/>
              <w:rPr>
                <w:rFonts w:hint="eastAsia" w:ascii="Times New Roman" w:hAnsi="Times New Roman"/>
                <w:b/>
                <w:color w:val="auto"/>
                <w:szCs w:val="24"/>
                <w:highlight w:val="none"/>
                <w:lang w:eastAsia="zh-CN"/>
              </w:rPr>
            </w:pPr>
            <w:r>
              <w:rPr>
                <w:rFonts w:hint="eastAsia" w:ascii="Times New Roman" w:hAnsi="Times New Roman"/>
                <w:b/>
                <w:color w:val="auto"/>
                <w:szCs w:val="24"/>
                <w:highlight w:val="none"/>
                <w:lang w:eastAsia="zh-CN"/>
              </w:rPr>
              <w:t>焦家河重口裂腹鱼国家级水产种质资源保护区</w:t>
            </w:r>
          </w:p>
          <w:p w14:paraId="54F99922">
            <w:pPr>
              <w:pStyle w:val="12"/>
              <w:numPr>
                <w:ilvl w:val="0"/>
                <w:numId w:val="0"/>
              </w:numPr>
              <w:adjustRightInd w:val="0"/>
              <w:snapToGrid w:val="0"/>
              <w:spacing w:before="0" w:line="360" w:lineRule="auto"/>
              <w:ind w:firstLine="480" w:firstLineChars="200"/>
              <w:rPr>
                <w:rFonts w:hint="default" w:ascii="Times New Roman" w:hAnsi="Times New Roman" w:eastAsia="宋体" w:cs="Times New Roman"/>
                <w:color w:val="auto"/>
                <w:kern w:val="2"/>
                <w:sz w:val="24"/>
                <w:szCs w:val="24"/>
                <w:highlight w:val="none"/>
                <w:lang w:val="zh-CN" w:eastAsia="zh-CN" w:bidi="ar-SA"/>
              </w:rPr>
            </w:pPr>
            <w:r>
              <w:rPr>
                <w:rFonts w:hint="default" w:ascii="Times New Roman" w:hAnsi="Times New Roman" w:eastAsia="宋体" w:cs="Times New Roman"/>
                <w:color w:val="auto"/>
                <w:kern w:val="2"/>
                <w:sz w:val="24"/>
                <w:szCs w:val="24"/>
                <w:highlight w:val="none"/>
                <w:lang w:val="zh-CN" w:eastAsia="zh-CN" w:bidi="ar-SA"/>
              </w:rPr>
              <w:t>（1）基本情况</w:t>
            </w:r>
          </w:p>
          <w:p w14:paraId="1EB35F53">
            <w:pPr>
              <w:pStyle w:val="12"/>
              <w:adjustRightInd w:val="0"/>
              <w:snapToGrid w:val="0"/>
              <w:spacing w:before="0" w:line="360" w:lineRule="auto"/>
              <w:ind w:firstLine="480" w:firstLineChars="200"/>
              <w:rPr>
                <w:rFonts w:hint="default" w:ascii="Times New Roman" w:hAnsi="Times New Roman" w:eastAsia="宋体" w:cs="Times New Roman"/>
                <w:color w:val="auto"/>
                <w:kern w:val="2"/>
                <w:sz w:val="24"/>
                <w:szCs w:val="24"/>
                <w:highlight w:val="none"/>
                <w:lang w:val="zh-CN" w:eastAsia="zh-CN" w:bidi="ar-SA"/>
              </w:rPr>
            </w:pPr>
            <w:r>
              <w:rPr>
                <w:rFonts w:hint="default" w:ascii="Times New Roman" w:hAnsi="Times New Roman" w:eastAsia="宋体" w:cs="Times New Roman"/>
                <w:color w:val="auto"/>
                <w:kern w:val="2"/>
                <w:sz w:val="24"/>
                <w:szCs w:val="24"/>
                <w:highlight w:val="none"/>
                <w:lang w:val="zh-CN" w:eastAsia="zh-CN" w:bidi="ar-SA"/>
              </w:rPr>
              <w:t>焦家河重口裂腹鱼国家级水产种质资源保护区于2011年12月8日由农业部以第1684号公告批准建立。保护区总面积1419公顷，其中核心区面积618 公顷，实验区面积801公顷。特别保护期为全年。保护区位于巴中市南江县境内，属嘉陵江左岸支流东河上游，当地称焦家河。范围在东经106°40′58″—106°58′34″，北纬 32°37′55″—32°43′01″之间。该段焦家河流经光雾山镇映水坝—桃园寺—光雾山镇—两河口—白头滩，支流韩溪河截贤驿—两河口，支流铁炉坝—光雾山镇，支流魏家坝—桃园寺，全长71.3km。其中核心区包括2段，即光雾山镇（106°48′07″E，32°40′08″N）—白头滩（106°40′58″E，32°39′20″N），长25km；支流截贤驿（106°46′32″E，32°41′15″N）—两河口（106°46′06″E，32°40′28″N），长6km，核心区全长31km。实验区包括3段，即映水坝（106°58′34″E，32°40′15″N）—光雾山镇（106°48′07″E，32°40′08″N），长21.3km；支流铁炉坝（106°51′23″E，32°43′01″N）—光雾山镇（106°48′07″E，32°40′08″N），长11km；支流魏家坝（106°50′13″E，32°37′55″N）—桃园寺（106°48′30″E，32°40′02″N），长 8km，实验区全长40.3km。主要保护对象为重口裂腹鱼、大鲵、龙洞山溪鲵、南江角蟾，保护的其它物种包括南方鲇、鳜、黄颡鱼、中华倒刺鲃、白甲鱼、华鲮、鲤、鲫等。</w:t>
            </w:r>
          </w:p>
          <w:p w14:paraId="62231C1E">
            <w:pPr>
              <w:pStyle w:val="12"/>
              <w:adjustRightInd w:val="0"/>
              <w:snapToGrid w:val="0"/>
              <w:spacing w:before="0" w:line="360" w:lineRule="auto"/>
              <w:ind w:firstLine="480" w:firstLineChars="200"/>
              <w:rPr>
                <w:rFonts w:hint="eastAsia" w:ascii="Times New Roman" w:hAnsi="Times New Roman" w:eastAsia="宋体" w:cs="Times New Roman"/>
                <w:color w:val="auto"/>
                <w:kern w:val="2"/>
                <w:sz w:val="24"/>
                <w:szCs w:val="24"/>
                <w:highlight w:val="none"/>
                <w:lang w:val="zh-CN" w:eastAsia="zh-CN" w:bidi="ar-SA"/>
              </w:rPr>
            </w:pPr>
            <w:r>
              <w:rPr>
                <w:rFonts w:hint="eastAsia" w:ascii="Times New Roman" w:hAnsi="Times New Roman" w:eastAsia="宋体" w:cs="Times New Roman"/>
                <w:color w:val="auto"/>
                <w:kern w:val="2"/>
                <w:sz w:val="24"/>
                <w:szCs w:val="24"/>
                <w:highlight w:val="none"/>
                <w:lang w:val="zh-CN" w:eastAsia="zh-CN" w:bidi="ar-SA"/>
              </w:rPr>
              <w:t>根据焦家河重口裂腹鱼国家级水产种质资源保护区管理条例：禁止在水产种质资源保护区内新建排污口。在水产种质资源保护区附近新建、改建、扩建排污口，应当保证保护区水体不受污染。本项目施工期产生的施工废水经沉淀后循环利用，生活污水利用现有设施进行处理；运营期产生的生活污水经关坝镇污水处理站处理后达标排放至南江，本项目不建设排污口；与其管理规定相符。</w:t>
            </w:r>
          </w:p>
          <w:p w14:paraId="4E4F9774">
            <w:pPr>
              <w:pStyle w:val="12"/>
              <w:adjustRightInd w:val="0"/>
              <w:snapToGrid w:val="0"/>
              <w:spacing w:before="0" w:line="360" w:lineRule="auto"/>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zh-CN" w:eastAsia="zh-CN" w:bidi="ar-SA"/>
              </w:rPr>
              <w:t>本项目位于南江县关坝镇，与焦家河重口裂腹鱼国家级水产种质资源保护区实验区最近距离为</w:t>
            </w:r>
            <w:r>
              <w:rPr>
                <w:rFonts w:hint="eastAsia" w:ascii="Times New Roman" w:hAnsi="Times New Roman" w:eastAsia="宋体" w:cs="Times New Roman"/>
                <w:color w:val="auto"/>
                <w:kern w:val="2"/>
                <w:sz w:val="24"/>
                <w:szCs w:val="24"/>
                <w:highlight w:val="none"/>
                <w:lang w:val="en-US" w:eastAsia="zh-CN" w:bidi="ar-SA"/>
              </w:rPr>
              <w:t>7.</w:t>
            </w:r>
            <w:r>
              <w:rPr>
                <w:rFonts w:hint="eastAsia" w:ascii="Times New Roman" w:hAnsi="Times New Roman" w:cs="Times New Roman"/>
                <w:color w:val="auto"/>
                <w:kern w:val="2"/>
                <w:sz w:val="24"/>
                <w:szCs w:val="24"/>
                <w:highlight w:val="none"/>
                <w:lang w:val="en-US" w:eastAsia="zh-CN" w:bidi="ar-SA"/>
              </w:rPr>
              <w:t>2</w:t>
            </w:r>
            <w:r>
              <w:rPr>
                <w:rFonts w:hint="eastAsia" w:ascii="Times New Roman" w:hAnsi="Times New Roman" w:eastAsia="宋体" w:cs="Times New Roman"/>
                <w:color w:val="auto"/>
                <w:kern w:val="2"/>
                <w:sz w:val="24"/>
                <w:szCs w:val="24"/>
                <w:highlight w:val="none"/>
                <w:lang w:val="en-US" w:eastAsia="zh-CN" w:bidi="ar-SA"/>
              </w:rPr>
              <w:t>km，与其核心区最近距离为16.</w:t>
            </w:r>
            <w:r>
              <w:rPr>
                <w:rFonts w:hint="eastAsia" w:ascii="Times New Roman" w:hAnsi="Times New Roman" w:cs="Times New Roman"/>
                <w:color w:val="auto"/>
                <w:kern w:val="2"/>
                <w:sz w:val="24"/>
                <w:szCs w:val="24"/>
                <w:highlight w:val="none"/>
                <w:lang w:val="en-US" w:eastAsia="zh-CN" w:bidi="ar-SA"/>
              </w:rPr>
              <w:t>8</w:t>
            </w:r>
            <w:r>
              <w:rPr>
                <w:rFonts w:hint="eastAsia" w:ascii="Times New Roman" w:hAnsi="Times New Roman" w:eastAsia="宋体" w:cs="Times New Roman"/>
                <w:color w:val="auto"/>
                <w:kern w:val="2"/>
                <w:sz w:val="24"/>
                <w:szCs w:val="24"/>
                <w:highlight w:val="none"/>
                <w:lang w:val="en-US" w:eastAsia="zh-CN" w:bidi="ar-SA"/>
              </w:rPr>
              <w:t>km（位置关系见附图</w:t>
            </w:r>
            <w:r>
              <w:rPr>
                <w:rFonts w:hint="eastAsia" w:ascii="Times New Roman" w:hAnsi="Times New Roman" w:cs="Times New Roman"/>
                <w:color w:val="auto"/>
                <w:kern w:val="2"/>
                <w:sz w:val="24"/>
                <w:szCs w:val="24"/>
                <w:highlight w:val="none"/>
                <w:lang w:val="en-US" w:eastAsia="zh-CN" w:bidi="ar-SA"/>
              </w:rPr>
              <w:t>8</w:t>
            </w:r>
            <w:r>
              <w:rPr>
                <w:rFonts w:hint="eastAsia"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zh-CN" w:eastAsia="zh-CN" w:bidi="ar-SA"/>
              </w:rPr>
              <w:t>项目区与保护区范围之间以山体为天然地理阻隔，分属不同的独立水系，无地表水体连通，不存在直接的水力联系。</w:t>
            </w:r>
            <w:r>
              <w:rPr>
                <w:rFonts w:hint="eastAsia" w:ascii="Times New Roman" w:hAnsi="Times New Roman" w:eastAsia="宋体" w:cs="Times New Roman"/>
                <w:color w:val="auto"/>
                <w:kern w:val="2"/>
                <w:sz w:val="24"/>
                <w:szCs w:val="24"/>
                <w:highlight w:val="none"/>
                <w:lang w:val="en-US" w:eastAsia="zh-CN" w:bidi="ar-SA"/>
              </w:rPr>
              <w:t>因此，本项目实施对其</w:t>
            </w:r>
            <w:r>
              <w:rPr>
                <w:rFonts w:hint="eastAsia" w:ascii="Times New Roman" w:hAnsi="Times New Roman" w:cs="Times New Roman"/>
                <w:color w:val="auto"/>
                <w:kern w:val="2"/>
                <w:sz w:val="24"/>
                <w:szCs w:val="24"/>
                <w:highlight w:val="none"/>
                <w:lang w:val="en-US" w:eastAsia="zh-CN" w:bidi="ar-SA"/>
              </w:rPr>
              <w:t>无</w:t>
            </w:r>
            <w:r>
              <w:rPr>
                <w:rFonts w:hint="eastAsia" w:ascii="Times New Roman" w:hAnsi="Times New Roman" w:eastAsia="宋体" w:cs="Times New Roman"/>
                <w:color w:val="auto"/>
                <w:kern w:val="2"/>
                <w:sz w:val="24"/>
                <w:szCs w:val="24"/>
                <w:highlight w:val="none"/>
                <w:lang w:val="en-US" w:eastAsia="zh-CN" w:bidi="ar-SA"/>
              </w:rPr>
              <w:t>影响。</w:t>
            </w:r>
          </w:p>
          <w:p w14:paraId="5335C2E3">
            <w:pPr>
              <w:pStyle w:val="12"/>
              <w:adjustRightInd w:val="0"/>
              <w:snapToGrid w:val="0"/>
              <w:spacing w:before="0" w:line="360" w:lineRule="auto"/>
              <w:ind w:firstLine="482" w:firstLineChars="200"/>
              <w:rPr>
                <w:rFonts w:hint="eastAsia" w:ascii="Times New Roman" w:hAnsi="Times New Roman" w:eastAsia="宋体"/>
                <w:b/>
                <w:color w:val="auto"/>
                <w:szCs w:val="24"/>
                <w:highlight w:val="none"/>
                <w:lang w:eastAsia="zh-CN"/>
              </w:rPr>
            </w:pPr>
            <w:r>
              <w:rPr>
                <w:rFonts w:hint="eastAsia" w:ascii="Times New Roman" w:hAnsi="Times New Roman"/>
                <w:b/>
                <w:color w:val="auto"/>
                <w:szCs w:val="24"/>
                <w:highlight w:val="none"/>
                <w:lang w:eastAsia="zh-CN"/>
              </w:rPr>
              <w:t>五、与大气污染防治相关政策符合性分析</w:t>
            </w:r>
          </w:p>
          <w:p w14:paraId="40E0A163">
            <w:pPr>
              <w:pStyle w:val="100"/>
              <w:ind w:firstLine="480"/>
              <w:rPr>
                <w:rFonts w:hint="default" w:ascii="Times New Roman" w:hAnsi="Times New Roman" w:cs="Times New Roman"/>
                <w:color w:val="auto"/>
                <w:szCs w:val="24"/>
                <w:highlight w:val="none"/>
              </w:rPr>
            </w:pPr>
            <w:r>
              <w:rPr>
                <w:rFonts w:hint="default" w:ascii="Times New Roman" w:hAnsi="Times New Roman" w:eastAsia="宋体" w:cs="Times New Roman"/>
                <w:color w:val="auto"/>
                <w:szCs w:val="24"/>
                <w:highlight w:val="none"/>
                <w:lang w:val="zh-CN" w:eastAsia="zh-CN"/>
              </w:rPr>
              <w:t>根据</w:t>
            </w:r>
            <w:r>
              <w:rPr>
                <w:rFonts w:hint="default" w:ascii="Times New Roman" w:hAnsi="Times New Roman" w:eastAsia="宋体" w:cs="Times New Roman"/>
                <w:color w:val="auto"/>
                <w:szCs w:val="24"/>
                <w:highlight w:val="none"/>
                <w:lang w:val="zh-CN"/>
              </w:rPr>
              <w:t>《中华人民共和国大气污染防治法》、</w:t>
            </w:r>
            <w:r>
              <w:rPr>
                <w:rFonts w:hint="default" w:ascii="Times New Roman" w:hAnsi="Times New Roman" w:eastAsia="宋体" w:cs="Times New Roman"/>
                <w:color w:val="auto"/>
                <w:szCs w:val="24"/>
                <w:highlight w:val="none"/>
                <w:lang w:val="en-US" w:eastAsia="zh-CN"/>
              </w:rPr>
              <w:t>《四川省“十四五”生态环境保护规划》川府发〔2022〕2号</w:t>
            </w:r>
            <w:r>
              <w:rPr>
                <w:rFonts w:hint="default" w:ascii="Times New Roman" w:hAnsi="Times New Roman" w:eastAsia="宋体" w:cs="Times New Roman"/>
                <w:color w:val="auto"/>
                <w:szCs w:val="24"/>
                <w:highlight w:val="none"/>
              </w:rPr>
              <w:t>等文件要求，本项目与大气污</w:t>
            </w:r>
            <w:r>
              <w:rPr>
                <w:rFonts w:hint="default" w:ascii="Times New Roman" w:hAnsi="Times New Roman" w:cs="Times New Roman"/>
                <w:color w:val="auto"/>
                <w:szCs w:val="24"/>
                <w:highlight w:val="none"/>
              </w:rPr>
              <w:t>染防治相关政策的符合性分析见</w:t>
            </w:r>
            <w:r>
              <w:rPr>
                <w:rFonts w:hint="default" w:ascii="Times New Roman" w:hAnsi="Times New Roman" w:cs="Times New Roman"/>
                <w:color w:val="auto"/>
                <w:szCs w:val="24"/>
                <w:highlight w:val="none"/>
                <w:lang w:eastAsia="zh-CN"/>
              </w:rPr>
              <w:t>下</w:t>
            </w:r>
            <w:r>
              <w:rPr>
                <w:rFonts w:hint="default" w:ascii="Times New Roman" w:hAnsi="Times New Roman" w:cs="Times New Roman"/>
                <w:color w:val="auto"/>
                <w:szCs w:val="24"/>
                <w:highlight w:val="none"/>
              </w:rPr>
              <w:t>表。</w:t>
            </w:r>
          </w:p>
          <w:p w14:paraId="1894BC36">
            <w:pPr>
              <w:pStyle w:val="10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表1-</w:t>
            </w:r>
            <w:r>
              <w:rPr>
                <w:rFonts w:hint="eastAsia" w:cs="Times New Roman"/>
                <w:b/>
                <w:bCs/>
                <w:color w:val="auto"/>
                <w:sz w:val="21"/>
                <w:szCs w:val="21"/>
                <w:highlight w:val="none"/>
                <w:lang w:val="en-US" w:eastAsia="zh-CN"/>
              </w:rPr>
              <w:t>3</w:t>
            </w:r>
            <w:r>
              <w:rPr>
                <w:rFonts w:hint="default" w:ascii="Times New Roman" w:hAnsi="Times New Roman" w:cs="Times New Roman"/>
                <w:b/>
                <w:bCs/>
                <w:color w:val="auto"/>
                <w:sz w:val="21"/>
                <w:szCs w:val="21"/>
                <w:highlight w:val="none"/>
              </w:rPr>
              <w:t xml:space="preserve">  项目与大气污染防治相关规划符合性分析一览表</w:t>
            </w:r>
          </w:p>
          <w:tbl>
            <w:tblPr>
              <w:tblStyle w:val="34"/>
              <w:tblW w:w="791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021"/>
              <w:gridCol w:w="4377"/>
              <w:gridCol w:w="1928"/>
              <w:gridCol w:w="592"/>
            </w:tblGrid>
            <w:tr w14:paraId="4AB169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21" w:type="dxa"/>
                  <w:noWrap w:val="0"/>
                  <w:vAlign w:val="center"/>
                </w:tcPr>
                <w:p w14:paraId="23D36459">
                  <w:pPr>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文件名称</w:t>
                  </w:r>
                </w:p>
              </w:tc>
              <w:tc>
                <w:tcPr>
                  <w:tcW w:w="4377" w:type="dxa"/>
                  <w:noWrap w:val="0"/>
                  <w:vAlign w:val="center"/>
                </w:tcPr>
                <w:p w14:paraId="6C823016">
                  <w:pPr>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文件要求</w:t>
                  </w:r>
                </w:p>
              </w:tc>
              <w:tc>
                <w:tcPr>
                  <w:tcW w:w="1928" w:type="dxa"/>
                  <w:noWrap w:val="0"/>
                  <w:vAlign w:val="center"/>
                </w:tcPr>
                <w:p w14:paraId="06C80042">
                  <w:pPr>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本项目情况</w:t>
                  </w:r>
                </w:p>
              </w:tc>
              <w:tc>
                <w:tcPr>
                  <w:tcW w:w="592" w:type="dxa"/>
                  <w:noWrap w:val="0"/>
                  <w:vAlign w:val="center"/>
                </w:tcPr>
                <w:p w14:paraId="409AE858">
                  <w:pPr>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是否符合</w:t>
                  </w:r>
                </w:p>
              </w:tc>
            </w:tr>
            <w:tr w14:paraId="02F4A6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21" w:type="dxa"/>
                  <w:noWrap w:val="0"/>
                  <w:vAlign w:val="center"/>
                </w:tcPr>
                <w:p w14:paraId="0034D52D">
                  <w:pPr>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《中华人民共和国大气污染防治法》</w:t>
                  </w:r>
                </w:p>
              </w:tc>
              <w:tc>
                <w:tcPr>
                  <w:tcW w:w="4377" w:type="dxa"/>
                  <w:noWrap w:val="0"/>
                  <w:vAlign w:val="center"/>
                </w:tcPr>
                <w:p w14:paraId="5B2D569B">
                  <w:pPr>
                    <w:spacing w:line="240" w:lineRule="auto"/>
                    <w:rPr>
                      <w:rFonts w:hint="default" w:ascii="Times New Roman" w:hAnsi="Times New Roman" w:eastAsia="宋体" w:cs="Times New Roman"/>
                      <w:color w:val="auto"/>
                      <w:sz w:val="21"/>
                      <w:szCs w:val="21"/>
                      <w:highlight w:val="none"/>
                      <w:shd w:val="clear" w:color="auto" w:fill="FFFFFF"/>
                    </w:rPr>
                  </w:pPr>
                  <w:r>
                    <w:rPr>
                      <w:rFonts w:hint="default" w:ascii="Times New Roman" w:hAnsi="Times New Roman" w:eastAsia="宋体" w:cs="Times New Roman"/>
                      <w:color w:val="auto"/>
                      <w:sz w:val="21"/>
                      <w:szCs w:val="21"/>
                      <w:highlight w:val="none"/>
                      <w:shd w:val="clear" w:color="auto" w:fill="FFFFFF"/>
                    </w:rPr>
                    <w:t>第四十三条城市人民政府应当采取绿化责任制、加强建设施工管理、扩大地面铺装面积、控制渣土堆放和清洁运输等措施，提高人均占有绿地面积，减少市区地面和地面尘土，防治城市扬尘污染。在城市市区进行建设施工或者从事其他产生扬尘污染活动的单位，必须按照当地环境保护的规定，采取防治扬尘污染的措施。</w:t>
                  </w:r>
                </w:p>
              </w:tc>
              <w:tc>
                <w:tcPr>
                  <w:tcW w:w="1928" w:type="dxa"/>
                  <w:noWrap w:val="0"/>
                  <w:vAlign w:val="center"/>
                </w:tcPr>
                <w:p w14:paraId="076C9885">
                  <w:pPr>
                    <w:spacing w:line="240" w:lineRule="auto"/>
                    <w:rPr>
                      <w:rFonts w:hint="default" w:ascii="Times New Roman" w:hAnsi="Times New Roman" w:eastAsia="宋体" w:cs="Times New Roman"/>
                      <w:color w:val="auto"/>
                      <w:sz w:val="21"/>
                      <w:szCs w:val="21"/>
                      <w:highlight w:val="none"/>
                      <w:shd w:val="clear" w:color="auto" w:fill="FFFFFF"/>
                    </w:rPr>
                  </w:pPr>
                  <w:r>
                    <w:rPr>
                      <w:rFonts w:hint="default" w:ascii="Times New Roman" w:hAnsi="Times New Roman" w:eastAsia="宋体" w:cs="Times New Roman"/>
                      <w:color w:val="auto"/>
                      <w:sz w:val="21"/>
                      <w:szCs w:val="21"/>
                      <w:highlight w:val="none"/>
                      <w:shd w:val="clear" w:color="auto" w:fill="FFFFFF"/>
                    </w:rPr>
                    <w:t>项目</w:t>
                  </w:r>
                  <w:r>
                    <w:rPr>
                      <w:rFonts w:hint="eastAsia" w:cs="Times New Roman"/>
                      <w:color w:val="auto"/>
                      <w:sz w:val="21"/>
                      <w:szCs w:val="21"/>
                      <w:highlight w:val="none"/>
                      <w:shd w:val="clear" w:color="auto" w:fill="FFFFFF"/>
                      <w:lang w:eastAsia="zh-CN"/>
                    </w:rPr>
                    <w:t>施工期加强管理，临时堆土场设置密目网苫盖，施工场地设置围挡，定期洒水降尘。</w:t>
                  </w:r>
                </w:p>
              </w:tc>
              <w:tc>
                <w:tcPr>
                  <w:tcW w:w="592" w:type="dxa"/>
                  <w:noWrap w:val="0"/>
                  <w:vAlign w:val="center"/>
                </w:tcPr>
                <w:p w14:paraId="30A6EC8C">
                  <w:pPr>
                    <w:adjustRightInd w:val="0"/>
                    <w:snapToGrid w:val="0"/>
                    <w:spacing w:line="240" w:lineRule="auto"/>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符合</w:t>
                  </w:r>
                </w:p>
              </w:tc>
            </w:tr>
            <w:tr w14:paraId="208172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21" w:type="dxa"/>
                  <w:noWrap w:val="0"/>
                  <w:vAlign w:val="center"/>
                </w:tcPr>
                <w:p w14:paraId="0C555E1E">
                  <w:pPr>
                    <w:widowControl/>
                    <w:spacing w:line="240" w:lineRule="auto"/>
                    <w:rPr>
                      <w:rFonts w:hint="default" w:ascii="Times New Roman" w:hAnsi="Times New Roman" w:cs="Times New Roman"/>
                      <w:color w:val="auto"/>
                      <w:sz w:val="21"/>
                      <w:szCs w:val="21"/>
                      <w:highlight w:val="none"/>
                    </w:rPr>
                  </w:pPr>
                  <w:r>
                    <w:rPr>
                      <w:rFonts w:hint="default" w:ascii="Times New Roman" w:hAnsi="Times New Roman" w:cs="Times New Roman"/>
                      <w:bCs/>
                      <w:color w:val="auto"/>
                      <w:kern w:val="0"/>
                      <w:sz w:val="21"/>
                      <w:szCs w:val="21"/>
                      <w:highlight w:val="none"/>
                    </w:rPr>
                    <w:t>《大气污染防治行动计划》国发〔2013〕37号</w:t>
                  </w:r>
                </w:p>
              </w:tc>
              <w:tc>
                <w:tcPr>
                  <w:tcW w:w="4377" w:type="dxa"/>
                  <w:noWrap w:val="0"/>
                  <w:vAlign w:val="center"/>
                </w:tcPr>
                <w:p w14:paraId="733597AA">
                  <w:pPr>
                    <w:adjustRightInd w:val="0"/>
                    <w:snapToGrid w:val="0"/>
                    <w:spacing w:line="240" w:lineRule="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shd w:val="clear" w:color="auto" w:fill="FFFFFF"/>
                    </w:rPr>
                    <w:t>深化面源污染治理。综合整治城市扬尘。加强施工扬尘监管，积极推进绿色施工，建设工程施工现场应全封闭设置围挡墙，严禁敞开式作业，施工现场道路应进行地面硬化。渣土运输车辆应采取密闭措施，并逐步安装卫星定位系统。推行道路机械化清扫等低尘作业方式。大型煤堆、料堆要实现封闭储存或建设防风抑尘设施。推进城市及周边绿化和防风防沙林建设，扩大城市建成区绿地规模。</w:t>
                  </w:r>
                </w:p>
              </w:tc>
              <w:tc>
                <w:tcPr>
                  <w:tcW w:w="1928" w:type="dxa"/>
                  <w:noWrap w:val="0"/>
                  <w:vAlign w:val="center"/>
                </w:tcPr>
                <w:p w14:paraId="5B3CD46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项目施工道路进行地面硬化，运输车辆采取幕布遮盖措施，本项目</w:t>
                  </w:r>
                  <w:r>
                    <w:rPr>
                      <w:rFonts w:hint="eastAsia" w:cs="Times New Roman"/>
                      <w:color w:val="auto"/>
                      <w:sz w:val="21"/>
                      <w:szCs w:val="21"/>
                      <w:highlight w:val="none"/>
                      <w:lang w:eastAsia="zh-CN"/>
                    </w:rPr>
                    <w:t>场地</w:t>
                  </w:r>
                  <w:r>
                    <w:rPr>
                      <w:rFonts w:hint="default" w:ascii="Times New Roman" w:hAnsi="Times New Roman" w:cs="Times New Roman"/>
                      <w:color w:val="auto"/>
                      <w:sz w:val="21"/>
                      <w:szCs w:val="21"/>
                      <w:highlight w:val="none"/>
                    </w:rPr>
                    <w:t>内进行洒水抑尘，及时收集清理堆场外道路上撒落的物料。</w:t>
                  </w:r>
                </w:p>
              </w:tc>
              <w:tc>
                <w:tcPr>
                  <w:tcW w:w="592" w:type="dxa"/>
                  <w:noWrap w:val="0"/>
                  <w:vAlign w:val="center"/>
                </w:tcPr>
                <w:p w14:paraId="4CD8D256">
                  <w:pPr>
                    <w:spacing w:line="240" w:lineRule="auto"/>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符合</w:t>
                  </w:r>
                </w:p>
              </w:tc>
            </w:tr>
            <w:tr w14:paraId="341DF2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21" w:type="dxa"/>
                  <w:noWrap w:val="0"/>
                  <w:vAlign w:val="center"/>
                </w:tcPr>
                <w:p w14:paraId="35E55F11">
                  <w:pPr>
                    <w:adjustRightInd w:val="0"/>
                    <w:snapToGrid w:val="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《四川省</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十四五</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生态环境保护规划》川府发〔2022〕2号</w:t>
                  </w:r>
                </w:p>
              </w:tc>
              <w:tc>
                <w:tcPr>
                  <w:tcW w:w="4377" w:type="dxa"/>
                  <w:noWrap w:val="0"/>
                  <w:vAlign w:val="center"/>
                </w:tcPr>
                <w:p w14:paraId="4841B0A0">
                  <w:pPr>
                    <w:adjustRightInd w:val="0"/>
                    <w:snapToGrid w:val="0"/>
                    <w:ind w:firstLine="210" w:firstLineChars="1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(三)深化面源污染治理。</w:t>
                  </w:r>
                </w:p>
                <w:p w14:paraId="2D988C97">
                  <w:pPr>
                    <w:adjustRightInd w:val="0"/>
                    <w:snapToGrid w:val="0"/>
                    <w:ind w:firstLine="210" w:firstLineChars="100"/>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加强扬尘污染治理。完善文明施工和绿色施工管理工作制度，积极探索将建设工程施工工地扬尘排污纳入环境税范围。</w:t>
                  </w:r>
                </w:p>
              </w:tc>
              <w:tc>
                <w:tcPr>
                  <w:tcW w:w="1928" w:type="dxa"/>
                  <w:noWrap w:val="0"/>
                  <w:vAlign w:val="center"/>
                </w:tcPr>
                <w:p w14:paraId="153145E8">
                  <w:pPr>
                    <w:adjustRightInd w:val="0"/>
                    <w:snapToGrid w:val="0"/>
                    <w:ind w:firstLine="210" w:firstLineChars="10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项目施工道路进行地面硬化，运输车辆采取幕布遮盖措施，本项目</w:t>
                  </w:r>
                  <w:r>
                    <w:rPr>
                      <w:rFonts w:hint="eastAsia" w:cs="Times New Roman"/>
                      <w:color w:val="auto"/>
                      <w:sz w:val="21"/>
                      <w:szCs w:val="21"/>
                      <w:highlight w:val="none"/>
                      <w:lang w:eastAsia="zh-CN"/>
                    </w:rPr>
                    <w:t>场地</w:t>
                  </w:r>
                  <w:r>
                    <w:rPr>
                      <w:rFonts w:hint="default" w:ascii="Times New Roman" w:hAnsi="Times New Roman" w:cs="Times New Roman"/>
                      <w:color w:val="auto"/>
                      <w:sz w:val="21"/>
                      <w:szCs w:val="21"/>
                      <w:highlight w:val="none"/>
                    </w:rPr>
                    <w:t>内进行洒水抑尘。</w:t>
                  </w:r>
                </w:p>
              </w:tc>
              <w:tc>
                <w:tcPr>
                  <w:tcW w:w="592" w:type="dxa"/>
                  <w:noWrap w:val="0"/>
                  <w:vAlign w:val="center"/>
                </w:tcPr>
                <w:p w14:paraId="5A85D400">
                  <w:pPr>
                    <w:spacing w:line="240" w:lineRule="auto"/>
                    <w:jc w:val="center"/>
                    <w:rPr>
                      <w:rFonts w:hint="eastAsia" w:ascii="Times New Roman" w:hAnsi="Times New Roman" w:eastAsia="宋体" w:cs="Times New Roman"/>
                      <w:b w:val="0"/>
                      <w:bCs w:val="0"/>
                      <w:color w:val="auto"/>
                      <w:sz w:val="21"/>
                      <w:szCs w:val="21"/>
                      <w:highlight w:val="none"/>
                      <w:lang w:eastAsia="zh-CN"/>
                    </w:rPr>
                  </w:pPr>
                  <w:r>
                    <w:rPr>
                      <w:rFonts w:hint="eastAsia" w:ascii="Times New Roman" w:hAnsi="Times New Roman" w:cs="Times New Roman"/>
                      <w:b w:val="0"/>
                      <w:bCs w:val="0"/>
                      <w:color w:val="auto"/>
                      <w:sz w:val="21"/>
                      <w:szCs w:val="21"/>
                      <w:highlight w:val="none"/>
                      <w:lang w:eastAsia="zh-CN"/>
                    </w:rPr>
                    <w:t>符合</w:t>
                  </w:r>
                </w:p>
              </w:tc>
            </w:tr>
            <w:tr w14:paraId="6E8F88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21" w:type="dxa"/>
                  <w:noWrap w:val="0"/>
                  <w:vAlign w:val="center"/>
                </w:tcPr>
                <w:p w14:paraId="4C40EDC9">
                  <w:pPr>
                    <w:adjustRightInd w:val="0"/>
                    <w:snapToGrid w:val="0"/>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
                    </w:rPr>
                    <w:t>《</w:t>
                  </w:r>
                  <w:r>
                    <w:rPr>
                      <w:rFonts w:hint="eastAsia" w:cs="Times New Roman"/>
                      <w:color w:val="auto"/>
                      <w:kern w:val="0"/>
                      <w:sz w:val="21"/>
                      <w:szCs w:val="21"/>
                      <w:highlight w:val="none"/>
                      <w:lang w:val="en-US" w:eastAsia="zh-CN" w:bidi="ar"/>
                    </w:rPr>
                    <w:t>巴中市</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十四五</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生态环境保护规划</w:t>
                  </w:r>
                  <w:r>
                    <w:rPr>
                      <w:rFonts w:hint="eastAsia" w:ascii="Times New Roman" w:hAnsi="Times New Roman" w:eastAsia="宋体" w:cs="Times New Roman"/>
                      <w:color w:val="auto"/>
                      <w:kern w:val="0"/>
                      <w:sz w:val="21"/>
                      <w:szCs w:val="21"/>
                      <w:highlight w:val="none"/>
                      <w:lang w:val="en-US" w:eastAsia="zh-CN" w:bidi="ar"/>
                    </w:rPr>
                    <w:t>》巴府发〔2021〕19号</w:t>
                  </w:r>
                </w:p>
              </w:tc>
              <w:tc>
                <w:tcPr>
                  <w:tcW w:w="4377" w:type="dxa"/>
                  <w:noWrap w:val="0"/>
                  <w:vAlign w:val="center"/>
                </w:tcPr>
                <w:p w14:paraId="4FA6B0AD">
                  <w:pPr>
                    <w:adjustRightInd w:val="0"/>
                    <w:snapToGrid w:val="0"/>
                    <w:ind w:firstLine="210" w:firstLineChars="100"/>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第三节</w:t>
                  </w:r>
                  <w:r>
                    <w:rPr>
                      <w:rFonts w:hint="eastAsia" w:cs="Times New Roman"/>
                      <w:color w:val="auto"/>
                      <w:kern w:val="2"/>
                      <w:sz w:val="21"/>
                      <w:szCs w:val="21"/>
                      <w:highlight w:val="none"/>
                      <w:lang w:val="en-US" w:eastAsia="zh-CN" w:bidi="ar-SA"/>
                    </w:rPr>
                    <w:t xml:space="preserve"> </w:t>
                  </w:r>
                  <w:r>
                    <w:rPr>
                      <w:rFonts w:hint="default" w:ascii="Times New Roman" w:hAnsi="Times New Roman" w:cs="Times New Roman"/>
                      <w:color w:val="auto"/>
                      <w:kern w:val="2"/>
                      <w:sz w:val="21"/>
                      <w:szCs w:val="21"/>
                      <w:highlight w:val="none"/>
                      <w:lang w:val="en-US" w:eastAsia="zh-CN" w:bidi="ar-SA"/>
                    </w:rPr>
                    <w:t>强化面源污染治理</w:t>
                  </w:r>
                </w:p>
                <w:p w14:paraId="66BB5E0C">
                  <w:pPr>
                    <w:adjustRightInd w:val="0"/>
                    <w:snapToGrid w:val="0"/>
                    <w:ind w:firstLine="210" w:firstLineChars="100"/>
                    <w:rPr>
                      <w:rFonts w:hint="default" w:ascii="Times New Roman" w:hAnsi="Times New Roman" w:cs="Times New Roman"/>
                      <w:color w:val="auto"/>
                      <w:kern w:val="2"/>
                      <w:sz w:val="21"/>
                      <w:szCs w:val="21"/>
                      <w:highlight w:val="yellow"/>
                      <w:lang w:val="en-US" w:eastAsia="zh-CN" w:bidi="ar-SA"/>
                    </w:rPr>
                  </w:pPr>
                  <w:r>
                    <w:rPr>
                      <w:rFonts w:hint="default" w:ascii="Times New Roman" w:hAnsi="Times New Roman" w:cs="Times New Roman"/>
                      <w:color w:val="auto"/>
                      <w:kern w:val="2"/>
                      <w:sz w:val="21"/>
                      <w:szCs w:val="21"/>
                      <w:highlight w:val="none"/>
                      <w:lang w:val="en-US" w:eastAsia="zh-CN" w:bidi="ar-SA"/>
                    </w:rPr>
                    <w:t>推进扬尘精细化管控。以城市精细化管理为重点，彻底整治扬尘、油烟污染。完善文明施工和绿色施工管理工作制度建设，全面落实建筑施工“六个百分百”，实现视频监</w:t>
                  </w:r>
                  <w:r>
                    <w:rPr>
                      <w:rFonts w:hint="eastAsia" w:cs="Times New Roman"/>
                      <w:color w:val="auto"/>
                      <w:kern w:val="2"/>
                      <w:sz w:val="21"/>
                      <w:szCs w:val="21"/>
                      <w:highlight w:val="none"/>
                      <w:lang w:val="en-US" w:eastAsia="zh-CN" w:bidi="ar-SA"/>
                    </w:rPr>
                    <w:t>。</w:t>
                  </w:r>
                  <w:r>
                    <w:rPr>
                      <w:rFonts w:hint="default" w:ascii="Times New Roman" w:hAnsi="Times New Roman" w:cs="Times New Roman"/>
                      <w:color w:val="auto"/>
                      <w:kern w:val="2"/>
                      <w:sz w:val="21"/>
                      <w:szCs w:val="21"/>
                      <w:highlight w:val="none"/>
                      <w:lang w:val="en-US" w:eastAsia="zh-CN" w:bidi="ar-SA"/>
                    </w:rPr>
                    <w:t>减少道路起尘源，运输渣土、石料、水泥、煤炭、垃圾等物料的车辆，应当采取篷盖、密闭等措施，不得超量装载和超速行驶。</w:t>
                  </w:r>
                </w:p>
              </w:tc>
              <w:tc>
                <w:tcPr>
                  <w:tcW w:w="1928" w:type="dxa"/>
                  <w:noWrap w:val="0"/>
                  <w:vAlign w:val="center"/>
                </w:tcPr>
                <w:p w14:paraId="71E9FE83">
                  <w:pPr>
                    <w:adjustRightInd w:val="0"/>
                    <w:snapToGrid w:val="0"/>
                    <w:ind w:firstLine="210" w:firstLineChars="100"/>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项目施工道路进行地面硬化，运输车辆采取幕布遮盖措施，本项目</w:t>
                  </w:r>
                  <w:r>
                    <w:rPr>
                      <w:rFonts w:hint="eastAsia" w:cs="Times New Roman"/>
                      <w:color w:val="auto"/>
                      <w:sz w:val="21"/>
                      <w:szCs w:val="21"/>
                      <w:highlight w:val="none"/>
                      <w:lang w:eastAsia="zh-CN"/>
                    </w:rPr>
                    <w:t>场地</w:t>
                  </w:r>
                  <w:r>
                    <w:rPr>
                      <w:rFonts w:hint="default" w:ascii="Times New Roman" w:hAnsi="Times New Roman" w:cs="Times New Roman"/>
                      <w:color w:val="auto"/>
                      <w:sz w:val="21"/>
                      <w:szCs w:val="21"/>
                      <w:highlight w:val="none"/>
                    </w:rPr>
                    <w:t>内进行洒水抑尘，及时收集清理堆场外道路上撒落的物料。</w:t>
                  </w:r>
                </w:p>
              </w:tc>
              <w:tc>
                <w:tcPr>
                  <w:tcW w:w="592" w:type="dxa"/>
                  <w:noWrap w:val="0"/>
                  <w:vAlign w:val="center"/>
                </w:tcPr>
                <w:p w14:paraId="4C7C56CD">
                  <w:pPr>
                    <w:spacing w:line="240" w:lineRule="auto"/>
                    <w:jc w:val="center"/>
                    <w:rPr>
                      <w:rFonts w:hint="eastAsia" w:ascii="Times New Roman" w:hAnsi="Times New Roman" w:eastAsia="宋体" w:cs="Times New Roman"/>
                      <w:b w:val="0"/>
                      <w:bCs w:val="0"/>
                      <w:color w:val="auto"/>
                      <w:sz w:val="21"/>
                      <w:szCs w:val="21"/>
                      <w:highlight w:val="none"/>
                      <w:lang w:eastAsia="zh-CN"/>
                    </w:rPr>
                  </w:pPr>
                  <w:r>
                    <w:rPr>
                      <w:rFonts w:hint="eastAsia" w:ascii="Times New Roman" w:hAnsi="Times New Roman" w:cs="Times New Roman"/>
                      <w:b w:val="0"/>
                      <w:bCs w:val="0"/>
                      <w:color w:val="auto"/>
                      <w:sz w:val="21"/>
                      <w:szCs w:val="21"/>
                      <w:highlight w:val="none"/>
                      <w:lang w:eastAsia="zh-CN"/>
                    </w:rPr>
                    <w:t>符合</w:t>
                  </w:r>
                </w:p>
              </w:tc>
            </w:tr>
          </w:tbl>
          <w:p w14:paraId="67AE2AB5">
            <w:pPr>
              <w:pStyle w:val="12"/>
              <w:adjustRightInd w:val="0"/>
              <w:snapToGrid w:val="0"/>
              <w:spacing w:before="0" w:line="360" w:lineRule="auto"/>
              <w:ind w:firstLine="480" w:firstLineChars="200"/>
              <w:rPr>
                <w:rFonts w:ascii="Times New Roman" w:hAnsi="Times New Roman"/>
                <w:b/>
                <w:color w:val="auto"/>
                <w:szCs w:val="24"/>
              </w:rPr>
            </w:pPr>
            <w:r>
              <w:rPr>
                <w:rFonts w:hint="default" w:ascii="Times New Roman" w:hAnsi="Times New Roman" w:cs="Times New Roman"/>
                <w:color w:val="auto"/>
                <w:szCs w:val="24"/>
                <w:highlight w:val="none"/>
              </w:rPr>
              <w:t>因此，本项</w:t>
            </w:r>
            <w:r>
              <w:rPr>
                <w:rFonts w:hint="default" w:ascii="Times New Roman" w:hAnsi="Times New Roman" w:eastAsia="宋体" w:cs="Times New Roman"/>
                <w:color w:val="auto"/>
                <w:szCs w:val="24"/>
                <w:highlight w:val="none"/>
              </w:rPr>
              <w:t>目符合</w:t>
            </w:r>
            <w:r>
              <w:rPr>
                <w:rFonts w:hint="eastAsia" w:ascii="Times New Roman" w:hAnsi="Times New Roman" w:eastAsia="宋体" w:cs="Times New Roman"/>
                <w:color w:val="auto"/>
                <w:szCs w:val="24"/>
                <w:highlight w:val="none"/>
                <w:lang w:eastAsia="zh-CN"/>
              </w:rPr>
              <w:t>相关环境保护</w:t>
            </w:r>
            <w:r>
              <w:rPr>
                <w:rFonts w:hint="default" w:ascii="Times New Roman" w:hAnsi="Times New Roman" w:eastAsia="宋体" w:cs="Times New Roman"/>
                <w:color w:val="auto"/>
                <w:szCs w:val="24"/>
                <w:highlight w:val="none"/>
              </w:rPr>
              <w:t>政策</w:t>
            </w:r>
            <w:r>
              <w:rPr>
                <w:rFonts w:hint="default" w:ascii="Times New Roman" w:hAnsi="Times New Roman" w:cs="Times New Roman"/>
                <w:color w:val="auto"/>
                <w:szCs w:val="24"/>
                <w:highlight w:val="none"/>
              </w:rPr>
              <w:t>要求。</w:t>
            </w:r>
          </w:p>
          <w:p w14:paraId="1F0CE258">
            <w:pPr>
              <w:pStyle w:val="12"/>
              <w:adjustRightInd w:val="0"/>
              <w:snapToGrid w:val="0"/>
              <w:spacing w:before="0" w:line="360" w:lineRule="auto"/>
              <w:ind w:firstLine="482" w:firstLineChars="200"/>
              <w:rPr>
                <w:rFonts w:hint="eastAsia" w:ascii="Times New Roman" w:hAnsi="Times New Roman" w:eastAsia="宋体"/>
                <w:b/>
                <w:color w:val="auto"/>
                <w:szCs w:val="24"/>
                <w:lang w:eastAsia="zh-CN"/>
              </w:rPr>
            </w:pPr>
          </w:p>
          <w:p w14:paraId="3A0A4F38">
            <w:pPr>
              <w:pStyle w:val="12"/>
              <w:adjustRightInd w:val="0"/>
              <w:snapToGrid w:val="0"/>
              <w:spacing w:before="0" w:line="360" w:lineRule="auto"/>
              <w:ind w:firstLine="480" w:firstLineChars="200"/>
              <w:rPr>
                <w:rFonts w:ascii="Times New Roman" w:hAnsi="Times New Roman" w:cs="Times New Roman"/>
                <w:color w:val="auto"/>
              </w:rPr>
            </w:pPr>
          </w:p>
        </w:tc>
      </w:tr>
    </w:tbl>
    <w:p w14:paraId="1264FE50">
      <w:pPr>
        <w:spacing w:line="360" w:lineRule="auto"/>
        <w:outlineLvl w:val="0"/>
        <w:rPr>
          <w:rFonts w:eastAsia="黑体"/>
          <w:color w:val="auto"/>
          <w:sz w:val="30"/>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65CA4742">
      <w:pPr>
        <w:pStyle w:val="30"/>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sz w:val="30"/>
          <w:szCs w:val="30"/>
        </w:rPr>
        <w:t>二、建设内容</w:t>
      </w:r>
    </w:p>
    <w:tbl>
      <w:tblPr>
        <w:tblStyle w:val="34"/>
        <w:tblpPr w:leftFromText="180" w:rightFromText="180" w:vertAnchor="text" w:tblpXSpec="center" w:tblpY="1"/>
        <w:tblOverlap w:val="never"/>
        <w:tblW w:w="913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0"/>
        <w:gridCol w:w="8426"/>
      </w:tblGrid>
      <w:tr w14:paraId="081709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Align w:val="center"/>
          </w:tcPr>
          <w:p w14:paraId="64D99C9B">
            <w:pPr>
              <w:adjustRightInd w:val="0"/>
              <w:snapToGrid w:val="0"/>
              <w:jc w:val="center"/>
              <w:rPr>
                <w:color w:val="auto"/>
                <w:kern w:val="0"/>
                <w:sz w:val="24"/>
              </w:rPr>
            </w:pPr>
            <w:r>
              <w:rPr>
                <w:color w:val="auto"/>
                <w:kern w:val="0"/>
                <w:sz w:val="24"/>
              </w:rPr>
              <w:t>地理位置</w:t>
            </w:r>
          </w:p>
        </w:tc>
        <w:tc>
          <w:tcPr>
            <w:tcW w:w="8426" w:type="dxa"/>
            <w:vAlign w:val="center"/>
          </w:tcPr>
          <w:p w14:paraId="150E69FA">
            <w:pPr>
              <w:adjustRightInd w:val="0"/>
              <w:snapToGrid w:val="0"/>
              <w:spacing w:before="120" w:beforeLines="50" w:line="360" w:lineRule="auto"/>
              <w:ind w:firstLine="480" w:firstLineChars="200"/>
              <w:jc w:val="both"/>
              <w:rPr>
                <w:color w:val="auto"/>
                <w:kern w:val="0"/>
                <w:sz w:val="24"/>
              </w:rPr>
            </w:pPr>
            <w:r>
              <w:rPr>
                <w:color w:val="auto"/>
                <w:sz w:val="24"/>
              </w:rPr>
              <w:t>本项目位于</w:t>
            </w:r>
            <w:r>
              <w:rPr>
                <w:rFonts w:hint="eastAsia"/>
                <w:color w:val="auto"/>
                <w:kern w:val="0"/>
                <w:sz w:val="24"/>
              </w:rPr>
              <w:t>四川省巴中市南江县关坝镇</w:t>
            </w:r>
            <w:r>
              <w:rPr>
                <w:color w:val="auto"/>
                <w:kern w:val="0"/>
                <w:sz w:val="24"/>
              </w:rPr>
              <w:t>。</w:t>
            </w:r>
          </w:p>
          <w:p w14:paraId="4CADEE0B">
            <w:pPr>
              <w:adjustRightInd w:val="0"/>
              <w:snapToGrid w:val="0"/>
              <w:spacing w:line="360" w:lineRule="auto"/>
              <w:ind w:firstLine="480" w:firstLineChars="200"/>
              <w:jc w:val="both"/>
              <w:rPr>
                <w:color w:val="auto"/>
                <w:kern w:val="0"/>
                <w:sz w:val="24"/>
              </w:rPr>
            </w:pPr>
            <w:r>
              <w:rPr>
                <w:color w:val="auto"/>
                <w:sz w:val="24"/>
              </w:rPr>
              <w:t>中心位置：</w:t>
            </w:r>
            <w:r>
              <w:rPr>
                <w:rFonts w:hint="eastAsia"/>
                <w:color w:val="auto"/>
                <w:sz w:val="24"/>
              </w:rPr>
              <w:t>经度：</w:t>
            </w:r>
            <w:r>
              <w:rPr>
                <w:color w:val="auto"/>
                <w:sz w:val="24"/>
              </w:rPr>
              <w:t>106°5</w:t>
            </w:r>
            <w:r>
              <w:rPr>
                <w:rFonts w:hint="eastAsia"/>
                <w:color w:val="auto"/>
                <w:sz w:val="24"/>
              </w:rPr>
              <w:t>7</w:t>
            </w:r>
            <w:r>
              <w:rPr>
                <w:color w:val="auto"/>
                <w:sz w:val="24"/>
              </w:rPr>
              <w:t>′</w:t>
            </w:r>
            <w:r>
              <w:rPr>
                <w:rFonts w:hint="eastAsia"/>
                <w:color w:val="auto"/>
                <w:sz w:val="24"/>
                <w:lang w:val="en-US" w:eastAsia="zh-CN"/>
              </w:rPr>
              <w:t>52.529</w:t>
            </w:r>
            <w:r>
              <w:rPr>
                <w:color w:val="auto"/>
                <w:sz w:val="24"/>
              </w:rPr>
              <w:t>″</w:t>
            </w:r>
            <w:r>
              <w:rPr>
                <w:rFonts w:hint="eastAsia"/>
                <w:color w:val="auto"/>
                <w:sz w:val="24"/>
              </w:rPr>
              <w:t>，纬度：</w:t>
            </w:r>
            <w:r>
              <w:rPr>
                <w:color w:val="auto"/>
                <w:sz w:val="24"/>
              </w:rPr>
              <w:t>32°</w:t>
            </w:r>
            <w:r>
              <w:rPr>
                <w:rFonts w:hint="eastAsia"/>
                <w:color w:val="auto"/>
                <w:sz w:val="24"/>
              </w:rPr>
              <w:t>35</w:t>
            </w:r>
            <w:r>
              <w:rPr>
                <w:color w:val="auto"/>
                <w:sz w:val="24"/>
              </w:rPr>
              <w:t>′</w:t>
            </w:r>
            <w:r>
              <w:rPr>
                <w:rFonts w:hint="eastAsia"/>
                <w:color w:val="auto"/>
                <w:sz w:val="24"/>
              </w:rPr>
              <w:t>5</w:t>
            </w:r>
            <w:r>
              <w:rPr>
                <w:rFonts w:hint="eastAsia"/>
                <w:color w:val="auto"/>
                <w:sz w:val="24"/>
                <w:lang w:val="en-US" w:eastAsia="zh-CN"/>
              </w:rPr>
              <w:t>5.063</w:t>
            </w:r>
            <w:r>
              <w:rPr>
                <w:color w:val="auto"/>
                <w:sz w:val="24"/>
              </w:rPr>
              <w:t>″。</w:t>
            </w:r>
          </w:p>
        </w:tc>
      </w:tr>
      <w:tr w14:paraId="4B0B9E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Align w:val="center"/>
          </w:tcPr>
          <w:p w14:paraId="57012EED">
            <w:pPr>
              <w:adjustRightInd w:val="0"/>
              <w:snapToGrid w:val="0"/>
              <w:jc w:val="center"/>
              <w:rPr>
                <w:color w:val="auto"/>
                <w:kern w:val="0"/>
                <w:sz w:val="24"/>
              </w:rPr>
            </w:pPr>
            <w:r>
              <w:rPr>
                <w:color w:val="auto"/>
                <w:kern w:val="0"/>
                <w:sz w:val="24"/>
              </w:rPr>
              <w:t>项目组成及规模</w:t>
            </w:r>
          </w:p>
        </w:tc>
        <w:tc>
          <w:tcPr>
            <w:tcW w:w="8426" w:type="dxa"/>
            <w:vAlign w:val="center"/>
          </w:tcPr>
          <w:p w14:paraId="5BAC7227">
            <w:pPr>
              <w:adjustRightInd w:val="0"/>
              <w:snapToGrid w:val="0"/>
              <w:spacing w:before="120" w:beforeLines="50" w:line="360" w:lineRule="auto"/>
              <w:ind w:firstLine="482" w:firstLineChars="200"/>
              <w:rPr>
                <w:b/>
                <w:bCs/>
                <w:color w:val="auto"/>
                <w:sz w:val="24"/>
              </w:rPr>
            </w:pPr>
            <w:r>
              <w:rPr>
                <w:rFonts w:hint="eastAsia"/>
                <w:b/>
                <w:bCs/>
                <w:color w:val="auto"/>
                <w:sz w:val="24"/>
              </w:rPr>
              <w:t>一、项目由来</w:t>
            </w:r>
          </w:p>
          <w:p w14:paraId="3B45F560">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olor w:val="auto"/>
                <w:kern w:val="0"/>
                <w:sz w:val="24"/>
                <w:lang w:eastAsia="zh-CN" w:bidi="ar"/>
              </w:rPr>
            </w:pPr>
            <w:r>
              <w:rPr>
                <w:rFonts w:hint="eastAsia"/>
                <w:color w:val="auto"/>
                <w:kern w:val="0"/>
                <w:sz w:val="24"/>
                <w:lang w:eastAsia="zh-CN" w:bidi="ar"/>
              </w:rPr>
              <w:t>根据《巴中市文旅新区关坝镇关坝村保障性租赁住房项目可行性研究报告》，保障性安居工程是文旅新区开发建设中的重大基础设施工程，也是一项惠及群众的安居工程、利民工程。文旅新区委政府高度重视保障房建设，把解决城市住房困难家庭难作为维护群众利益的重要工作和住房制度改革的重要内容，作为政府公共服务的一项重要职责。根据《国务院办公厅关于加快发展保障性租赁住房的意见》（国办发〔2021〕22号）、《四川省住房和城乡建设厅等8部门关于加快发展保障性租赁住房的实施意见》（川建保发〔2021〕338号）等文件精神，经市政府五届第40次常务会议审定同意，2023年7月28日，巴中市出台了《巴中市加快发展保障性租赁住房实施方案（试行）》，文件工作目标明确：加快发展保障性租赁住房，“十四五”期间，全市计划筹集发展保障性租赁住房1.3万套（间）。</w:t>
            </w:r>
          </w:p>
          <w:p w14:paraId="79D6579E">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b w:val="0"/>
                <w:bCs w:val="0"/>
                <w:color w:val="auto"/>
                <w:sz w:val="24"/>
                <w:highlight w:val="none"/>
                <w:lang w:val="en-US" w:eastAsia="zh-CN"/>
              </w:rPr>
            </w:pPr>
            <w:r>
              <w:rPr>
                <w:rFonts w:hint="eastAsia"/>
                <w:color w:val="auto"/>
                <w:kern w:val="0"/>
                <w:sz w:val="24"/>
                <w:lang w:val="en-US" w:eastAsia="zh-CN" w:bidi="ar"/>
              </w:rPr>
              <w:t>根据《光雾山诺水河文旅融合发展示范片区（南江片区）国土空间总体规划（2021-2035年）》，关坝镇镇区定位为旅游综合服务为主的光雾山诺水河文旅融合发展示范片区（南江片区）中心镇，设置旅游集散中心，后期</w:t>
            </w:r>
            <w:r>
              <w:rPr>
                <w:rFonts w:hint="eastAsia"/>
                <w:b w:val="0"/>
                <w:bCs w:val="0"/>
                <w:color w:val="auto"/>
                <w:sz w:val="24"/>
                <w:highlight w:val="none"/>
                <w:lang w:val="en-US" w:eastAsia="zh-CN"/>
              </w:rPr>
              <w:t>配合片区发展，适时建设关坝会议中心、展示中心、新区规划展览馆、气候科技馆、米仓蜀道历史博物馆等重点会议展览和互动体验、科普展示空间。同步打造数字媒体、影视动漫、智慧文旅研发等内容的文创街区，成为片区未来文化产业的动力引擎。关坝镇作为文旅新区重点规划的核心集镇，是区域文旅产业协同发展的重要承载节点。当前集镇建设尚处于起步培育阶段，配套安居保障体系尚未同步建成，为补齐集镇公共服务配套短板、夯实文旅新区人口集聚与产业落地支撑基础，统筹推进保障性住房建设已成为关坝镇集镇功能完善的核心建设任务之一。关坝镇是文旅新区明确的重点发展集镇，承担着承接区域文旅配套服务、集聚本地就业人口的核心功能。现阶段集镇开发建设工作正处于前期谋划推进阶段，面向本地居民、产业就业群体的保障性住房配套尚未完成布局，为保障集镇后续产业导入后的安居需求、稳步推进集镇城镇化建设进程，将保障性住房建设纳入集镇近期重点建设范畴。目前集镇尚未进入实质性全面开发阶段，面向搬迁群众、文旅产业从业人员的保障性住房供给存在缺口，为筑牢集镇发展的民生兜底基础，有序推进集镇整体开发建设，启动关坝镇保障性租赁住房项目建设具备充分的必要性与规划依据。</w:t>
            </w:r>
          </w:p>
          <w:p w14:paraId="24E72CCD">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olor w:val="auto"/>
                <w:kern w:val="0"/>
                <w:sz w:val="24"/>
                <w:lang w:eastAsia="zh-CN" w:bidi="ar"/>
              </w:rPr>
            </w:pPr>
            <w:r>
              <w:rPr>
                <w:rFonts w:hint="eastAsia"/>
                <w:color w:val="auto"/>
                <w:kern w:val="0"/>
                <w:sz w:val="24"/>
                <w:lang w:eastAsia="zh-CN" w:bidi="ar"/>
              </w:rPr>
              <w:t>为响应文旅新区加快建立健全保障性住房体系政策，以解决无房新青年人的住房问题，四川光雾山诺水河旅游发展有限公司拟在关坝镇建设巴中市文旅新区关坝镇</w:t>
            </w:r>
            <w:r>
              <w:rPr>
                <w:rFonts w:hint="eastAsia"/>
                <w:color w:val="auto"/>
                <w:sz w:val="24"/>
                <w:lang w:eastAsia="zh-CN"/>
              </w:rPr>
              <w:t>关坝村</w:t>
            </w:r>
            <w:r>
              <w:rPr>
                <w:rFonts w:hint="eastAsia"/>
                <w:color w:val="auto"/>
                <w:kern w:val="0"/>
                <w:sz w:val="24"/>
                <w:lang w:eastAsia="zh-CN" w:bidi="ar"/>
              </w:rPr>
              <w:t>保障性租赁住房项目。</w:t>
            </w:r>
          </w:p>
          <w:p w14:paraId="194B3ED1">
            <w:pPr>
              <w:adjustRightInd w:val="0"/>
              <w:snapToGrid w:val="0"/>
              <w:spacing w:line="360" w:lineRule="auto"/>
              <w:ind w:firstLine="482" w:firstLineChars="200"/>
              <w:rPr>
                <w:b/>
                <w:bCs/>
                <w:color w:val="auto"/>
                <w:sz w:val="24"/>
              </w:rPr>
            </w:pPr>
            <w:r>
              <w:rPr>
                <w:rFonts w:hint="eastAsia"/>
                <w:b/>
                <w:bCs/>
                <w:color w:val="auto"/>
                <w:sz w:val="24"/>
              </w:rPr>
              <w:t>二</w:t>
            </w:r>
            <w:r>
              <w:rPr>
                <w:b/>
                <w:bCs/>
                <w:color w:val="auto"/>
                <w:sz w:val="24"/>
              </w:rPr>
              <w:t>、项目概况</w:t>
            </w:r>
          </w:p>
          <w:p w14:paraId="38687141">
            <w:pPr>
              <w:adjustRightInd w:val="0"/>
              <w:snapToGrid w:val="0"/>
              <w:spacing w:line="360" w:lineRule="auto"/>
              <w:ind w:firstLine="482" w:firstLineChars="200"/>
              <w:rPr>
                <w:rFonts w:hint="eastAsia" w:eastAsia="宋体"/>
                <w:color w:val="auto"/>
                <w:sz w:val="24"/>
                <w:lang w:eastAsia="zh-CN"/>
              </w:rPr>
            </w:pPr>
            <w:r>
              <w:rPr>
                <w:b/>
                <w:bCs/>
                <w:color w:val="auto"/>
                <w:sz w:val="24"/>
              </w:rPr>
              <w:t>项目名称：</w:t>
            </w:r>
            <w:r>
              <w:rPr>
                <w:rFonts w:hint="eastAsia"/>
                <w:color w:val="auto"/>
                <w:sz w:val="24"/>
                <w:lang w:eastAsia="zh-CN"/>
              </w:rPr>
              <w:t>巴中市文旅新区关坝镇关坝村保障性租赁住房项目</w:t>
            </w:r>
          </w:p>
          <w:p w14:paraId="0990BF52">
            <w:pPr>
              <w:adjustRightInd w:val="0"/>
              <w:snapToGrid w:val="0"/>
              <w:spacing w:line="360" w:lineRule="auto"/>
              <w:ind w:firstLine="482" w:firstLineChars="200"/>
              <w:rPr>
                <w:rFonts w:hint="eastAsia" w:eastAsia="宋体"/>
                <w:color w:val="auto"/>
                <w:sz w:val="24"/>
                <w:lang w:eastAsia="zh-CN"/>
              </w:rPr>
            </w:pPr>
            <w:r>
              <w:rPr>
                <w:b/>
                <w:bCs/>
                <w:color w:val="auto"/>
                <w:sz w:val="24"/>
              </w:rPr>
              <w:t>建设单位：</w:t>
            </w:r>
            <w:r>
              <w:rPr>
                <w:rFonts w:hint="eastAsia"/>
                <w:color w:val="auto"/>
                <w:sz w:val="24"/>
              </w:rPr>
              <w:t>四川光雾山诺水河旅游发展有限公司</w:t>
            </w:r>
          </w:p>
          <w:p w14:paraId="30957ACF">
            <w:pPr>
              <w:adjustRightInd w:val="0"/>
              <w:snapToGrid w:val="0"/>
              <w:spacing w:line="360" w:lineRule="auto"/>
              <w:ind w:firstLine="482" w:firstLineChars="200"/>
              <w:rPr>
                <w:color w:val="auto"/>
                <w:sz w:val="24"/>
              </w:rPr>
            </w:pPr>
            <w:r>
              <w:rPr>
                <w:b/>
                <w:bCs/>
                <w:color w:val="auto"/>
                <w:sz w:val="24"/>
              </w:rPr>
              <w:t>建设地点：</w:t>
            </w:r>
            <w:r>
              <w:rPr>
                <w:rFonts w:hint="eastAsia"/>
                <w:color w:val="auto"/>
                <w:kern w:val="0"/>
                <w:sz w:val="24"/>
              </w:rPr>
              <w:t>四川省巴中市南江县关坝镇</w:t>
            </w:r>
          </w:p>
          <w:p w14:paraId="3E5E5B6A">
            <w:pPr>
              <w:adjustRightInd w:val="0"/>
              <w:snapToGrid w:val="0"/>
              <w:spacing w:line="360" w:lineRule="auto"/>
              <w:ind w:firstLine="482" w:firstLineChars="200"/>
              <w:rPr>
                <w:color w:val="auto"/>
                <w:sz w:val="24"/>
              </w:rPr>
            </w:pPr>
            <w:r>
              <w:rPr>
                <w:b/>
                <w:bCs/>
                <w:color w:val="auto"/>
                <w:sz w:val="24"/>
              </w:rPr>
              <w:t>建设性质：</w:t>
            </w:r>
            <w:r>
              <w:rPr>
                <w:color w:val="auto"/>
                <w:sz w:val="24"/>
              </w:rPr>
              <w:t>新建</w:t>
            </w:r>
          </w:p>
          <w:p w14:paraId="53AD7FCC">
            <w:pPr>
              <w:adjustRightInd w:val="0"/>
              <w:snapToGrid w:val="0"/>
              <w:spacing w:line="360" w:lineRule="auto"/>
              <w:ind w:firstLine="482" w:firstLineChars="200"/>
              <w:rPr>
                <w:color w:val="auto"/>
                <w:sz w:val="24"/>
              </w:rPr>
            </w:pPr>
            <w:r>
              <w:rPr>
                <w:b/>
                <w:bCs/>
                <w:color w:val="auto"/>
                <w:sz w:val="24"/>
              </w:rPr>
              <w:t>项目投资总额：</w:t>
            </w:r>
            <w:r>
              <w:rPr>
                <w:color w:val="auto"/>
                <w:sz w:val="24"/>
              </w:rPr>
              <w:t>总投资</w:t>
            </w:r>
            <w:r>
              <w:rPr>
                <w:rFonts w:hint="eastAsia"/>
                <w:color w:val="auto"/>
                <w:sz w:val="24"/>
                <w:lang w:val="en-US" w:eastAsia="zh-CN"/>
              </w:rPr>
              <w:t>15063</w:t>
            </w:r>
            <w:r>
              <w:rPr>
                <w:color w:val="auto"/>
                <w:sz w:val="24"/>
              </w:rPr>
              <w:t>万元</w:t>
            </w:r>
          </w:p>
          <w:p w14:paraId="1CC63731">
            <w:pPr>
              <w:autoSpaceDE w:val="0"/>
              <w:autoSpaceDN w:val="0"/>
              <w:adjustRightInd w:val="0"/>
              <w:snapToGrid w:val="0"/>
              <w:spacing w:line="360" w:lineRule="auto"/>
              <w:ind w:firstLine="482" w:firstLineChars="200"/>
              <w:rPr>
                <w:color w:val="auto"/>
                <w:sz w:val="24"/>
              </w:rPr>
            </w:pPr>
            <w:r>
              <w:rPr>
                <w:b/>
                <w:bCs/>
                <w:color w:val="auto"/>
                <w:sz w:val="24"/>
              </w:rPr>
              <w:t>建设内容及规模：</w:t>
            </w:r>
            <w:r>
              <w:rPr>
                <w:color w:val="auto"/>
                <w:sz w:val="24"/>
              </w:rPr>
              <w:t>拟建项目</w:t>
            </w:r>
            <w:r>
              <w:rPr>
                <w:rFonts w:hint="eastAsia"/>
                <w:color w:val="auto"/>
                <w:sz w:val="24"/>
              </w:rPr>
              <w:t>总占地面积20710.88平方米，新建保障性租赁住房400套，总建筑面积约36296平方米，其中地上建筑面积26582平方米，地下建筑面积9714平方米，并完善供水、供气、排水等配套基础设施。</w:t>
            </w:r>
          </w:p>
          <w:p w14:paraId="61C098C0">
            <w:pPr>
              <w:adjustRightInd w:val="0"/>
              <w:snapToGrid w:val="0"/>
              <w:spacing w:line="360" w:lineRule="auto"/>
              <w:ind w:firstLine="482" w:firstLineChars="200"/>
              <w:rPr>
                <w:b/>
                <w:bCs/>
                <w:color w:val="auto"/>
                <w:sz w:val="24"/>
              </w:rPr>
            </w:pPr>
            <w:r>
              <w:rPr>
                <w:rFonts w:hint="eastAsia"/>
                <w:b/>
                <w:bCs/>
                <w:color w:val="auto"/>
                <w:sz w:val="24"/>
              </w:rPr>
              <w:t>三</w:t>
            </w:r>
            <w:r>
              <w:rPr>
                <w:b/>
                <w:bCs/>
                <w:color w:val="auto"/>
                <w:sz w:val="24"/>
              </w:rPr>
              <w:t>、项目组成及主要环境问题</w:t>
            </w:r>
          </w:p>
          <w:p w14:paraId="1FF840E8">
            <w:pPr>
              <w:adjustRightInd w:val="0"/>
              <w:snapToGrid w:val="0"/>
              <w:spacing w:line="360" w:lineRule="auto"/>
              <w:ind w:firstLine="480" w:firstLineChars="200"/>
              <w:rPr>
                <w:color w:val="auto"/>
                <w:sz w:val="24"/>
              </w:rPr>
            </w:pPr>
            <w:r>
              <w:rPr>
                <w:color w:val="auto"/>
                <w:sz w:val="24"/>
              </w:rPr>
              <w:t>本项目组成及主要环境问题见下表</w:t>
            </w:r>
            <w:r>
              <w:rPr>
                <w:rFonts w:hint="eastAsia"/>
                <w:color w:val="auto"/>
                <w:sz w:val="24"/>
              </w:rPr>
              <w:t>。</w:t>
            </w:r>
          </w:p>
          <w:p w14:paraId="0751106C">
            <w:pPr>
              <w:adjustRightInd w:val="0"/>
              <w:snapToGrid w:val="0"/>
              <w:spacing w:before="60"/>
              <w:jc w:val="center"/>
              <w:rPr>
                <w:b/>
                <w:bCs/>
                <w:color w:val="auto"/>
                <w:szCs w:val="21"/>
              </w:rPr>
            </w:pPr>
            <w:r>
              <w:rPr>
                <w:b/>
                <w:bCs/>
                <w:color w:val="auto"/>
                <w:szCs w:val="21"/>
              </w:rPr>
              <w:t>表2-1  项目组成及主要环境问题一览表</w:t>
            </w:r>
          </w:p>
          <w:tbl>
            <w:tblPr>
              <w:tblStyle w:val="34"/>
              <w:tblW w:w="8198"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43"/>
              <w:gridCol w:w="791"/>
              <w:gridCol w:w="4402"/>
              <w:gridCol w:w="981"/>
              <w:gridCol w:w="869"/>
              <w:gridCol w:w="712"/>
            </w:tblGrid>
            <w:tr w14:paraId="47AC20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restart"/>
                  <w:tcBorders>
                    <w:tl2br w:val="nil"/>
                    <w:tr2bl w:val="nil"/>
                  </w:tcBorders>
                  <w:vAlign w:val="center"/>
                </w:tcPr>
                <w:p w14:paraId="69113F5B">
                  <w:pPr>
                    <w:adjustRightInd w:val="0"/>
                    <w:snapToGrid w:val="0"/>
                    <w:jc w:val="center"/>
                    <w:rPr>
                      <w:b/>
                      <w:bCs/>
                      <w:color w:val="auto"/>
                      <w:szCs w:val="21"/>
                    </w:rPr>
                  </w:pPr>
                  <w:r>
                    <w:rPr>
                      <w:b/>
                      <w:bCs/>
                      <w:color w:val="auto"/>
                      <w:szCs w:val="21"/>
                    </w:rPr>
                    <w:t>名称</w:t>
                  </w:r>
                </w:p>
              </w:tc>
              <w:tc>
                <w:tcPr>
                  <w:tcW w:w="5193" w:type="dxa"/>
                  <w:gridSpan w:val="2"/>
                  <w:vMerge w:val="restart"/>
                  <w:tcBorders>
                    <w:tl2br w:val="nil"/>
                    <w:tr2bl w:val="nil"/>
                  </w:tcBorders>
                  <w:vAlign w:val="center"/>
                </w:tcPr>
                <w:p w14:paraId="58757551">
                  <w:pPr>
                    <w:adjustRightInd w:val="0"/>
                    <w:snapToGrid w:val="0"/>
                    <w:jc w:val="center"/>
                    <w:rPr>
                      <w:b/>
                      <w:bCs/>
                      <w:color w:val="auto"/>
                      <w:szCs w:val="21"/>
                    </w:rPr>
                  </w:pPr>
                  <w:r>
                    <w:rPr>
                      <w:b/>
                      <w:bCs/>
                      <w:color w:val="auto"/>
                      <w:szCs w:val="21"/>
                    </w:rPr>
                    <w:t>建设内容及规模</w:t>
                  </w:r>
                </w:p>
              </w:tc>
              <w:tc>
                <w:tcPr>
                  <w:tcW w:w="1850" w:type="dxa"/>
                  <w:gridSpan w:val="2"/>
                  <w:tcBorders>
                    <w:tl2br w:val="nil"/>
                    <w:tr2bl w:val="nil"/>
                  </w:tcBorders>
                  <w:vAlign w:val="center"/>
                </w:tcPr>
                <w:p w14:paraId="5AA33611">
                  <w:pPr>
                    <w:adjustRightInd w:val="0"/>
                    <w:snapToGrid w:val="0"/>
                    <w:jc w:val="center"/>
                    <w:rPr>
                      <w:b/>
                      <w:bCs/>
                      <w:color w:val="auto"/>
                      <w:szCs w:val="21"/>
                    </w:rPr>
                  </w:pPr>
                  <w:r>
                    <w:rPr>
                      <w:b/>
                      <w:bCs/>
                      <w:color w:val="auto"/>
                      <w:szCs w:val="21"/>
                    </w:rPr>
                    <w:t>可能产生的环境问题</w:t>
                  </w:r>
                </w:p>
              </w:tc>
              <w:tc>
                <w:tcPr>
                  <w:tcW w:w="712" w:type="dxa"/>
                  <w:vMerge w:val="restart"/>
                  <w:tcBorders>
                    <w:tl2br w:val="nil"/>
                    <w:tr2bl w:val="nil"/>
                  </w:tcBorders>
                  <w:vAlign w:val="center"/>
                </w:tcPr>
                <w:p w14:paraId="4B4375AA">
                  <w:pPr>
                    <w:adjustRightInd w:val="0"/>
                    <w:snapToGrid w:val="0"/>
                    <w:jc w:val="center"/>
                    <w:rPr>
                      <w:b/>
                      <w:bCs/>
                      <w:color w:val="auto"/>
                      <w:szCs w:val="21"/>
                    </w:rPr>
                  </w:pPr>
                  <w:r>
                    <w:rPr>
                      <w:rFonts w:hint="eastAsia"/>
                      <w:b/>
                      <w:bCs/>
                      <w:color w:val="auto"/>
                      <w:szCs w:val="21"/>
                    </w:rPr>
                    <w:t>备注</w:t>
                  </w:r>
                </w:p>
              </w:tc>
            </w:tr>
            <w:tr w14:paraId="7E8110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723AE2F8">
                  <w:pPr>
                    <w:adjustRightInd w:val="0"/>
                    <w:snapToGrid w:val="0"/>
                    <w:jc w:val="center"/>
                    <w:rPr>
                      <w:b/>
                      <w:bCs/>
                      <w:color w:val="auto"/>
                      <w:szCs w:val="21"/>
                    </w:rPr>
                  </w:pPr>
                </w:p>
              </w:tc>
              <w:tc>
                <w:tcPr>
                  <w:tcW w:w="5193" w:type="dxa"/>
                  <w:gridSpan w:val="2"/>
                  <w:vMerge w:val="continue"/>
                  <w:tcBorders>
                    <w:tl2br w:val="nil"/>
                    <w:tr2bl w:val="nil"/>
                  </w:tcBorders>
                  <w:vAlign w:val="center"/>
                </w:tcPr>
                <w:p w14:paraId="27C569B9">
                  <w:pPr>
                    <w:adjustRightInd w:val="0"/>
                    <w:snapToGrid w:val="0"/>
                    <w:jc w:val="center"/>
                    <w:rPr>
                      <w:b/>
                      <w:bCs/>
                      <w:color w:val="auto"/>
                      <w:szCs w:val="21"/>
                    </w:rPr>
                  </w:pPr>
                </w:p>
              </w:tc>
              <w:tc>
                <w:tcPr>
                  <w:tcW w:w="981" w:type="dxa"/>
                  <w:tcBorders>
                    <w:tl2br w:val="nil"/>
                    <w:tr2bl w:val="nil"/>
                  </w:tcBorders>
                  <w:vAlign w:val="center"/>
                </w:tcPr>
                <w:p w14:paraId="42F308C2">
                  <w:pPr>
                    <w:adjustRightInd w:val="0"/>
                    <w:snapToGrid w:val="0"/>
                    <w:jc w:val="center"/>
                    <w:rPr>
                      <w:b/>
                      <w:bCs/>
                      <w:color w:val="auto"/>
                      <w:szCs w:val="21"/>
                    </w:rPr>
                  </w:pPr>
                  <w:r>
                    <w:rPr>
                      <w:b/>
                      <w:bCs/>
                      <w:color w:val="auto"/>
                      <w:szCs w:val="21"/>
                    </w:rPr>
                    <w:t>施工期</w:t>
                  </w:r>
                </w:p>
              </w:tc>
              <w:tc>
                <w:tcPr>
                  <w:tcW w:w="869" w:type="dxa"/>
                  <w:tcBorders>
                    <w:tl2br w:val="nil"/>
                    <w:tr2bl w:val="nil"/>
                  </w:tcBorders>
                  <w:vAlign w:val="center"/>
                </w:tcPr>
                <w:p w14:paraId="0630D21A">
                  <w:pPr>
                    <w:adjustRightInd w:val="0"/>
                    <w:snapToGrid w:val="0"/>
                    <w:jc w:val="center"/>
                    <w:rPr>
                      <w:b/>
                      <w:bCs/>
                      <w:color w:val="auto"/>
                      <w:szCs w:val="21"/>
                    </w:rPr>
                  </w:pPr>
                  <w:r>
                    <w:rPr>
                      <w:b/>
                      <w:bCs/>
                      <w:color w:val="auto"/>
                      <w:szCs w:val="21"/>
                    </w:rPr>
                    <w:t>运行期</w:t>
                  </w:r>
                </w:p>
              </w:tc>
              <w:tc>
                <w:tcPr>
                  <w:tcW w:w="712" w:type="dxa"/>
                  <w:vMerge w:val="continue"/>
                  <w:tcBorders>
                    <w:tl2br w:val="nil"/>
                    <w:tr2bl w:val="nil"/>
                  </w:tcBorders>
                  <w:vAlign w:val="center"/>
                </w:tcPr>
                <w:p w14:paraId="170D832E">
                  <w:pPr>
                    <w:adjustRightInd w:val="0"/>
                    <w:snapToGrid w:val="0"/>
                    <w:jc w:val="center"/>
                    <w:rPr>
                      <w:b/>
                      <w:bCs/>
                      <w:color w:val="auto"/>
                      <w:szCs w:val="21"/>
                    </w:rPr>
                  </w:pPr>
                </w:p>
              </w:tc>
            </w:tr>
            <w:tr w14:paraId="095EEB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tcBorders>
                    <w:tl2br w:val="nil"/>
                    <w:tr2bl w:val="nil"/>
                  </w:tcBorders>
                  <w:vAlign w:val="center"/>
                </w:tcPr>
                <w:p w14:paraId="2C6B60DD">
                  <w:pPr>
                    <w:adjustRightInd w:val="0"/>
                    <w:snapToGrid w:val="0"/>
                    <w:jc w:val="center"/>
                    <w:rPr>
                      <w:color w:val="auto"/>
                      <w:szCs w:val="21"/>
                    </w:rPr>
                  </w:pPr>
                  <w:r>
                    <w:rPr>
                      <w:color w:val="auto"/>
                      <w:szCs w:val="21"/>
                    </w:rPr>
                    <w:t>主体工程</w:t>
                  </w:r>
                </w:p>
              </w:tc>
              <w:tc>
                <w:tcPr>
                  <w:tcW w:w="791" w:type="dxa"/>
                  <w:tcBorders>
                    <w:tl2br w:val="nil"/>
                    <w:tr2bl w:val="nil"/>
                  </w:tcBorders>
                  <w:vAlign w:val="center"/>
                </w:tcPr>
                <w:p w14:paraId="47DEC440">
                  <w:pPr>
                    <w:adjustRightInd w:val="0"/>
                    <w:snapToGrid w:val="0"/>
                    <w:jc w:val="center"/>
                    <w:rPr>
                      <w:rFonts w:hint="eastAsia" w:eastAsia="宋体"/>
                      <w:color w:val="auto"/>
                      <w:szCs w:val="21"/>
                      <w:highlight w:val="none"/>
                      <w:lang w:eastAsia="zh-CN"/>
                    </w:rPr>
                  </w:pPr>
                  <w:r>
                    <w:rPr>
                      <w:rFonts w:hint="eastAsia"/>
                      <w:color w:val="auto"/>
                      <w:szCs w:val="21"/>
                      <w:highlight w:val="none"/>
                      <w:lang w:eastAsia="zh-CN"/>
                    </w:rPr>
                    <w:t>房屋建筑</w:t>
                  </w:r>
                </w:p>
              </w:tc>
              <w:tc>
                <w:tcPr>
                  <w:tcW w:w="4402" w:type="dxa"/>
                  <w:tcBorders>
                    <w:tl2br w:val="nil"/>
                    <w:tr2bl w:val="nil"/>
                  </w:tcBorders>
                  <w:vAlign w:val="center"/>
                </w:tcPr>
                <w:p w14:paraId="409E24B4">
                  <w:pPr>
                    <w:overflowPunct w:val="0"/>
                    <w:autoSpaceDE w:val="0"/>
                    <w:adjustRightInd w:val="0"/>
                    <w:snapToGrid w:val="0"/>
                    <w:jc w:val="left"/>
                    <w:rPr>
                      <w:rFonts w:hint="default" w:eastAsia="宋体"/>
                      <w:color w:val="auto"/>
                      <w:szCs w:val="21"/>
                      <w:highlight w:val="none"/>
                      <w:lang w:val="en-US" w:eastAsia="zh-CN"/>
                    </w:rPr>
                  </w:pPr>
                  <w:r>
                    <w:rPr>
                      <w:rFonts w:hint="eastAsia"/>
                      <w:color w:val="auto"/>
                      <w:szCs w:val="21"/>
                      <w:highlight w:val="none"/>
                    </w:rPr>
                    <w:t>总建筑面积约36296</w:t>
                  </w:r>
                  <w:r>
                    <w:rPr>
                      <w:color w:val="auto"/>
                      <w:szCs w:val="21"/>
                    </w:rPr>
                    <w:t>m</w:t>
                  </w:r>
                  <w:r>
                    <w:rPr>
                      <w:color w:val="auto"/>
                      <w:szCs w:val="21"/>
                      <w:vertAlign w:val="superscript"/>
                    </w:rPr>
                    <w:t>2</w:t>
                  </w:r>
                  <w:r>
                    <w:rPr>
                      <w:rFonts w:hint="eastAsia"/>
                      <w:color w:val="auto"/>
                      <w:szCs w:val="21"/>
                      <w:highlight w:val="none"/>
                    </w:rPr>
                    <w:t>，其中地上建筑面积26582</w:t>
                  </w:r>
                  <w:r>
                    <w:rPr>
                      <w:color w:val="auto"/>
                      <w:szCs w:val="21"/>
                    </w:rPr>
                    <w:t>m</w:t>
                  </w:r>
                  <w:r>
                    <w:rPr>
                      <w:color w:val="auto"/>
                      <w:szCs w:val="21"/>
                      <w:vertAlign w:val="superscript"/>
                    </w:rPr>
                    <w:t>2</w:t>
                  </w:r>
                  <w:r>
                    <w:rPr>
                      <w:rFonts w:hint="eastAsia"/>
                      <w:color w:val="auto"/>
                      <w:szCs w:val="21"/>
                      <w:highlight w:val="none"/>
                    </w:rPr>
                    <w:t>，地下建筑面积9714</w:t>
                  </w:r>
                  <w:r>
                    <w:rPr>
                      <w:color w:val="auto"/>
                      <w:szCs w:val="21"/>
                    </w:rPr>
                    <w:t>m</w:t>
                  </w:r>
                  <w:r>
                    <w:rPr>
                      <w:color w:val="auto"/>
                      <w:szCs w:val="21"/>
                      <w:vertAlign w:val="superscript"/>
                    </w:rPr>
                    <w:t>2</w:t>
                  </w:r>
                  <w:r>
                    <w:rPr>
                      <w:color w:val="auto"/>
                      <w:szCs w:val="21"/>
                      <w:highlight w:val="none"/>
                    </w:rPr>
                    <w:t>，</w:t>
                  </w:r>
                  <w:r>
                    <w:rPr>
                      <w:rFonts w:hint="eastAsia"/>
                      <w:color w:val="auto"/>
                      <w:szCs w:val="21"/>
                      <w:highlight w:val="none"/>
                    </w:rPr>
                    <w:t>主要设置</w:t>
                  </w:r>
                  <w:r>
                    <w:rPr>
                      <w:rFonts w:hint="eastAsia"/>
                      <w:color w:val="auto"/>
                      <w:szCs w:val="21"/>
                      <w:highlight w:val="none"/>
                      <w:lang w:val="en-US" w:eastAsia="zh-CN"/>
                    </w:rPr>
                    <w:t>6</w:t>
                  </w:r>
                  <w:r>
                    <w:rPr>
                      <w:rFonts w:hint="eastAsia"/>
                      <w:color w:val="auto"/>
                      <w:szCs w:val="21"/>
                      <w:highlight w:val="none"/>
                    </w:rPr>
                    <w:t>栋建筑楼</w:t>
                  </w:r>
                  <w:r>
                    <w:rPr>
                      <w:rFonts w:hint="eastAsia"/>
                      <w:color w:val="auto"/>
                      <w:szCs w:val="21"/>
                      <w:highlight w:val="none"/>
                      <w:lang w:eastAsia="zh-CN"/>
                    </w:rPr>
                    <w:t>、地下室，</w:t>
                  </w:r>
                  <w:r>
                    <w:rPr>
                      <w:rFonts w:hint="eastAsia"/>
                      <w:color w:val="auto"/>
                      <w:szCs w:val="21"/>
                      <w:highlight w:val="none"/>
                    </w:rPr>
                    <w:t>各建筑特征如下：</w:t>
                  </w:r>
                </w:p>
                <w:p w14:paraId="7C39E55D">
                  <w:pPr>
                    <w:overflowPunct w:val="0"/>
                    <w:autoSpaceDE w:val="0"/>
                    <w:adjustRightInd w:val="0"/>
                    <w:snapToGrid w:val="0"/>
                    <w:jc w:val="left"/>
                    <w:rPr>
                      <w:rFonts w:hint="eastAsia"/>
                      <w:color w:val="auto"/>
                      <w:szCs w:val="21"/>
                      <w:highlight w:val="none"/>
                    </w:rPr>
                  </w:pPr>
                  <w:r>
                    <w:rPr>
                      <w:rFonts w:hint="eastAsia"/>
                      <w:color w:val="auto"/>
                      <w:szCs w:val="21"/>
                      <w:highlight w:val="none"/>
                    </w:rPr>
                    <w:t>1</w:t>
                  </w:r>
                  <w:r>
                    <w:rPr>
                      <w:rFonts w:hint="eastAsia"/>
                      <w:color w:val="auto"/>
                      <w:szCs w:val="21"/>
                      <w:highlight w:val="none"/>
                      <w:lang w:val="en-US" w:eastAsia="zh-CN"/>
                    </w:rPr>
                    <w:t>号</w:t>
                  </w:r>
                  <w:r>
                    <w:rPr>
                      <w:rFonts w:hint="eastAsia"/>
                      <w:color w:val="auto"/>
                      <w:szCs w:val="21"/>
                      <w:highlight w:val="none"/>
                    </w:rPr>
                    <w:t>楼：建筑层数：</w:t>
                  </w:r>
                  <w:r>
                    <w:rPr>
                      <w:rFonts w:hint="eastAsia"/>
                      <w:color w:val="auto"/>
                      <w:szCs w:val="21"/>
                      <w:highlight w:val="none"/>
                      <w:lang w:val="en-US" w:eastAsia="zh-CN"/>
                    </w:rPr>
                    <w:t>8</w:t>
                  </w:r>
                  <w:r>
                    <w:rPr>
                      <w:rFonts w:hint="eastAsia"/>
                      <w:color w:val="auto"/>
                      <w:szCs w:val="21"/>
                      <w:highlight w:val="none"/>
                    </w:rPr>
                    <w:t>F；建筑高度：</w:t>
                  </w:r>
                  <w:r>
                    <w:rPr>
                      <w:rFonts w:hint="eastAsia"/>
                      <w:color w:val="auto"/>
                      <w:szCs w:val="21"/>
                      <w:highlight w:val="none"/>
                      <w:lang w:val="en-US" w:eastAsia="zh-CN"/>
                    </w:rPr>
                    <w:t>24.4</w:t>
                  </w:r>
                  <w:r>
                    <w:rPr>
                      <w:rFonts w:hint="eastAsia"/>
                      <w:color w:val="auto"/>
                      <w:szCs w:val="21"/>
                      <w:highlight w:val="none"/>
                    </w:rPr>
                    <w:t>m</w:t>
                  </w:r>
                  <w:r>
                    <w:rPr>
                      <w:rFonts w:hint="eastAsia"/>
                      <w:color w:val="auto"/>
                      <w:szCs w:val="21"/>
                      <w:highlight w:val="none"/>
                      <w:lang w:eastAsia="zh-CN"/>
                    </w:rPr>
                    <w:t>，地面标高</w:t>
                  </w:r>
                  <w:r>
                    <w:rPr>
                      <w:rFonts w:hint="eastAsia"/>
                      <w:color w:val="auto"/>
                      <w:szCs w:val="21"/>
                      <w:highlight w:val="none"/>
                      <w:lang w:val="en-US" w:eastAsia="zh-CN"/>
                    </w:rPr>
                    <w:t>830.1</w:t>
                  </w:r>
                  <w:r>
                    <w:rPr>
                      <w:rFonts w:hint="eastAsia"/>
                      <w:color w:val="auto"/>
                      <w:szCs w:val="21"/>
                      <w:highlight w:val="none"/>
                    </w:rPr>
                    <w:t>。</w:t>
                  </w:r>
                </w:p>
                <w:p w14:paraId="29C54D39">
                  <w:pPr>
                    <w:overflowPunct w:val="0"/>
                    <w:autoSpaceDE w:val="0"/>
                    <w:adjustRightInd w:val="0"/>
                    <w:snapToGrid w:val="0"/>
                    <w:jc w:val="left"/>
                    <w:rPr>
                      <w:rFonts w:hint="eastAsia"/>
                      <w:color w:val="auto"/>
                      <w:szCs w:val="21"/>
                      <w:highlight w:val="none"/>
                    </w:rPr>
                  </w:pPr>
                  <w:r>
                    <w:rPr>
                      <w:rFonts w:hint="eastAsia"/>
                      <w:color w:val="auto"/>
                      <w:szCs w:val="21"/>
                      <w:highlight w:val="none"/>
                      <w:lang w:val="en-US" w:eastAsia="zh-CN"/>
                    </w:rPr>
                    <w:t>2号楼：</w:t>
                  </w:r>
                  <w:r>
                    <w:rPr>
                      <w:rFonts w:hint="eastAsia"/>
                      <w:color w:val="auto"/>
                      <w:szCs w:val="21"/>
                      <w:highlight w:val="none"/>
                    </w:rPr>
                    <w:t>建筑层数：</w:t>
                  </w:r>
                  <w:r>
                    <w:rPr>
                      <w:rFonts w:hint="eastAsia"/>
                      <w:color w:val="auto"/>
                      <w:szCs w:val="21"/>
                      <w:highlight w:val="none"/>
                      <w:lang w:val="en-US" w:eastAsia="zh-CN"/>
                    </w:rPr>
                    <w:t>8</w:t>
                  </w:r>
                  <w:r>
                    <w:rPr>
                      <w:rFonts w:hint="eastAsia"/>
                      <w:color w:val="auto"/>
                      <w:szCs w:val="21"/>
                      <w:highlight w:val="none"/>
                    </w:rPr>
                    <w:t>F；建筑高度：</w:t>
                  </w:r>
                  <w:r>
                    <w:rPr>
                      <w:rFonts w:hint="eastAsia"/>
                      <w:color w:val="auto"/>
                      <w:szCs w:val="21"/>
                      <w:highlight w:val="none"/>
                      <w:lang w:val="en-US" w:eastAsia="zh-CN"/>
                    </w:rPr>
                    <w:t>24.4</w:t>
                  </w:r>
                  <w:r>
                    <w:rPr>
                      <w:rFonts w:hint="eastAsia"/>
                      <w:color w:val="auto"/>
                      <w:szCs w:val="21"/>
                      <w:highlight w:val="none"/>
                    </w:rPr>
                    <w:t>m</w:t>
                  </w:r>
                  <w:r>
                    <w:rPr>
                      <w:rFonts w:hint="eastAsia"/>
                      <w:color w:val="auto"/>
                      <w:szCs w:val="21"/>
                      <w:highlight w:val="none"/>
                      <w:lang w:eastAsia="zh-CN"/>
                    </w:rPr>
                    <w:t>，地面标高</w:t>
                  </w:r>
                  <w:r>
                    <w:rPr>
                      <w:rFonts w:hint="eastAsia"/>
                      <w:color w:val="auto"/>
                      <w:szCs w:val="21"/>
                      <w:highlight w:val="none"/>
                      <w:lang w:val="en-US" w:eastAsia="zh-CN"/>
                    </w:rPr>
                    <w:t>830.1</w:t>
                  </w:r>
                  <w:r>
                    <w:rPr>
                      <w:rFonts w:hint="eastAsia"/>
                      <w:color w:val="auto"/>
                      <w:szCs w:val="21"/>
                      <w:highlight w:val="none"/>
                    </w:rPr>
                    <w:t>。</w:t>
                  </w:r>
                </w:p>
                <w:p w14:paraId="18D4F42B">
                  <w:pPr>
                    <w:overflowPunct w:val="0"/>
                    <w:autoSpaceDE w:val="0"/>
                    <w:adjustRightInd w:val="0"/>
                    <w:snapToGrid w:val="0"/>
                    <w:jc w:val="left"/>
                    <w:rPr>
                      <w:rFonts w:hint="eastAsia"/>
                      <w:color w:val="auto"/>
                      <w:szCs w:val="21"/>
                      <w:highlight w:val="none"/>
                    </w:rPr>
                  </w:pPr>
                  <w:r>
                    <w:rPr>
                      <w:rFonts w:hint="eastAsia"/>
                      <w:color w:val="auto"/>
                      <w:szCs w:val="21"/>
                      <w:highlight w:val="none"/>
                      <w:lang w:val="en-US" w:eastAsia="zh-CN"/>
                    </w:rPr>
                    <w:t>3号楼：</w:t>
                  </w:r>
                  <w:r>
                    <w:rPr>
                      <w:rFonts w:hint="eastAsia"/>
                      <w:color w:val="auto"/>
                      <w:szCs w:val="21"/>
                      <w:highlight w:val="none"/>
                    </w:rPr>
                    <w:t>建筑层数：</w:t>
                  </w:r>
                  <w:r>
                    <w:rPr>
                      <w:rFonts w:hint="eastAsia"/>
                      <w:color w:val="auto"/>
                      <w:szCs w:val="21"/>
                      <w:highlight w:val="none"/>
                      <w:lang w:val="en-US" w:eastAsia="zh-CN"/>
                    </w:rPr>
                    <w:t>8</w:t>
                  </w:r>
                  <w:r>
                    <w:rPr>
                      <w:rFonts w:hint="eastAsia"/>
                      <w:color w:val="auto"/>
                      <w:szCs w:val="21"/>
                      <w:highlight w:val="none"/>
                    </w:rPr>
                    <w:t>F；建筑高度：</w:t>
                  </w:r>
                  <w:r>
                    <w:rPr>
                      <w:rFonts w:hint="eastAsia"/>
                      <w:color w:val="auto"/>
                      <w:szCs w:val="21"/>
                      <w:highlight w:val="none"/>
                      <w:lang w:val="en-US" w:eastAsia="zh-CN"/>
                    </w:rPr>
                    <w:t>24.4</w:t>
                  </w:r>
                  <w:r>
                    <w:rPr>
                      <w:rFonts w:hint="eastAsia"/>
                      <w:color w:val="auto"/>
                      <w:szCs w:val="21"/>
                      <w:highlight w:val="none"/>
                    </w:rPr>
                    <w:t>m</w:t>
                  </w:r>
                  <w:r>
                    <w:rPr>
                      <w:rFonts w:hint="eastAsia"/>
                      <w:color w:val="auto"/>
                      <w:szCs w:val="21"/>
                      <w:highlight w:val="none"/>
                      <w:lang w:eastAsia="zh-CN"/>
                    </w:rPr>
                    <w:t>，地面标高</w:t>
                  </w:r>
                  <w:r>
                    <w:rPr>
                      <w:rFonts w:hint="eastAsia"/>
                      <w:color w:val="auto"/>
                      <w:szCs w:val="21"/>
                      <w:highlight w:val="none"/>
                      <w:lang w:val="en-US" w:eastAsia="zh-CN"/>
                    </w:rPr>
                    <w:t>830.1</w:t>
                  </w:r>
                  <w:r>
                    <w:rPr>
                      <w:rFonts w:hint="eastAsia"/>
                      <w:color w:val="auto"/>
                      <w:szCs w:val="21"/>
                      <w:highlight w:val="none"/>
                    </w:rPr>
                    <w:t>。</w:t>
                  </w:r>
                </w:p>
                <w:p w14:paraId="534E51E9">
                  <w:pPr>
                    <w:overflowPunct w:val="0"/>
                    <w:autoSpaceDE w:val="0"/>
                    <w:adjustRightInd w:val="0"/>
                    <w:snapToGrid w:val="0"/>
                    <w:jc w:val="left"/>
                    <w:rPr>
                      <w:rFonts w:hint="eastAsia"/>
                      <w:color w:val="auto"/>
                      <w:szCs w:val="21"/>
                      <w:highlight w:val="none"/>
                    </w:rPr>
                  </w:pPr>
                  <w:r>
                    <w:rPr>
                      <w:rFonts w:hint="eastAsia"/>
                      <w:color w:val="auto"/>
                      <w:szCs w:val="21"/>
                      <w:highlight w:val="none"/>
                      <w:lang w:val="en-US" w:eastAsia="zh-CN"/>
                    </w:rPr>
                    <w:t>4号楼：</w:t>
                  </w:r>
                  <w:r>
                    <w:rPr>
                      <w:rFonts w:hint="eastAsia"/>
                      <w:color w:val="auto"/>
                      <w:szCs w:val="21"/>
                      <w:highlight w:val="none"/>
                    </w:rPr>
                    <w:t>建筑层数：</w:t>
                  </w:r>
                  <w:r>
                    <w:rPr>
                      <w:rFonts w:hint="eastAsia"/>
                      <w:color w:val="auto"/>
                      <w:szCs w:val="21"/>
                      <w:highlight w:val="none"/>
                      <w:lang w:val="en-US" w:eastAsia="zh-CN"/>
                    </w:rPr>
                    <w:t>8</w:t>
                  </w:r>
                  <w:r>
                    <w:rPr>
                      <w:rFonts w:hint="eastAsia"/>
                      <w:color w:val="auto"/>
                      <w:szCs w:val="21"/>
                      <w:highlight w:val="none"/>
                    </w:rPr>
                    <w:t>F；建筑高度：</w:t>
                  </w:r>
                  <w:r>
                    <w:rPr>
                      <w:rFonts w:hint="eastAsia"/>
                      <w:color w:val="auto"/>
                      <w:szCs w:val="21"/>
                      <w:highlight w:val="none"/>
                      <w:lang w:val="en-US" w:eastAsia="zh-CN"/>
                    </w:rPr>
                    <w:t>24.4</w:t>
                  </w:r>
                  <w:r>
                    <w:rPr>
                      <w:rFonts w:hint="eastAsia"/>
                      <w:color w:val="auto"/>
                      <w:szCs w:val="21"/>
                      <w:highlight w:val="none"/>
                    </w:rPr>
                    <w:t>m</w:t>
                  </w:r>
                  <w:r>
                    <w:rPr>
                      <w:rFonts w:hint="eastAsia"/>
                      <w:color w:val="auto"/>
                      <w:szCs w:val="21"/>
                      <w:highlight w:val="none"/>
                      <w:lang w:eastAsia="zh-CN"/>
                    </w:rPr>
                    <w:t>，地面标高</w:t>
                  </w:r>
                  <w:r>
                    <w:rPr>
                      <w:rFonts w:hint="eastAsia"/>
                      <w:color w:val="auto"/>
                      <w:szCs w:val="21"/>
                      <w:highlight w:val="none"/>
                      <w:lang w:val="en-US" w:eastAsia="zh-CN"/>
                    </w:rPr>
                    <w:t>830.1</w:t>
                  </w:r>
                  <w:r>
                    <w:rPr>
                      <w:rFonts w:hint="eastAsia"/>
                      <w:color w:val="auto"/>
                      <w:szCs w:val="21"/>
                      <w:highlight w:val="none"/>
                    </w:rPr>
                    <w:t>。</w:t>
                  </w:r>
                </w:p>
                <w:p w14:paraId="38660183">
                  <w:pPr>
                    <w:overflowPunct w:val="0"/>
                    <w:autoSpaceDE w:val="0"/>
                    <w:adjustRightInd w:val="0"/>
                    <w:snapToGrid w:val="0"/>
                    <w:jc w:val="left"/>
                    <w:rPr>
                      <w:rFonts w:hint="eastAsia"/>
                      <w:color w:val="auto"/>
                      <w:szCs w:val="21"/>
                      <w:highlight w:val="none"/>
                    </w:rPr>
                  </w:pPr>
                  <w:r>
                    <w:rPr>
                      <w:rFonts w:hint="eastAsia"/>
                      <w:color w:val="auto"/>
                      <w:szCs w:val="21"/>
                      <w:highlight w:val="none"/>
                      <w:lang w:val="en-US" w:eastAsia="zh-CN"/>
                    </w:rPr>
                    <w:t>11号楼：</w:t>
                  </w:r>
                  <w:r>
                    <w:rPr>
                      <w:rFonts w:hint="eastAsia"/>
                      <w:color w:val="auto"/>
                      <w:szCs w:val="21"/>
                      <w:highlight w:val="none"/>
                    </w:rPr>
                    <w:t>建筑层数：</w:t>
                  </w:r>
                  <w:r>
                    <w:rPr>
                      <w:rFonts w:hint="eastAsia"/>
                      <w:color w:val="auto"/>
                      <w:szCs w:val="21"/>
                      <w:highlight w:val="none"/>
                      <w:lang w:val="en-US" w:eastAsia="zh-CN"/>
                    </w:rPr>
                    <w:t>8</w:t>
                  </w:r>
                  <w:r>
                    <w:rPr>
                      <w:rFonts w:hint="eastAsia"/>
                      <w:color w:val="auto"/>
                      <w:szCs w:val="21"/>
                      <w:highlight w:val="none"/>
                    </w:rPr>
                    <w:t>F；建筑高度：</w:t>
                  </w:r>
                  <w:r>
                    <w:rPr>
                      <w:rFonts w:hint="eastAsia"/>
                      <w:color w:val="auto"/>
                      <w:szCs w:val="21"/>
                      <w:highlight w:val="none"/>
                      <w:lang w:val="en-US" w:eastAsia="zh-CN"/>
                    </w:rPr>
                    <w:t>24.4</w:t>
                  </w:r>
                  <w:r>
                    <w:rPr>
                      <w:rFonts w:hint="eastAsia"/>
                      <w:color w:val="auto"/>
                      <w:szCs w:val="21"/>
                      <w:highlight w:val="none"/>
                    </w:rPr>
                    <w:t>m</w:t>
                  </w:r>
                  <w:r>
                    <w:rPr>
                      <w:rFonts w:hint="eastAsia"/>
                      <w:color w:val="auto"/>
                      <w:szCs w:val="21"/>
                      <w:highlight w:val="none"/>
                      <w:lang w:eastAsia="zh-CN"/>
                    </w:rPr>
                    <w:t>，地面标高</w:t>
                  </w:r>
                  <w:r>
                    <w:rPr>
                      <w:rFonts w:hint="eastAsia"/>
                      <w:color w:val="auto"/>
                      <w:szCs w:val="21"/>
                      <w:highlight w:val="none"/>
                      <w:lang w:val="en-US" w:eastAsia="zh-CN"/>
                    </w:rPr>
                    <w:t>831.0</w:t>
                  </w:r>
                  <w:r>
                    <w:rPr>
                      <w:rFonts w:hint="eastAsia"/>
                      <w:color w:val="auto"/>
                      <w:szCs w:val="21"/>
                      <w:highlight w:val="none"/>
                    </w:rPr>
                    <w:t>。</w:t>
                  </w:r>
                </w:p>
                <w:p w14:paraId="3CD58010">
                  <w:pPr>
                    <w:overflowPunct w:val="0"/>
                    <w:autoSpaceDE w:val="0"/>
                    <w:adjustRightInd w:val="0"/>
                    <w:snapToGrid w:val="0"/>
                    <w:jc w:val="left"/>
                    <w:rPr>
                      <w:rFonts w:hint="eastAsia"/>
                      <w:color w:val="auto"/>
                      <w:szCs w:val="21"/>
                      <w:highlight w:val="none"/>
                    </w:rPr>
                  </w:pPr>
                  <w:r>
                    <w:rPr>
                      <w:rFonts w:hint="eastAsia"/>
                      <w:color w:val="auto"/>
                      <w:szCs w:val="21"/>
                      <w:highlight w:val="none"/>
                      <w:lang w:val="en-US" w:eastAsia="zh-CN"/>
                    </w:rPr>
                    <w:t>12号楼：</w:t>
                  </w:r>
                  <w:r>
                    <w:rPr>
                      <w:rFonts w:hint="eastAsia"/>
                      <w:color w:val="auto"/>
                      <w:szCs w:val="21"/>
                      <w:highlight w:val="none"/>
                    </w:rPr>
                    <w:t>建筑层数：</w:t>
                  </w:r>
                  <w:r>
                    <w:rPr>
                      <w:rFonts w:hint="eastAsia"/>
                      <w:color w:val="auto"/>
                      <w:szCs w:val="21"/>
                      <w:highlight w:val="none"/>
                      <w:lang w:val="en-US" w:eastAsia="zh-CN"/>
                    </w:rPr>
                    <w:t>8</w:t>
                  </w:r>
                  <w:r>
                    <w:rPr>
                      <w:rFonts w:hint="eastAsia"/>
                      <w:color w:val="auto"/>
                      <w:szCs w:val="21"/>
                      <w:highlight w:val="none"/>
                    </w:rPr>
                    <w:t>F；建筑高度：</w:t>
                  </w:r>
                  <w:r>
                    <w:rPr>
                      <w:rFonts w:hint="eastAsia"/>
                      <w:color w:val="auto"/>
                      <w:szCs w:val="21"/>
                      <w:highlight w:val="none"/>
                      <w:lang w:val="en-US" w:eastAsia="zh-CN"/>
                    </w:rPr>
                    <w:t>24.4</w:t>
                  </w:r>
                  <w:r>
                    <w:rPr>
                      <w:rFonts w:hint="eastAsia"/>
                      <w:color w:val="auto"/>
                      <w:szCs w:val="21"/>
                      <w:highlight w:val="none"/>
                    </w:rPr>
                    <w:t>m</w:t>
                  </w:r>
                  <w:r>
                    <w:rPr>
                      <w:rFonts w:hint="eastAsia"/>
                      <w:color w:val="auto"/>
                      <w:szCs w:val="21"/>
                      <w:highlight w:val="none"/>
                      <w:lang w:eastAsia="zh-CN"/>
                    </w:rPr>
                    <w:t>，地面标高</w:t>
                  </w:r>
                  <w:r>
                    <w:rPr>
                      <w:rFonts w:hint="eastAsia"/>
                      <w:color w:val="auto"/>
                      <w:szCs w:val="21"/>
                      <w:highlight w:val="none"/>
                      <w:lang w:val="en-US" w:eastAsia="zh-CN"/>
                    </w:rPr>
                    <w:t>831.1</w:t>
                  </w:r>
                  <w:r>
                    <w:rPr>
                      <w:rFonts w:hint="eastAsia"/>
                      <w:color w:val="auto"/>
                      <w:szCs w:val="21"/>
                      <w:highlight w:val="none"/>
                    </w:rPr>
                    <w:t>。</w:t>
                  </w:r>
                </w:p>
                <w:p w14:paraId="23E17C9D">
                  <w:pPr>
                    <w:overflowPunct w:val="0"/>
                    <w:autoSpaceDE w:val="0"/>
                    <w:adjustRightInd w:val="0"/>
                    <w:snapToGrid w:val="0"/>
                    <w:jc w:val="left"/>
                    <w:rPr>
                      <w:rFonts w:hint="eastAsia"/>
                      <w:color w:val="auto"/>
                      <w:szCs w:val="21"/>
                      <w:highlight w:val="none"/>
                    </w:rPr>
                  </w:pPr>
                  <w:r>
                    <w:rPr>
                      <w:rFonts w:hint="eastAsia"/>
                      <w:color w:val="auto"/>
                      <w:szCs w:val="21"/>
                      <w:highlight w:val="none"/>
                      <w:lang w:val="en-US" w:eastAsia="zh-CN"/>
                    </w:rPr>
                    <w:t>门卫室：</w:t>
                  </w:r>
                  <w:r>
                    <w:rPr>
                      <w:rFonts w:hint="eastAsia"/>
                      <w:color w:val="auto"/>
                      <w:szCs w:val="21"/>
                      <w:highlight w:val="none"/>
                    </w:rPr>
                    <w:t>建筑层数：</w:t>
                  </w:r>
                  <w:r>
                    <w:rPr>
                      <w:rFonts w:hint="eastAsia"/>
                      <w:color w:val="auto"/>
                      <w:szCs w:val="21"/>
                      <w:highlight w:val="none"/>
                      <w:lang w:val="en-US" w:eastAsia="zh-CN"/>
                    </w:rPr>
                    <w:t>1</w:t>
                  </w:r>
                  <w:r>
                    <w:rPr>
                      <w:rFonts w:hint="eastAsia"/>
                      <w:color w:val="auto"/>
                      <w:szCs w:val="21"/>
                      <w:highlight w:val="none"/>
                    </w:rPr>
                    <w:t>F；建筑高度：</w:t>
                  </w:r>
                  <w:r>
                    <w:rPr>
                      <w:rFonts w:hint="eastAsia"/>
                      <w:color w:val="auto"/>
                      <w:szCs w:val="21"/>
                      <w:highlight w:val="none"/>
                      <w:lang w:val="en-US" w:eastAsia="zh-CN"/>
                    </w:rPr>
                    <w:t>4.2</w:t>
                  </w:r>
                  <w:r>
                    <w:rPr>
                      <w:rFonts w:hint="eastAsia"/>
                      <w:color w:val="auto"/>
                      <w:szCs w:val="21"/>
                      <w:highlight w:val="none"/>
                    </w:rPr>
                    <w:t>m</w:t>
                  </w:r>
                  <w:r>
                    <w:rPr>
                      <w:rFonts w:hint="eastAsia"/>
                      <w:color w:val="auto"/>
                      <w:szCs w:val="21"/>
                      <w:highlight w:val="none"/>
                      <w:lang w:eastAsia="zh-CN"/>
                    </w:rPr>
                    <w:t>，地面标高</w:t>
                  </w:r>
                  <w:r>
                    <w:rPr>
                      <w:rFonts w:hint="eastAsia"/>
                      <w:color w:val="auto"/>
                      <w:szCs w:val="21"/>
                      <w:highlight w:val="none"/>
                      <w:lang w:val="en-US" w:eastAsia="zh-CN"/>
                    </w:rPr>
                    <w:t>826.0</w:t>
                  </w:r>
                  <w:r>
                    <w:rPr>
                      <w:rFonts w:hint="eastAsia"/>
                      <w:color w:val="auto"/>
                      <w:szCs w:val="21"/>
                      <w:highlight w:val="none"/>
                    </w:rPr>
                    <w:t>。</w:t>
                  </w:r>
                </w:p>
                <w:p w14:paraId="78F6AEC3">
                  <w:pPr>
                    <w:overflowPunct w:val="0"/>
                    <w:autoSpaceDE w:val="0"/>
                    <w:adjustRightInd w:val="0"/>
                    <w:snapToGrid w:val="0"/>
                    <w:jc w:val="left"/>
                    <w:rPr>
                      <w:rFonts w:hint="eastAsia" w:eastAsia="宋体"/>
                      <w:color w:val="auto"/>
                      <w:szCs w:val="21"/>
                      <w:highlight w:val="none"/>
                      <w:lang w:eastAsia="zh-CN"/>
                    </w:rPr>
                  </w:pPr>
                  <w:r>
                    <w:rPr>
                      <w:rFonts w:hint="eastAsia"/>
                      <w:color w:val="auto"/>
                      <w:szCs w:val="21"/>
                      <w:highlight w:val="none"/>
                    </w:rPr>
                    <w:t>地下室：建筑层数：-1F；</w:t>
                  </w:r>
                  <w:r>
                    <w:rPr>
                      <w:rFonts w:hint="eastAsia"/>
                      <w:color w:val="auto"/>
                      <w:szCs w:val="21"/>
                      <w:highlight w:val="none"/>
                      <w:lang w:eastAsia="zh-CN"/>
                    </w:rPr>
                    <w:t>高度</w:t>
                  </w:r>
                  <w:r>
                    <w:rPr>
                      <w:rFonts w:hint="eastAsia"/>
                      <w:color w:val="auto"/>
                      <w:szCs w:val="21"/>
                      <w:highlight w:val="none"/>
                      <w:lang w:val="en-US" w:eastAsia="zh-CN"/>
                    </w:rPr>
                    <w:t>3.9m，</w:t>
                  </w:r>
                  <w:r>
                    <w:rPr>
                      <w:rFonts w:hint="eastAsia"/>
                      <w:color w:val="auto"/>
                      <w:szCs w:val="21"/>
                      <w:highlight w:val="none"/>
                      <w:lang w:eastAsia="zh-CN"/>
                    </w:rPr>
                    <w:t>位于</w:t>
                  </w:r>
                  <w:r>
                    <w:rPr>
                      <w:rFonts w:hint="eastAsia"/>
                      <w:color w:val="auto"/>
                      <w:szCs w:val="21"/>
                      <w:highlight w:val="none"/>
                      <w:lang w:val="en-US" w:eastAsia="zh-CN"/>
                    </w:rPr>
                    <w:t>1号、2号、3号、4号楼地下</w:t>
                  </w:r>
                  <w:r>
                    <w:rPr>
                      <w:rFonts w:hint="eastAsia"/>
                      <w:color w:val="auto"/>
                      <w:szCs w:val="21"/>
                      <w:highlight w:val="none"/>
                      <w:lang w:eastAsia="zh-CN"/>
                    </w:rPr>
                    <w:t>，设置非机动车库、机动车库、充电桩等。</w:t>
                  </w:r>
                </w:p>
              </w:tc>
              <w:tc>
                <w:tcPr>
                  <w:tcW w:w="981" w:type="dxa"/>
                  <w:vMerge w:val="restart"/>
                  <w:tcBorders>
                    <w:tl2br w:val="nil"/>
                    <w:tr2bl w:val="nil"/>
                  </w:tcBorders>
                  <w:vAlign w:val="center"/>
                </w:tcPr>
                <w:p w14:paraId="5F9AB454">
                  <w:pPr>
                    <w:adjustRightInd w:val="0"/>
                    <w:snapToGrid w:val="0"/>
                    <w:jc w:val="left"/>
                    <w:rPr>
                      <w:color w:val="auto"/>
                      <w:szCs w:val="21"/>
                    </w:rPr>
                  </w:pPr>
                  <w:r>
                    <w:rPr>
                      <w:color w:val="auto"/>
                      <w:szCs w:val="21"/>
                    </w:rPr>
                    <w:t>施工扬尘、噪声、废水、建筑垃圾、固废、水土流失等</w:t>
                  </w:r>
                </w:p>
              </w:tc>
              <w:tc>
                <w:tcPr>
                  <w:tcW w:w="869" w:type="dxa"/>
                  <w:tcBorders>
                    <w:tl2br w:val="nil"/>
                    <w:tr2bl w:val="nil"/>
                  </w:tcBorders>
                  <w:vAlign w:val="center"/>
                </w:tcPr>
                <w:p w14:paraId="57F06CA6">
                  <w:pPr>
                    <w:adjustRightInd w:val="0"/>
                    <w:snapToGrid w:val="0"/>
                    <w:jc w:val="center"/>
                    <w:rPr>
                      <w:color w:val="auto"/>
                      <w:szCs w:val="21"/>
                    </w:rPr>
                  </w:pPr>
                  <w:r>
                    <w:rPr>
                      <w:color w:val="auto"/>
                      <w:szCs w:val="21"/>
                    </w:rPr>
                    <w:t>废水、废气、噪声、固废</w:t>
                  </w:r>
                </w:p>
              </w:tc>
              <w:tc>
                <w:tcPr>
                  <w:tcW w:w="712" w:type="dxa"/>
                  <w:tcBorders>
                    <w:tl2br w:val="nil"/>
                    <w:tr2bl w:val="nil"/>
                  </w:tcBorders>
                  <w:vAlign w:val="center"/>
                </w:tcPr>
                <w:p w14:paraId="02283FC0">
                  <w:pPr>
                    <w:adjustRightInd w:val="0"/>
                    <w:snapToGrid w:val="0"/>
                    <w:jc w:val="center"/>
                    <w:rPr>
                      <w:color w:val="auto"/>
                      <w:szCs w:val="21"/>
                    </w:rPr>
                  </w:pPr>
                  <w:r>
                    <w:rPr>
                      <w:rFonts w:hint="eastAsia"/>
                      <w:color w:val="auto"/>
                      <w:szCs w:val="21"/>
                    </w:rPr>
                    <w:t>新建</w:t>
                  </w:r>
                </w:p>
              </w:tc>
            </w:tr>
            <w:tr w14:paraId="2E34AF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restart"/>
                  <w:tcBorders>
                    <w:tl2br w:val="nil"/>
                    <w:tr2bl w:val="nil"/>
                  </w:tcBorders>
                  <w:vAlign w:val="center"/>
                </w:tcPr>
                <w:p w14:paraId="476625D9">
                  <w:pPr>
                    <w:adjustRightInd w:val="0"/>
                    <w:snapToGrid w:val="0"/>
                    <w:jc w:val="center"/>
                    <w:rPr>
                      <w:color w:val="auto"/>
                      <w:szCs w:val="21"/>
                    </w:rPr>
                  </w:pPr>
                  <w:r>
                    <w:rPr>
                      <w:rFonts w:hint="eastAsia"/>
                      <w:color w:val="auto"/>
                      <w:szCs w:val="21"/>
                    </w:rPr>
                    <w:t>辅助工程</w:t>
                  </w:r>
                </w:p>
              </w:tc>
              <w:tc>
                <w:tcPr>
                  <w:tcW w:w="791" w:type="dxa"/>
                  <w:tcBorders>
                    <w:tl2br w:val="nil"/>
                    <w:tr2bl w:val="nil"/>
                  </w:tcBorders>
                  <w:shd w:val="clear" w:color="auto" w:fill="auto"/>
                  <w:vAlign w:val="center"/>
                </w:tcPr>
                <w:p w14:paraId="02105A12">
                  <w:pPr>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物业用房</w:t>
                  </w:r>
                </w:p>
              </w:tc>
              <w:tc>
                <w:tcPr>
                  <w:tcW w:w="4402" w:type="dxa"/>
                  <w:tcBorders>
                    <w:tl2br w:val="nil"/>
                    <w:tr2bl w:val="nil"/>
                  </w:tcBorders>
                  <w:shd w:val="clear" w:color="auto" w:fill="auto"/>
                  <w:vAlign w:val="center"/>
                </w:tcPr>
                <w:p w14:paraId="02BFA6C5">
                  <w:pPr>
                    <w:overflowPunct w:val="0"/>
                    <w:autoSpaceDE w:val="0"/>
                    <w:adjustRightInd w:val="0"/>
                    <w:snapToGrid w:val="0"/>
                    <w:jc w:val="left"/>
                    <w:rPr>
                      <w:rFonts w:hint="eastAsia" w:ascii="Times New Roman" w:hAnsi="Times New Roman" w:eastAsia="宋体" w:cs="Times New Roman"/>
                      <w:color w:val="auto"/>
                      <w:kern w:val="2"/>
                      <w:sz w:val="21"/>
                      <w:szCs w:val="21"/>
                      <w:lang w:val="en-US" w:eastAsia="zh-CN" w:bidi="ar-SA"/>
                    </w:rPr>
                  </w:pPr>
                  <w:r>
                    <w:rPr>
                      <w:rFonts w:hint="eastAsia"/>
                      <w:color w:val="auto"/>
                      <w:szCs w:val="21"/>
                    </w:rPr>
                    <w:t>位于</w:t>
                  </w:r>
                  <w:r>
                    <w:rPr>
                      <w:rFonts w:hint="eastAsia"/>
                      <w:color w:val="auto"/>
                      <w:szCs w:val="21"/>
                      <w:lang w:val="en-US" w:eastAsia="zh-CN"/>
                    </w:rPr>
                    <w:t>地下室东南侧，建筑面积60.73</w:t>
                  </w:r>
                  <w:r>
                    <w:rPr>
                      <w:color w:val="auto"/>
                      <w:szCs w:val="21"/>
                    </w:rPr>
                    <w:t>m</w:t>
                  </w:r>
                  <w:r>
                    <w:rPr>
                      <w:color w:val="auto"/>
                      <w:szCs w:val="21"/>
                      <w:vertAlign w:val="superscript"/>
                    </w:rPr>
                    <w:t>2</w:t>
                  </w:r>
                  <w:r>
                    <w:rPr>
                      <w:rFonts w:hint="eastAsia"/>
                      <w:color w:val="auto"/>
                      <w:szCs w:val="21"/>
                      <w:vertAlign w:val="baseline"/>
                      <w:lang w:eastAsia="zh-CN"/>
                    </w:rPr>
                    <w:t>，位于</w:t>
                  </w:r>
                  <w:r>
                    <w:rPr>
                      <w:rFonts w:hint="eastAsia"/>
                      <w:color w:val="auto"/>
                      <w:szCs w:val="21"/>
                      <w:vertAlign w:val="baseline"/>
                      <w:lang w:val="en-US" w:eastAsia="zh-CN"/>
                    </w:rPr>
                    <w:t>1号楼地下</w:t>
                  </w:r>
                  <w:r>
                    <w:rPr>
                      <w:rFonts w:hint="eastAsia"/>
                      <w:color w:val="auto"/>
                      <w:szCs w:val="21"/>
                      <w:lang w:eastAsia="zh-CN"/>
                    </w:rPr>
                    <w:t>。</w:t>
                  </w:r>
                </w:p>
              </w:tc>
              <w:tc>
                <w:tcPr>
                  <w:tcW w:w="981" w:type="dxa"/>
                  <w:vMerge w:val="continue"/>
                  <w:tcBorders>
                    <w:tl2br w:val="nil"/>
                    <w:tr2bl w:val="nil"/>
                  </w:tcBorders>
                  <w:vAlign w:val="center"/>
                </w:tcPr>
                <w:p w14:paraId="6CB54CB1">
                  <w:pPr>
                    <w:adjustRightInd w:val="0"/>
                    <w:snapToGrid w:val="0"/>
                    <w:jc w:val="left"/>
                    <w:rPr>
                      <w:color w:val="auto"/>
                      <w:szCs w:val="21"/>
                    </w:rPr>
                  </w:pPr>
                </w:p>
              </w:tc>
              <w:tc>
                <w:tcPr>
                  <w:tcW w:w="869" w:type="dxa"/>
                  <w:tcBorders>
                    <w:tl2br w:val="nil"/>
                    <w:tr2bl w:val="nil"/>
                  </w:tcBorders>
                  <w:vAlign w:val="center"/>
                </w:tcPr>
                <w:p w14:paraId="712CFB9A">
                  <w:pPr>
                    <w:adjustRightInd w:val="0"/>
                    <w:snapToGrid w:val="0"/>
                    <w:jc w:val="center"/>
                    <w:rPr>
                      <w:rFonts w:hint="eastAsia" w:eastAsia="宋体"/>
                      <w:color w:val="auto"/>
                      <w:szCs w:val="21"/>
                      <w:highlight w:val="none"/>
                      <w:lang w:eastAsia="zh-CN"/>
                    </w:rPr>
                  </w:pPr>
                  <w:r>
                    <w:rPr>
                      <w:rFonts w:hint="eastAsia"/>
                      <w:color w:val="auto"/>
                      <w:szCs w:val="21"/>
                      <w:highlight w:val="none"/>
                      <w:lang w:eastAsia="zh-CN"/>
                    </w:rPr>
                    <w:t>恶臭</w:t>
                  </w:r>
                </w:p>
              </w:tc>
              <w:tc>
                <w:tcPr>
                  <w:tcW w:w="712" w:type="dxa"/>
                  <w:tcBorders>
                    <w:tl2br w:val="nil"/>
                    <w:tr2bl w:val="nil"/>
                  </w:tcBorders>
                  <w:vAlign w:val="center"/>
                </w:tcPr>
                <w:p w14:paraId="2A16BDD9">
                  <w:pPr>
                    <w:adjustRightInd w:val="0"/>
                    <w:snapToGrid w:val="0"/>
                    <w:jc w:val="center"/>
                    <w:rPr>
                      <w:color w:val="auto"/>
                      <w:szCs w:val="21"/>
                    </w:rPr>
                  </w:pPr>
                  <w:r>
                    <w:rPr>
                      <w:rFonts w:hint="eastAsia"/>
                      <w:color w:val="auto"/>
                      <w:szCs w:val="21"/>
                    </w:rPr>
                    <w:t>新建</w:t>
                  </w:r>
                </w:p>
              </w:tc>
            </w:tr>
            <w:tr w14:paraId="14248C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4316E75C">
                  <w:pPr>
                    <w:adjustRightInd w:val="0"/>
                    <w:snapToGrid w:val="0"/>
                    <w:jc w:val="center"/>
                    <w:rPr>
                      <w:rFonts w:hint="eastAsia"/>
                      <w:color w:val="auto"/>
                      <w:szCs w:val="21"/>
                    </w:rPr>
                  </w:pPr>
                </w:p>
              </w:tc>
              <w:tc>
                <w:tcPr>
                  <w:tcW w:w="791" w:type="dxa"/>
                  <w:tcBorders>
                    <w:tl2br w:val="nil"/>
                    <w:tr2bl w:val="nil"/>
                  </w:tcBorders>
                  <w:shd w:val="clear" w:color="auto" w:fill="auto"/>
                  <w:vAlign w:val="center"/>
                </w:tcPr>
                <w:p w14:paraId="4D6D3BCD">
                  <w:pPr>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弱电机房、配电房</w:t>
                  </w:r>
                </w:p>
              </w:tc>
              <w:tc>
                <w:tcPr>
                  <w:tcW w:w="4402" w:type="dxa"/>
                  <w:tcBorders>
                    <w:tl2br w:val="nil"/>
                    <w:tr2bl w:val="nil"/>
                  </w:tcBorders>
                  <w:shd w:val="clear" w:color="auto" w:fill="auto"/>
                  <w:vAlign w:val="center"/>
                </w:tcPr>
                <w:p w14:paraId="0C5E2CF4">
                  <w:pPr>
                    <w:overflowPunct w:val="0"/>
                    <w:autoSpaceDE w:val="0"/>
                    <w:adjustRightInd w:val="0"/>
                    <w:snapToGrid w:val="0"/>
                    <w:jc w:val="left"/>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弱电机房</w:t>
                  </w:r>
                  <w:r>
                    <w:rPr>
                      <w:rFonts w:hint="eastAsia"/>
                      <w:color w:val="auto"/>
                      <w:szCs w:val="21"/>
                    </w:rPr>
                    <w:t>位于</w:t>
                  </w:r>
                  <w:r>
                    <w:rPr>
                      <w:rFonts w:hint="eastAsia"/>
                      <w:color w:val="auto"/>
                      <w:szCs w:val="21"/>
                      <w:lang w:val="en-US" w:eastAsia="zh-CN"/>
                    </w:rPr>
                    <w:t>地下室东南侧，建筑面积31.18</w:t>
                  </w:r>
                  <w:r>
                    <w:rPr>
                      <w:color w:val="auto"/>
                      <w:szCs w:val="21"/>
                    </w:rPr>
                    <w:t>m</w:t>
                  </w:r>
                  <w:r>
                    <w:rPr>
                      <w:color w:val="auto"/>
                      <w:szCs w:val="21"/>
                      <w:vertAlign w:val="superscript"/>
                    </w:rPr>
                    <w:t>2</w:t>
                  </w:r>
                  <w:r>
                    <w:rPr>
                      <w:rFonts w:hint="eastAsia"/>
                      <w:color w:val="auto"/>
                      <w:szCs w:val="21"/>
                      <w:vertAlign w:val="baseline"/>
                      <w:lang w:eastAsia="zh-CN"/>
                    </w:rPr>
                    <w:t>；</w:t>
                  </w:r>
                  <w:r>
                    <w:rPr>
                      <w:rFonts w:hint="eastAsia"/>
                      <w:color w:val="auto"/>
                      <w:szCs w:val="21"/>
                      <w:highlight w:val="none"/>
                      <w:lang w:eastAsia="zh-CN"/>
                    </w:rPr>
                    <w:t>配电房</w:t>
                  </w:r>
                  <w:r>
                    <w:rPr>
                      <w:rFonts w:hint="eastAsia"/>
                      <w:color w:val="auto"/>
                      <w:szCs w:val="21"/>
                    </w:rPr>
                    <w:t>位于</w:t>
                  </w:r>
                  <w:r>
                    <w:rPr>
                      <w:rFonts w:hint="eastAsia"/>
                      <w:color w:val="auto"/>
                      <w:szCs w:val="21"/>
                      <w:lang w:val="en-US" w:eastAsia="zh-CN"/>
                    </w:rPr>
                    <w:t>地下室西侧，建筑面积38.42</w:t>
                  </w:r>
                  <w:r>
                    <w:rPr>
                      <w:color w:val="auto"/>
                      <w:szCs w:val="21"/>
                    </w:rPr>
                    <w:t>m</w:t>
                  </w:r>
                  <w:r>
                    <w:rPr>
                      <w:color w:val="auto"/>
                      <w:szCs w:val="21"/>
                      <w:vertAlign w:val="superscript"/>
                    </w:rPr>
                    <w:t>2</w:t>
                  </w:r>
                  <w:r>
                    <w:rPr>
                      <w:rFonts w:hint="eastAsia"/>
                      <w:color w:val="auto"/>
                      <w:szCs w:val="21"/>
                      <w:vertAlign w:val="baseline"/>
                      <w:lang w:eastAsia="zh-CN"/>
                    </w:rPr>
                    <w:t>；</w:t>
                  </w:r>
                  <w:r>
                    <w:rPr>
                      <w:rFonts w:hint="eastAsia" w:eastAsia="宋体" w:cs="Times New Roman"/>
                      <w:color w:val="auto"/>
                      <w:kern w:val="2"/>
                      <w:sz w:val="21"/>
                      <w:szCs w:val="21"/>
                      <w:highlight w:val="none"/>
                      <w:lang w:val="en-US" w:eastAsia="zh-CN" w:bidi="ar-SA"/>
                    </w:rPr>
                    <w:t>高低压配电室</w:t>
                  </w:r>
                  <w:r>
                    <w:rPr>
                      <w:rFonts w:hint="eastAsia"/>
                      <w:color w:val="auto"/>
                      <w:szCs w:val="21"/>
                    </w:rPr>
                    <w:t>位于</w:t>
                  </w:r>
                  <w:r>
                    <w:rPr>
                      <w:rFonts w:hint="eastAsia"/>
                      <w:color w:val="auto"/>
                      <w:szCs w:val="21"/>
                      <w:lang w:val="en-US" w:eastAsia="zh-CN"/>
                    </w:rPr>
                    <w:t>地下室东侧，建筑面积</w:t>
                  </w:r>
                  <w:r>
                    <w:rPr>
                      <w:rFonts w:hint="eastAsia"/>
                      <w:color w:val="auto"/>
                      <w:szCs w:val="21"/>
                      <w:vertAlign w:val="baseline"/>
                      <w:lang w:val="en-US" w:eastAsia="zh-CN"/>
                    </w:rPr>
                    <w:t>110.69</w:t>
                  </w:r>
                  <w:r>
                    <w:rPr>
                      <w:color w:val="auto"/>
                      <w:szCs w:val="21"/>
                    </w:rPr>
                    <w:t>m</w:t>
                  </w:r>
                  <w:r>
                    <w:rPr>
                      <w:color w:val="auto"/>
                      <w:szCs w:val="21"/>
                      <w:vertAlign w:val="superscript"/>
                    </w:rPr>
                    <w:t>2</w:t>
                  </w:r>
                  <w:r>
                    <w:rPr>
                      <w:rFonts w:hint="eastAsia"/>
                      <w:color w:val="auto"/>
                      <w:szCs w:val="21"/>
                      <w:lang w:eastAsia="zh-CN"/>
                    </w:rPr>
                    <w:t>。</w:t>
                  </w:r>
                </w:p>
              </w:tc>
              <w:tc>
                <w:tcPr>
                  <w:tcW w:w="981" w:type="dxa"/>
                  <w:vMerge w:val="continue"/>
                  <w:tcBorders>
                    <w:tl2br w:val="nil"/>
                    <w:tr2bl w:val="nil"/>
                  </w:tcBorders>
                  <w:vAlign w:val="center"/>
                </w:tcPr>
                <w:p w14:paraId="359BD51B">
                  <w:pPr>
                    <w:adjustRightInd w:val="0"/>
                    <w:snapToGrid w:val="0"/>
                    <w:jc w:val="left"/>
                    <w:rPr>
                      <w:color w:val="auto"/>
                      <w:szCs w:val="21"/>
                    </w:rPr>
                  </w:pPr>
                </w:p>
              </w:tc>
              <w:tc>
                <w:tcPr>
                  <w:tcW w:w="869" w:type="dxa"/>
                  <w:tcBorders>
                    <w:tl2br w:val="nil"/>
                    <w:tr2bl w:val="nil"/>
                  </w:tcBorders>
                  <w:vAlign w:val="center"/>
                </w:tcPr>
                <w:p w14:paraId="25C6F753">
                  <w:pPr>
                    <w:adjustRightInd w:val="0"/>
                    <w:snapToGrid w:val="0"/>
                    <w:jc w:val="center"/>
                    <w:rPr>
                      <w:rFonts w:hint="default"/>
                      <w:color w:val="auto"/>
                      <w:szCs w:val="21"/>
                      <w:highlight w:val="none"/>
                      <w:lang w:val="en-US" w:eastAsia="zh-CN"/>
                    </w:rPr>
                  </w:pPr>
                  <w:r>
                    <w:rPr>
                      <w:rFonts w:hint="eastAsia"/>
                      <w:color w:val="auto"/>
                      <w:szCs w:val="21"/>
                      <w:highlight w:val="none"/>
                      <w:lang w:val="en-US" w:eastAsia="zh-CN"/>
                    </w:rPr>
                    <w:t>/</w:t>
                  </w:r>
                </w:p>
              </w:tc>
              <w:tc>
                <w:tcPr>
                  <w:tcW w:w="712" w:type="dxa"/>
                  <w:tcBorders>
                    <w:tl2br w:val="nil"/>
                    <w:tr2bl w:val="nil"/>
                  </w:tcBorders>
                  <w:vAlign w:val="center"/>
                </w:tcPr>
                <w:p w14:paraId="12B74E3D">
                  <w:pPr>
                    <w:adjustRightInd w:val="0"/>
                    <w:snapToGrid w:val="0"/>
                    <w:jc w:val="center"/>
                    <w:rPr>
                      <w:rFonts w:hint="eastAsia"/>
                      <w:color w:val="auto"/>
                      <w:szCs w:val="21"/>
                    </w:rPr>
                  </w:pPr>
                  <w:r>
                    <w:rPr>
                      <w:rFonts w:hint="eastAsia"/>
                      <w:color w:val="auto"/>
                      <w:szCs w:val="21"/>
                    </w:rPr>
                    <w:t>新建</w:t>
                  </w:r>
                </w:p>
              </w:tc>
            </w:tr>
            <w:tr w14:paraId="534610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32F607C7">
                  <w:pPr>
                    <w:adjustRightInd w:val="0"/>
                    <w:snapToGrid w:val="0"/>
                    <w:jc w:val="center"/>
                    <w:rPr>
                      <w:color w:val="auto"/>
                      <w:szCs w:val="21"/>
                    </w:rPr>
                  </w:pPr>
                </w:p>
              </w:tc>
              <w:tc>
                <w:tcPr>
                  <w:tcW w:w="791" w:type="dxa"/>
                  <w:tcBorders>
                    <w:tl2br w:val="nil"/>
                    <w:tr2bl w:val="nil"/>
                  </w:tcBorders>
                  <w:shd w:val="clear" w:color="auto" w:fill="auto"/>
                  <w:vAlign w:val="center"/>
                </w:tcPr>
                <w:p w14:paraId="71B98F5B">
                  <w:pPr>
                    <w:adjustRightInd w:val="0"/>
                    <w:snapToGrid w:val="0"/>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柴油发电机房</w:t>
                  </w:r>
                </w:p>
              </w:tc>
              <w:tc>
                <w:tcPr>
                  <w:tcW w:w="4402" w:type="dxa"/>
                  <w:tcBorders>
                    <w:tl2br w:val="nil"/>
                    <w:tr2bl w:val="nil"/>
                  </w:tcBorders>
                  <w:shd w:val="clear" w:color="auto" w:fill="auto"/>
                  <w:vAlign w:val="center"/>
                </w:tcPr>
                <w:p w14:paraId="7C32CA2A">
                  <w:pPr>
                    <w:overflowPunct w:val="0"/>
                    <w:autoSpaceDE w:val="0"/>
                    <w:adjustRightInd w:val="0"/>
                    <w:snapToGrid w:val="0"/>
                    <w:jc w:val="left"/>
                    <w:rPr>
                      <w:rFonts w:hint="eastAsia" w:ascii="Times New Roman" w:hAnsi="Times New Roman" w:eastAsia="宋体" w:cs="Times New Roman"/>
                      <w:color w:val="auto"/>
                      <w:kern w:val="2"/>
                      <w:sz w:val="21"/>
                      <w:szCs w:val="21"/>
                      <w:lang w:val="en-US" w:eastAsia="zh-CN" w:bidi="ar-SA"/>
                    </w:rPr>
                  </w:pPr>
                  <w:r>
                    <w:rPr>
                      <w:rFonts w:hint="eastAsia"/>
                      <w:color w:val="auto"/>
                      <w:szCs w:val="21"/>
                    </w:rPr>
                    <w:t>位于</w:t>
                  </w:r>
                  <w:r>
                    <w:rPr>
                      <w:rFonts w:hint="eastAsia"/>
                      <w:color w:val="auto"/>
                      <w:szCs w:val="21"/>
                      <w:lang w:val="en-US" w:eastAsia="zh-CN"/>
                    </w:rPr>
                    <w:t>地下室东侧，建筑面积57.77</w:t>
                  </w:r>
                  <w:r>
                    <w:rPr>
                      <w:color w:val="auto"/>
                      <w:szCs w:val="21"/>
                    </w:rPr>
                    <w:t>m</w:t>
                  </w:r>
                  <w:r>
                    <w:rPr>
                      <w:color w:val="auto"/>
                      <w:szCs w:val="21"/>
                      <w:vertAlign w:val="superscript"/>
                    </w:rPr>
                    <w:t>2</w:t>
                  </w:r>
                  <w:r>
                    <w:rPr>
                      <w:rFonts w:hint="eastAsia"/>
                      <w:color w:val="auto"/>
                      <w:szCs w:val="21"/>
                      <w:vertAlign w:val="baseline"/>
                      <w:lang w:eastAsia="zh-CN"/>
                    </w:rPr>
                    <w:t>，</w:t>
                  </w:r>
                  <w:r>
                    <w:rPr>
                      <w:rFonts w:hint="eastAsia"/>
                      <w:color w:val="auto"/>
                      <w:szCs w:val="21"/>
                    </w:rPr>
                    <w:t>用于存放柴油发电机，项目应急发电。</w:t>
                  </w:r>
                </w:p>
              </w:tc>
              <w:tc>
                <w:tcPr>
                  <w:tcW w:w="981" w:type="dxa"/>
                  <w:vMerge w:val="continue"/>
                  <w:tcBorders>
                    <w:tl2br w:val="nil"/>
                    <w:tr2bl w:val="nil"/>
                  </w:tcBorders>
                  <w:vAlign w:val="center"/>
                </w:tcPr>
                <w:p w14:paraId="526C92A8">
                  <w:pPr>
                    <w:adjustRightInd w:val="0"/>
                    <w:snapToGrid w:val="0"/>
                    <w:jc w:val="left"/>
                    <w:rPr>
                      <w:color w:val="auto"/>
                      <w:szCs w:val="21"/>
                    </w:rPr>
                  </w:pPr>
                </w:p>
              </w:tc>
              <w:tc>
                <w:tcPr>
                  <w:tcW w:w="869" w:type="dxa"/>
                  <w:tcBorders>
                    <w:tl2br w:val="nil"/>
                    <w:tr2bl w:val="nil"/>
                  </w:tcBorders>
                  <w:vAlign w:val="center"/>
                </w:tcPr>
                <w:p w14:paraId="04804638">
                  <w:pPr>
                    <w:adjustRightInd w:val="0"/>
                    <w:snapToGrid w:val="0"/>
                    <w:jc w:val="center"/>
                    <w:rPr>
                      <w:rFonts w:hint="eastAsia" w:eastAsia="宋体"/>
                      <w:color w:val="auto"/>
                      <w:szCs w:val="21"/>
                      <w:highlight w:val="none"/>
                      <w:lang w:eastAsia="zh-CN"/>
                    </w:rPr>
                  </w:pPr>
                  <w:r>
                    <w:rPr>
                      <w:rFonts w:hint="eastAsia"/>
                      <w:color w:val="auto"/>
                      <w:szCs w:val="21"/>
                      <w:highlight w:val="none"/>
                      <w:lang w:eastAsia="zh-CN"/>
                    </w:rPr>
                    <w:t>噪声</w:t>
                  </w:r>
                </w:p>
              </w:tc>
              <w:tc>
                <w:tcPr>
                  <w:tcW w:w="712" w:type="dxa"/>
                  <w:tcBorders>
                    <w:tl2br w:val="nil"/>
                    <w:tr2bl w:val="nil"/>
                  </w:tcBorders>
                  <w:vAlign w:val="center"/>
                </w:tcPr>
                <w:p w14:paraId="2BFD9685">
                  <w:pPr>
                    <w:adjustRightInd w:val="0"/>
                    <w:snapToGrid w:val="0"/>
                    <w:jc w:val="center"/>
                    <w:rPr>
                      <w:color w:val="auto"/>
                      <w:szCs w:val="21"/>
                    </w:rPr>
                  </w:pPr>
                  <w:r>
                    <w:rPr>
                      <w:rFonts w:hint="eastAsia"/>
                      <w:color w:val="auto"/>
                      <w:szCs w:val="21"/>
                    </w:rPr>
                    <w:t>新建</w:t>
                  </w:r>
                </w:p>
              </w:tc>
            </w:tr>
            <w:tr w14:paraId="648786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11ED5CAD">
                  <w:pPr>
                    <w:adjustRightInd w:val="0"/>
                    <w:snapToGrid w:val="0"/>
                    <w:jc w:val="center"/>
                    <w:rPr>
                      <w:color w:val="auto"/>
                      <w:szCs w:val="21"/>
                    </w:rPr>
                  </w:pPr>
                </w:p>
              </w:tc>
              <w:tc>
                <w:tcPr>
                  <w:tcW w:w="791" w:type="dxa"/>
                  <w:tcBorders>
                    <w:tl2br w:val="nil"/>
                    <w:tr2bl w:val="nil"/>
                  </w:tcBorders>
                  <w:shd w:val="clear" w:color="auto" w:fill="auto"/>
                  <w:vAlign w:val="center"/>
                </w:tcPr>
                <w:p w14:paraId="6DAEF21A">
                  <w:pPr>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消防控制室</w:t>
                  </w:r>
                </w:p>
              </w:tc>
              <w:tc>
                <w:tcPr>
                  <w:tcW w:w="4402" w:type="dxa"/>
                  <w:tcBorders>
                    <w:tl2br w:val="nil"/>
                    <w:tr2bl w:val="nil"/>
                  </w:tcBorders>
                  <w:shd w:val="clear" w:color="auto" w:fill="auto"/>
                  <w:vAlign w:val="center"/>
                </w:tcPr>
                <w:p w14:paraId="3BCF5203">
                  <w:pPr>
                    <w:overflowPunct w:val="0"/>
                    <w:autoSpaceDE w:val="0"/>
                    <w:adjustRightInd w:val="0"/>
                    <w:snapToGrid w:val="0"/>
                    <w:jc w:val="left"/>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rPr>
                    <w:t>位于</w:t>
                  </w:r>
                  <w:r>
                    <w:rPr>
                      <w:rFonts w:hint="eastAsia"/>
                      <w:color w:val="auto"/>
                      <w:szCs w:val="21"/>
                      <w:lang w:val="en-US" w:eastAsia="zh-CN"/>
                    </w:rPr>
                    <w:t>地下室东南侧，建筑面积34</w:t>
                  </w:r>
                  <w:r>
                    <w:rPr>
                      <w:color w:val="auto"/>
                      <w:szCs w:val="21"/>
                    </w:rPr>
                    <w:t>m</w:t>
                  </w:r>
                  <w:r>
                    <w:rPr>
                      <w:color w:val="auto"/>
                      <w:szCs w:val="21"/>
                      <w:vertAlign w:val="superscript"/>
                    </w:rPr>
                    <w:t>2</w:t>
                  </w:r>
                  <w:r>
                    <w:rPr>
                      <w:rFonts w:hint="eastAsia"/>
                      <w:color w:val="auto"/>
                      <w:szCs w:val="21"/>
                      <w:lang w:eastAsia="zh-CN"/>
                    </w:rPr>
                    <w:t>。</w:t>
                  </w:r>
                </w:p>
              </w:tc>
              <w:tc>
                <w:tcPr>
                  <w:tcW w:w="981" w:type="dxa"/>
                  <w:vMerge w:val="continue"/>
                  <w:tcBorders>
                    <w:tl2br w:val="nil"/>
                    <w:tr2bl w:val="nil"/>
                  </w:tcBorders>
                  <w:vAlign w:val="center"/>
                </w:tcPr>
                <w:p w14:paraId="0C59E008">
                  <w:pPr>
                    <w:adjustRightInd w:val="0"/>
                    <w:snapToGrid w:val="0"/>
                    <w:jc w:val="left"/>
                    <w:rPr>
                      <w:color w:val="auto"/>
                      <w:szCs w:val="21"/>
                    </w:rPr>
                  </w:pPr>
                </w:p>
              </w:tc>
              <w:tc>
                <w:tcPr>
                  <w:tcW w:w="869" w:type="dxa"/>
                  <w:tcBorders>
                    <w:tl2br w:val="nil"/>
                    <w:tr2bl w:val="nil"/>
                  </w:tcBorders>
                  <w:vAlign w:val="center"/>
                </w:tcPr>
                <w:p w14:paraId="4AE1FC95">
                  <w:pPr>
                    <w:adjustRightInd w:val="0"/>
                    <w:snapToGrid w:val="0"/>
                    <w:jc w:val="center"/>
                    <w:rPr>
                      <w:rFonts w:hint="default"/>
                      <w:color w:val="auto"/>
                      <w:szCs w:val="21"/>
                      <w:highlight w:val="none"/>
                      <w:lang w:val="en-US" w:eastAsia="zh-CN"/>
                    </w:rPr>
                  </w:pPr>
                  <w:r>
                    <w:rPr>
                      <w:rFonts w:hint="eastAsia"/>
                      <w:color w:val="auto"/>
                      <w:szCs w:val="21"/>
                      <w:highlight w:val="none"/>
                      <w:lang w:val="en-US" w:eastAsia="zh-CN"/>
                    </w:rPr>
                    <w:t>/</w:t>
                  </w:r>
                </w:p>
              </w:tc>
              <w:tc>
                <w:tcPr>
                  <w:tcW w:w="712" w:type="dxa"/>
                  <w:tcBorders>
                    <w:tl2br w:val="nil"/>
                    <w:tr2bl w:val="nil"/>
                  </w:tcBorders>
                  <w:vAlign w:val="center"/>
                </w:tcPr>
                <w:p w14:paraId="7F0F86D5">
                  <w:pPr>
                    <w:adjustRightInd w:val="0"/>
                    <w:snapToGrid w:val="0"/>
                    <w:jc w:val="center"/>
                    <w:rPr>
                      <w:rFonts w:hint="eastAsia"/>
                      <w:color w:val="auto"/>
                      <w:szCs w:val="21"/>
                    </w:rPr>
                  </w:pPr>
                  <w:r>
                    <w:rPr>
                      <w:rFonts w:hint="eastAsia"/>
                      <w:color w:val="auto"/>
                      <w:szCs w:val="21"/>
                    </w:rPr>
                    <w:t>新建</w:t>
                  </w:r>
                </w:p>
              </w:tc>
            </w:tr>
            <w:tr w14:paraId="25E633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2EF7A9A0">
                  <w:pPr>
                    <w:adjustRightInd w:val="0"/>
                    <w:snapToGrid w:val="0"/>
                    <w:jc w:val="center"/>
                    <w:rPr>
                      <w:color w:val="auto"/>
                      <w:szCs w:val="21"/>
                    </w:rPr>
                  </w:pPr>
                </w:p>
              </w:tc>
              <w:tc>
                <w:tcPr>
                  <w:tcW w:w="791" w:type="dxa"/>
                  <w:tcBorders>
                    <w:tl2br w:val="nil"/>
                    <w:tr2bl w:val="nil"/>
                  </w:tcBorders>
                  <w:vAlign w:val="center"/>
                </w:tcPr>
                <w:p w14:paraId="5CF55E26">
                  <w:pPr>
                    <w:adjustRightInd w:val="0"/>
                    <w:snapToGrid w:val="0"/>
                    <w:jc w:val="center"/>
                    <w:rPr>
                      <w:rFonts w:hint="eastAsia"/>
                      <w:color w:val="auto"/>
                      <w:szCs w:val="21"/>
                      <w:highlight w:val="none"/>
                      <w:lang w:eastAsia="zh-CN"/>
                    </w:rPr>
                  </w:pPr>
                  <w:r>
                    <w:rPr>
                      <w:rFonts w:hint="eastAsia"/>
                      <w:color w:val="auto"/>
                      <w:szCs w:val="21"/>
                      <w:highlight w:val="none"/>
                      <w:lang w:eastAsia="zh-CN"/>
                    </w:rPr>
                    <w:t>垃圾用房</w:t>
                  </w:r>
                </w:p>
              </w:tc>
              <w:tc>
                <w:tcPr>
                  <w:tcW w:w="4402" w:type="dxa"/>
                  <w:tcBorders>
                    <w:tl2br w:val="nil"/>
                    <w:tr2bl w:val="nil"/>
                  </w:tcBorders>
                  <w:vAlign w:val="center"/>
                </w:tcPr>
                <w:p w14:paraId="0C38418C">
                  <w:pPr>
                    <w:overflowPunct w:val="0"/>
                    <w:autoSpaceDE w:val="0"/>
                    <w:adjustRightInd w:val="0"/>
                    <w:snapToGrid w:val="0"/>
                    <w:jc w:val="left"/>
                    <w:rPr>
                      <w:rFonts w:hint="eastAsia" w:eastAsia="宋体"/>
                      <w:color w:val="auto"/>
                      <w:szCs w:val="21"/>
                      <w:highlight w:val="none"/>
                      <w:lang w:eastAsia="zh-CN"/>
                    </w:rPr>
                  </w:pPr>
                  <w:r>
                    <w:rPr>
                      <w:rFonts w:hint="eastAsia"/>
                      <w:color w:val="auto"/>
                      <w:szCs w:val="21"/>
                    </w:rPr>
                    <w:t>位于</w:t>
                  </w:r>
                  <w:r>
                    <w:rPr>
                      <w:rFonts w:hint="eastAsia"/>
                      <w:color w:val="auto"/>
                      <w:szCs w:val="21"/>
                      <w:lang w:val="en-US" w:eastAsia="zh-CN"/>
                    </w:rPr>
                    <w:t>地下室西侧，建筑面积68.59</w:t>
                  </w:r>
                  <w:r>
                    <w:rPr>
                      <w:color w:val="auto"/>
                      <w:szCs w:val="21"/>
                    </w:rPr>
                    <w:t>m</w:t>
                  </w:r>
                  <w:r>
                    <w:rPr>
                      <w:color w:val="auto"/>
                      <w:szCs w:val="21"/>
                      <w:vertAlign w:val="superscript"/>
                    </w:rPr>
                    <w:t>2</w:t>
                  </w:r>
                  <w:r>
                    <w:rPr>
                      <w:rFonts w:hint="eastAsia"/>
                      <w:color w:val="auto"/>
                      <w:szCs w:val="21"/>
                      <w:vertAlign w:val="baseline"/>
                      <w:lang w:eastAsia="zh-CN"/>
                    </w:rPr>
                    <w:t>，</w:t>
                  </w:r>
                  <w:r>
                    <w:rPr>
                      <w:rFonts w:hint="eastAsia"/>
                      <w:color w:val="auto"/>
                      <w:szCs w:val="21"/>
                    </w:rPr>
                    <w:t>用于</w:t>
                  </w:r>
                  <w:r>
                    <w:rPr>
                      <w:rFonts w:hint="eastAsia"/>
                      <w:color w:val="auto"/>
                      <w:szCs w:val="21"/>
                      <w:lang w:eastAsia="zh-CN"/>
                    </w:rPr>
                    <w:t>暂存生活垃圾。</w:t>
                  </w:r>
                </w:p>
              </w:tc>
              <w:tc>
                <w:tcPr>
                  <w:tcW w:w="981" w:type="dxa"/>
                  <w:vMerge w:val="continue"/>
                  <w:tcBorders>
                    <w:tl2br w:val="nil"/>
                    <w:tr2bl w:val="nil"/>
                  </w:tcBorders>
                  <w:vAlign w:val="center"/>
                </w:tcPr>
                <w:p w14:paraId="789854F5">
                  <w:pPr>
                    <w:adjustRightInd w:val="0"/>
                    <w:snapToGrid w:val="0"/>
                    <w:jc w:val="left"/>
                    <w:rPr>
                      <w:color w:val="auto"/>
                      <w:szCs w:val="21"/>
                    </w:rPr>
                  </w:pPr>
                </w:p>
              </w:tc>
              <w:tc>
                <w:tcPr>
                  <w:tcW w:w="869" w:type="dxa"/>
                  <w:tcBorders>
                    <w:tl2br w:val="nil"/>
                    <w:tr2bl w:val="nil"/>
                  </w:tcBorders>
                  <w:vAlign w:val="center"/>
                </w:tcPr>
                <w:p w14:paraId="61CF6E5D">
                  <w:pPr>
                    <w:adjustRightInd w:val="0"/>
                    <w:snapToGrid w:val="0"/>
                    <w:jc w:val="center"/>
                    <w:rPr>
                      <w:rFonts w:hint="default"/>
                      <w:color w:val="auto"/>
                      <w:szCs w:val="21"/>
                      <w:highlight w:val="none"/>
                      <w:lang w:val="en-US" w:eastAsia="zh-CN"/>
                    </w:rPr>
                  </w:pPr>
                  <w:r>
                    <w:rPr>
                      <w:rFonts w:hint="eastAsia"/>
                      <w:color w:val="auto"/>
                      <w:szCs w:val="21"/>
                      <w:highlight w:val="none"/>
                      <w:lang w:val="en-US" w:eastAsia="zh-CN"/>
                    </w:rPr>
                    <w:t>/</w:t>
                  </w:r>
                </w:p>
              </w:tc>
              <w:tc>
                <w:tcPr>
                  <w:tcW w:w="712" w:type="dxa"/>
                  <w:tcBorders>
                    <w:tl2br w:val="nil"/>
                    <w:tr2bl w:val="nil"/>
                  </w:tcBorders>
                  <w:vAlign w:val="center"/>
                </w:tcPr>
                <w:p w14:paraId="76521994">
                  <w:pPr>
                    <w:adjustRightInd w:val="0"/>
                    <w:snapToGrid w:val="0"/>
                    <w:jc w:val="center"/>
                    <w:rPr>
                      <w:rFonts w:hint="eastAsia"/>
                      <w:color w:val="auto"/>
                      <w:szCs w:val="21"/>
                    </w:rPr>
                  </w:pPr>
                  <w:r>
                    <w:rPr>
                      <w:rFonts w:hint="eastAsia"/>
                      <w:color w:val="auto"/>
                      <w:szCs w:val="21"/>
                    </w:rPr>
                    <w:t>新建</w:t>
                  </w:r>
                </w:p>
              </w:tc>
            </w:tr>
            <w:tr w14:paraId="1ECC44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restart"/>
                  <w:tcBorders>
                    <w:tl2br w:val="nil"/>
                    <w:tr2bl w:val="nil"/>
                  </w:tcBorders>
                  <w:vAlign w:val="center"/>
                </w:tcPr>
                <w:p w14:paraId="4624D662">
                  <w:pPr>
                    <w:adjustRightInd w:val="0"/>
                    <w:snapToGrid w:val="0"/>
                    <w:jc w:val="center"/>
                    <w:rPr>
                      <w:color w:val="auto"/>
                      <w:szCs w:val="21"/>
                    </w:rPr>
                  </w:pPr>
                  <w:r>
                    <w:rPr>
                      <w:color w:val="auto"/>
                      <w:szCs w:val="21"/>
                    </w:rPr>
                    <w:t>临时工程</w:t>
                  </w:r>
                </w:p>
              </w:tc>
              <w:tc>
                <w:tcPr>
                  <w:tcW w:w="791" w:type="dxa"/>
                  <w:tcBorders>
                    <w:tl2br w:val="nil"/>
                    <w:tr2bl w:val="nil"/>
                  </w:tcBorders>
                  <w:vAlign w:val="center"/>
                </w:tcPr>
                <w:p w14:paraId="247E68B5">
                  <w:pPr>
                    <w:adjustRightInd w:val="0"/>
                    <w:snapToGrid w:val="0"/>
                    <w:jc w:val="center"/>
                    <w:rPr>
                      <w:rFonts w:hint="eastAsia" w:eastAsia="宋体"/>
                      <w:color w:val="auto"/>
                      <w:szCs w:val="21"/>
                      <w:lang w:eastAsia="zh-CN"/>
                    </w:rPr>
                  </w:pPr>
                  <w:r>
                    <w:rPr>
                      <w:rFonts w:hint="eastAsia"/>
                      <w:color w:val="auto"/>
                      <w:szCs w:val="21"/>
                      <w:lang w:eastAsia="zh-CN"/>
                    </w:rPr>
                    <w:t>表土</w:t>
                  </w:r>
                  <w:r>
                    <w:rPr>
                      <w:color w:val="auto"/>
                      <w:szCs w:val="21"/>
                    </w:rPr>
                    <w:t>临时堆</w:t>
                  </w:r>
                  <w:r>
                    <w:rPr>
                      <w:rFonts w:hint="eastAsia"/>
                      <w:color w:val="auto"/>
                      <w:szCs w:val="21"/>
                      <w:lang w:eastAsia="zh-CN"/>
                    </w:rPr>
                    <w:t>放区</w:t>
                  </w:r>
                </w:p>
              </w:tc>
              <w:tc>
                <w:tcPr>
                  <w:tcW w:w="4402" w:type="dxa"/>
                  <w:tcBorders>
                    <w:tl2br w:val="nil"/>
                    <w:tr2bl w:val="nil"/>
                  </w:tcBorders>
                  <w:vAlign w:val="center"/>
                </w:tcPr>
                <w:p w14:paraId="54ABF425">
                  <w:pPr>
                    <w:adjustRightInd w:val="0"/>
                    <w:snapToGrid w:val="0"/>
                    <w:jc w:val="left"/>
                    <w:rPr>
                      <w:color w:val="auto"/>
                      <w:szCs w:val="21"/>
                    </w:rPr>
                  </w:pPr>
                  <w:r>
                    <w:rPr>
                      <w:color w:val="auto"/>
                      <w:szCs w:val="21"/>
                    </w:rPr>
                    <w:t>项目</w:t>
                  </w:r>
                  <w:r>
                    <w:rPr>
                      <w:rFonts w:hint="eastAsia"/>
                      <w:color w:val="auto"/>
                      <w:szCs w:val="21"/>
                      <w:lang w:eastAsia="zh-CN"/>
                    </w:rPr>
                    <w:t>南侧出入口区域</w:t>
                  </w:r>
                  <w:r>
                    <w:rPr>
                      <w:rFonts w:hint="eastAsia"/>
                      <w:color w:val="auto"/>
                      <w:szCs w:val="21"/>
                    </w:rPr>
                    <w:t>设置临时堆土场</w:t>
                  </w:r>
                  <w:r>
                    <w:rPr>
                      <w:color w:val="auto"/>
                      <w:szCs w:val="21"/>
                    </w:rPr>
                    <w:t>，临时</w:t>
                  </w:r>
                  <w:r>
                    <w:rPr>
                      <w:rFonts w:hint="eastAsia"/>
                      <w:color w:val="auto"/>
                      <w:szCs w:val="21"/>
                    </w:rPr>
                    <w:t>表土堆</w:t>
                  </w:r>
                  <w:r>
                    <w:rPr>
                      <w:color w:val="auto"/>
                      <w:szCs w:val="21"/>
                    </w:rPr>
                    <w:t>场占地面积</w:t>
                  </w:r>
                  <w:r>
                    <w:rPr>
                      <w:rFonts w:hint="eastAsia"/>
                      <w:color w:val="auto"/>
                      <w:szCs w:val="21"/>
                    </w:rPr>
                    <w:t>为</w:t>
                  </w:r>
                  <w:r>
                    <w:rPr>
                      <w:rFonts w:hint="eastAsia"/>
                      <w:color w:val="auto"/>
                      <w:szCs w:val="21"/>
                      <w:lang w:val="en-US" w:eastAsia="zh-CN"/>
                    </w:rPr>
                    <w:t>1</w:t>
                  </w:r>
                  <w:r>
                    <w:rPr>
                      <w:color w:val="auto"/>
                      <w:szCs w:val="21"/>
                    </w:rPr>
                    <w:t>00m</w:t>
                  </w:r>
                  <w:r>
                    <w:rPr>
                      <w:color w:val="auto"/>
                      <w:szCs w:val="21"/>
                      <w:vertAlign w:val="superscript"/>
                    </w:rPr>
                    <w:t>2</w:t>
                  </w:r>
                  <w:r>
                    <w:rPr>
                      <w:color w:val="auto"/>
                      <w:szCs w:val="21"/>
                    </w:rPr>
                    <w:t>，堆高</w:t>
                  </w:r>
                  <w:r>
                    <w:rPr>
                      <w:rFonts w:hint="eastAsia"/>
                      <w:color w:val="auto"/>
                      <w:szCs w:val="21"/>
                      <w:lang w:val="en-US" w:eastAsia="zh-CN"/>
                    </w:rPr>
                    <w:t>2.0~3.0</w:t>
                  </w:r>
                  <w:r>
                    <w:rPr>
                      <w:color w:val="auto"/>
                      <w:szCs w:val="21"/>
                    </w:rPr>
                    <w:t>m。剥离的表土全部用于后期的景观绿化覆土。</w:t>
                  </w:r>
                </w:p>
              </w:tc>
              <w:tc>
                <w:tcPr>
                  <w:tcW w:w="981" w:type="dxa"/>
                  <w:vMerge w:val="continue"/>
                  <w:tcBorders>
                    <w:tl2br w:val="nil"/>
                    <w:tr2bl w:val="nil"/>
                  </w:tcBorders>
                  <w:vAlign w:val="center"/>
                </w:tcPr>
                <w:p w14:paraId="50795945">
                  <w:pPr>
                    <w:adjustRightInd w:val="0"/>
                    <w:snapToGrid w:val="0"/>
                    <w:jc w:val="center"/>
                    <w:rPr>
                      <w:color w:val="auto"/>
                      <w:szCs w:val="21"/>
                      <w:highlight w:val="yellow"/>
                    </w:rPr>
                  </w:pPr>
                </w:p>
              </w:tc>
              <w:tc>
                <w:tcPr>
                  <w:tcW w:w="869" w:type="dxa"/>
                  <w:tcBorders>
                    <w:tl2br w:val="nil"/>
                    <w:tr2bl w:val="nil"/>
                  </w:tcBorders>
                  <w:vAlign w:val="center"/>
                </w:tcPr>
                <w:p w14:paraId="48644346">
                  <w:pPr>
                    <w:adjustRightInd w:val="0"/>
                    <w:snapToGrid w:val="0"/>
                    <w:jc w:val="center"/>
                    <w:rPr>
                      <w:color w:val="auto"/>
                      <w:szCs w:val="21"/>
                    </w:rPr>
                  </w:pPr>
                  <w:r>
                    <w:rPr>
                      <w:color w:val="auto"/>
                      <w:szCs w:val="21"/>
                    </w:rPr>
                    <w:t>/</w:t>
                  </w:r>
                </w:p>
              </w:tc>
              <w:tc>
                <w:tcPr>
                  <w:tcW w:w="712" w:type="dxa"/>
                  <w:tcBorders>
                    <w:tl2br w:val="nil"/>
                    <w:tr2bl w:val="nil"/>
                  </w:tcBorders>
                  <w:vAlign w:val="center"/>
                </w:tcPr>
                <w:p w14:paraId="5B6C33D3">
                  <w:pPr>
                    <w:adjustRightInd w:val="0"/>
                    <w:snapToGrid w:val="0"/>
                    <w:jc w:val="center"/>
                    <w:rPr>
                      <w:color w:val="auto"/>
                      <w:szCs w:val="21"/>
                    </w:rPr>
                  </w:pPr>
                  <w:r>
                    <w:rPr>
                      <w:rFonts w:hint="eastAsia"/>
                      <w:color w:val="auto"/>
                      <w:szCs w:val="21"/>
                    </w:rPr>
                    <w:t>新建</w:t>
                  </w:r>
                </w:p>
              </w:tc>
            </w:tr>
            <w:tr w14:paraId="225392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61CF4536">
                  <w:pPr>
                    <w:adjustRightInd w:val="0"/>
                    <w:snapToGrid w:val="0"/>
                    <w:jc w:val="center"/>
                    <w:rPr>
                      <w:color w:val="auto"/>
                      <w:szCs w:val="21"/>
                    </w:rPr>
                  </w:pPr>
                </w:p>
              </w:tc>
              <w:tc>
                <w:tcPr>
                  <w:tcW w:w="791" w:type="dxa"/>
                  <w:tcBorders>
                    <w:tl2br w:val="nil"/>
                    <w:tr2bl w:val="nil"/>
                  </w:tcBorders>
                  <w:shd w:val="clear" w:color="auto" w:fill="auto"/>
                  <w:vAlign w:val="center"/>
                </w:tcPr>
                <w:p w14:paraId="2AE7FD59">
                  <w:pPr>
                    <w:adjustRightInd w:val="0"/>
                    <w:snapToGrid w:val="0"/>
                    <w:jc w:val="center"/>
                    <w:rPr>
                      <w:rFonts w:hint="eastAsia" w:ascii="Times New Roman" w:hAnsi="Times New Roman" w:eastAsia="宋体" w:cs="Times New Roman"/>
                      <w:color w:val="auto"/>
                      <w:kern w:val="2"/>
                      <w:sz w:val="21"/>
                      <w:szCs w:val="21"/>
                      <w:lang w:val="en-US" w:eastAsia="zh-CN" w:bidi="ar-SA"/>
                    </w:rPr>
                  </w:pPr>
                  <w:r>
                    <w:rPr>
                      <w:color w:val="auto"/>
                      <w:szCs w:val="21"/>
                    </w:rPr>
                    <w:t>一般土方临时</w:t>
                  </w:r>
                  <w:r>
                    <w:rPr>
                      <w:rFonts w:hint="eastAsia"/>
                      <w:color w:val="auto"/>
                      <w:szCs w:val="21"/>
                    </w:rPr>
                    <w:t>堆场</w:t>
                  </w:r>
                </w:p>
              </w:tc>
              <w:tc>
                <w:tcPr>
                  <w:tcW w:w="4402" w:type="dxa"/>
                  <w:tcBorders>
                    <w:tl2br w:val="nil"/>
                    <w:tr2bl w:val="nil"/>
                  </w:tcBorders>
                  <w:shd w:val="clear" w:color="auto" w:fill="auto"/>
                  <w:vAlign w:val="center"/>
                </w:tcPr>
                <w:p w14:paraId="56A57C3B">
                  <w:pPr>
                    <w:rPr>
                      <w:rFonts w:ascii="Times New Roman" w:hAnsi="Times New Roman" w:eastAsia="宋体" w:cs="Times New Roman"/>
                      <w:color w:val="auto"/>
                      <w:kern w:val="2"/>
                      <w:sz w:val="21"/>
                      <w:szCs w:val="21"/>
                      <w:lang w:val="en-US" w:eastAsia="zh-CN" w:bidi="ar-SA"/>
                    </w:rPr>
                  </w:pPr>
                  <w:r>
                    <w:rPr>
                      <w:color w:val="auto"/>
                      <w:szCs w:val="21"/>
                    </w:rPr>
                    <w:t>项目</w:t>
                  </w:r>
                  <w:r>
                    <w:rPr>
                      <w:rFonts w:hint="eastAsia"/>
                      <w:color w:val="auto"/>
                      <w:szCs w:val="21"/>
                      <w:lang w:eastAsia="zh-CN"/>
                    </w:rPr>
                    <w:t>南侧出入口区域</w:t>
                  </w:r>
                  <w:r>
                    <w:rPr>
                      <w:rFonts w:hint="eastAsia"/>
                      <w:color w:val="auto"/>
                      <w:szCs w:val="21"/>
                    </w:rPr>
                    <w:t>设置一般土方临时堆场</w:t>
                  </w:r>
                  <w:r>
                    <w:rPr>
                      <w:color w:val="auto"/>
                      <w:szCs w:val="21"/>
                    </w:rPr>
                    <w:t>，占地面积</w:t>
                  </w:r>
                  <w:r>
                    <w:rPr>
                      <w:rFonts w:hint="eastAsia"/>
                      <w:color w:val="auto"/>
                      <w:szCs w:val="21"/>
                    </w:rPr>
                    <w:t>均为</w:t>
                  </w:r>
                  <w:r>
                    <w:rPr>
                      <w:rFonts w:hint="eastAsia"/>
                      <w:color w:val="auto"/>
                      <w:szCs w:val="21"/>
                      <w:lang w:val="en-US" w:eastAsia="zh-CN"/>
                    </w:rPr>
                    <w:t>4</w:t>
                  </w:r>
                  <w:r>
                    <w:rPr>
                      <w:color w:val="auto"/>
                      <w:szCs w:val="21"/>
                    </w:rPr>
                    <w:t>00m</w:t>
                  </w:r>
                  <w:r>
                    <w:rPr>
                      <w:color w:val="auto"/>
                      <w:szCs w:val="21"/>
                      <w:vertAlign w:val="superscript"/>
                    </w:rPr>
                    <w:t>2</w:t>
                  </w:r>
                  <w:r>
                    <w:rPr>
                      <w:color w:val="auto"/>
                      <w:szCs w:val="21"/>
                    </w:rPr>
                    <w:t>，设计堆放坡比1：2，最大堆高</w:t>
                  </w:r>
                  <w:r>
                    <w:rPr>
                      <w:rFonts w:hint="eastAsia"/>
                      <w:color w:val="auto"/>
                      <w:szCs w:val="21"/>
                      <w:lang w:val="en-US" w:eastAsia="zh-CN"/>
                    </w:rPr>
                    <w:t>2.0~3.0</w:t>
                  </w:r>
                  <w:r>
                    <w:rPr>
                      <w:color w:val="auto"/>
                      <w:szCs w:val="21"/>
                    </w:rPr>
                    <w:t>m。用于场地平整期间挖方弃方临时堆放。本项目不设置专门的弃土场。</w:t>
                  </w:r>
                </w:p>
              </w:tc>
              <w:tc>
                <w:tcPr>
                  <w:tcW w:w="981" w:type="dxa"/>
                  <w:vMerge w:val="continue"/>
                  <w:tcBorders>
                    <w:tl2br w:val="nil"/>
                    <w:tr2bl w:val="nil"/>
                  </w:tcBorders>
                  <w:vAlign w:val="center"/>
                </w:tcPr>
                <w:p w14:paraId="31D5D107">
                  <w:pPr>
                    <w:adjustRightInd w:val="0"/>
                    <w:snapToGrid w:val="0"/>
                    <w:jc w:val="center"/>
                    <w:rPr>
                      <w:color w:val="auto"/>
                      <w:szCs w:val="21"/>
                      <w:highlight w:val="yellow"/>
                    </w:rPr>
                  </w:pPr>
                </w:p>
              </w:tc>
              <w:tc>
                <w:tcPr>
                  <w:tcW w:w="869" w:type="dxa"/>
                  <w:tcBorders>
                    <w:tl2br w:val="nil"/>
                    <w:tr2bl w:val="nil"/>
                  </w:tcBorders>
                  <w:vAlign w:val="center"/>
                </w:tcPr>
                <w:p w14:paraId="4F9630C9">
                  <w:pPr>
                    <w:adjustRightInd w:val="0"/>
                    <w:snapToGrid w:val="0"/>
                    <w:jc w:val="center"/>
                    <w:rPr>
                      <w:rFonts w:hint="eastAsia" w:eastAsia="宋体"/>
                      <w:color w:val="auto"/>
                      <w:szCs w:val="21"/>
                      <w:lang w:val="en-US" w:eastAsia="zh-CN"/>
                    </w:rPr>
                  </w:pPr>
                  <w:r>
                    <w:rPr>
                      <w:rFonts w:hint="eastAsia"/>
                      <w:color w:val="auto"/>
                      <w:szCs w:val="21"/>
                      <w:lang w:val="en-US" w:eastAsia="zh-CN"/>
                    </w:rPr>
                    <w:t>/</w:t>
                  </w:r>
                </w:p>
              </w:tc>
              <w:tc>
                <w:tcPr>
                  <w:tcW w:w="712" w:type="dxa"/>
                  <w:tcBorders>
                    <w:tl2br w:val="nil"/>
                    <w:tr2bl w:val="nil"/>
                  </w:tcBorders>
                  <w:vAlign w:val="center"/>
                </w:tcPr>
                <w:p w14:paraId="3F041A75">
                  <w:pPr>
                    <w:adjustRightInd w:val="0"/>
                    <w:snapToGrid w:val="0"/>
                    <w:jc w:val="center"/>
                    <w:rPr>
                      <w:rFonts w:hint="eastAsia"/>
                      <w:color w:val="auto"/>
                      <w:szCs w:val="21"/>
                    </w:rPr>
                  </w:pPr>
                  <w:r>
                    <w:rPr>
                      <w:rFonts w:hint="eastAsia"/>
                      <w:color w:val="auto"/>
                      <w:szCs w:val="21"/>
                    </w:rPr>
                    <w:t>新建</w:t>
                  </w:r>
                </w:p>
              </w:tc>
            </w:tr>
            <w:tr w14:paraId="0B780C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4B0C5CCF">
                  <w:pPr>
                    <w:adjustRightInd w:val="0"/>
                    <w:snapToGrid w:val="0"/>
                    <w:jc w:val="center"/>
                    <w:rPr>
                      <w:color w:val="auto"/>
                      <w:szCs w:val="21"/>
                    </w:rPr>
                  </w:pPr>
                </w:p>
              </w:tc>
              <w:tc>
                <w:tcPr>
                  <w:tcW w:w="791" w:type="dxa"/>
                  <w:tcBorders>
                    <w:tl2br w:val="nil"/>
                    <w:tr2bl w:val="nil"/>
                  </w:tcBorders>
                  <w:vAlign w:val="center"/>
                </w:tcPr>
                <w:p w14:paraId="0573AF05">
                  <w:pPr>
                    <w:adjustRightInd w:val="0"/>
                    <w:snapToGrid w:val="0"/>
                    <w:jc w:val="center"/>
                    <w:rPr>
                      <w:rFonts w:hint="eastAsia" w:eastAsia="宋体"/>
                      <w:color w:val="auto"/>
                      <w:szCs w:val="21"/>
                      <w:lang w:eastAsia="zh-CN"/>
                    </w:rPr>
                  </w:pPr>
                  <w:r>
                    <w:rPr>
                      <w:rFonts w:hint="eastAsia"/>
                      <w:color w:val="auto"/>
                      <w:szCs w:val="21"/>
                    </w:rPr>
                    <w:t>堆料</w:t>
                  </w:r>
                  <w:r>
                    <w:rPr>
                      <w:rFonts w:hint="eastAsia"/>
                      <w:color w:val="auto"/>
                      <w:szCs w:val="21"/>
                      <w:lang w:eastAsia="zh-CN"/>
                    </w:rPr>
                    <w:t>区</w:t>
                  </w:r>
                </w:p>
              </w:tc>
              <w:tc>
                <w:tcPr>
                  <w:tcW w:w="4402" w:type="dxa"/>
                  <w:tcBorders>
                    <w:tl2br w:val="nil"/>
                    <w:tr2bl w:val="nil"/>
                  </w:tcBorders>
                  <w:vAlign w:val="center"/>
                </w:tcPr>
                <w:p w14:paraId="0924C0E1">
                  <w:pPr>
                    <w:jc w:val="left"/>
                    <w:rPr>
                      <w:color w:val="auto"/>
                      <w:szCs w:val="21"/>
                    </w:rPr>
                  </w:pPr>
                  <w:r>
                    <w:rPr>
                      <w:color w:val="auto"/>
                      <w:szCs w:val="21"/>
                    </w:rPr>
                    <w:t>本项目所需砖块、水泥、钢筋、预制混凝土构建等建筑材料全部采取外购形式，</w:t>
                  </w:r>
                  <w:r>
                    <w:rPr>
                      <w:rFonts w:hint="eastAsia"/>
                      <w:color w:val="auto"/>
                      <w:szCs w:val="21"/>
                    </w:rPr>
                    <w:t>堆料</w:t>
                  </w:r>
                  <w:r>
                    <w:rPr>
                      <w:rFonts w:hint="eastAsia"/>
                      <w:color w:val="auto"/>
                      <w:szCs w:val="21"/>
                      <w:lang w:eastAsia="zh-CN"/>
                    </w:rPr>
                    <w:t>区</w:t>
                  </w:r>
                  <w:r>
                    <w:rPr>
                      <w:rFonts w:hint="eastAsia"/>
                      <w:color w:val="auto"/>
                      <w:szCs w:val="21"/>
                    </w:rPr>
                    <w:t>设置在</w:t>
                  </w:r>
                  <w:r>
                    <w:rPr>
                      <w:rFonts w:hint="eastAsia"/>
                      <w:color w:val="auto"/>
                      <w:szCs w:val="21"/>
                      <w:lang w:eastAsia="zh-CN"/>
                    </w:rPr>
                    <w:t>场区东南侧</w:t>
                  </w:r>
                  <w:r>
                    <w:rPr>
                      <w:color w:val="auto"/>
                      <w:szCs w:val="21"/>
                    </w:rPr>
                    <w:t>。</w:t>
                  </w:r>
                </w:p>
              </w:tc>
              <w:tc>
                <w:tcPr>
                  <w:tcW w:w="981" w:type="dxa"/>
                  <w:vMerge w:val="continue"/>
                  <w:tcBorders>
                    <w:tl2br w:val="nil"/>
                    <w:tr2bl w:val="nil"/>
                  </w:tcBorders>
                  <w:vAlign w:val="center"/>
                </w:tcPr>
                <w:p w14:paraId="4C23EFA4">
                  <w:pPr>
                    <w:adjustRightInd w:val="0"/>
                    <w:snapToGrid w:val="0"/>
                    <w:jc w:val="center"/>
                    <w:rPr>
                      <w:color w:val="auto"/>
                      <w:szCs w:val="21"/>
                      <w:highlight w:val="yellow"/>
                    </w:rPr>
                  </w:pPr>
                </w:p>
              </w:tc>
              <w:tc>
                <w:tcPr>
                  <w:tcW w:w="869" w:type="dxa"/>
                  <w:tcBorders>
                    <w:tl2br w:val="nil"/>
                    <w:tr2bl w:val="nil"/>
                  </w:tcBorders>
                  <w:vAlign w:val="center"/>
                </w:tcPr>
                <w:p w14:paraId="7A6E59A0">
                  <w:pPr>
                    <w:adjustRightInd w:val="0"/>
                    <w:snapToGrid w:val="0"/>
                    <w:jc w:val="center"/>
                    <w:rPr>
                      <w:color w:val="auto"/>
                      <w:szCs w:val="21"/>
                    </w:rPr>
                  </w:pPr>
                  <w:r>
                    <w:rPr>
                      <w:color w:val="auto"/>
                      <w:szCs w:val="21"/>
                    </w:rPr>
                    <w:t>/</w:t>
                  </w:r>
                </w:p>
              </w:tc>
              <w:tc>
                <w:tcPr>
                  <w:tcW w:w="712" w:type="dxa"/>
                  <w:tcBorders>
                    <w:tl2br w:val="nil"/>
                    <w:tr2bl w:val="nil"/>
                  </w:tcBorders>
                  <w:vAlign w:val="center"/>
                </w:tcPr>
                <w:p w14:paraId="5275119B">
                  <w:pPr>
                    <w:adjustRightInd w:val="0"/>
                    <w:snapToGrid w:val="0"/>
                    <w:jc w:val="center"/>
                    <w:rPr>
                      <w:color w:val="auto"/>
                      <w:szCs w:val="21"/>
                    </w:rPr>
                  </w:pPr>
                  <w:r>
                    <w:rPr>
                      <w:rFonts w:hint="eastAsia"/>
                      <w:color w:val="auto"/>
                      <w:szCs w:val="21"/>
                    </w:rPr>
                    <w:t>新建</w:t>
                  </w:r>
                </w:p>
              </w:tc>
            </w:tr>
            <w:tr w14:paraId="7C8CDB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5431FBFB">
                  <w:pPr>
                    <w:adjustRightInd w:val="0"/>
                    <w:snapToGrid w:val="0"/>
                    <w:jc w:val="center"/>
                    <w:rPr>
                      <w:color w:val="auto"/>
                      <w:szCs w:val="21"/>
                    </w:rPr>
                  </w:pPr>
                </w:p>
              </w:tc>
              <w:tc>
                <w:tcPr>
                  <w:tcW w:w="791" w:type="dxa"/>
                  <w:tcBorders>
                    <w:tl2br w:val="nil"/>
                    <w:tr2bl w:val="nil"/>
                  </w:tcBorders>
                  <w:vAlign w:val="center"/>
                </w:tcPr>
                <w:p w14:paraId="033CB022">
                  <w:pPr>
                    <w:adjustRightInd w:val="0"/>
                    <w:snapToGrid w:val="0"/>
                    <w:jc w:val="center"/>
                    <w:rPr>
                      <w:color w:val="auto"/>
                      <w:szCs w:val="21"/>
                    </w:rPr>
                  </w:pPr>
                  <w:r>
                    <w:rPr>
                      <w:rFonts w:hint="eastAsia"/>
                      <w:color w:val="auto"/>
                      <w:szCs w:val="21"/>
                    </w:rPr>
                    <w:t>施工便道</w:t>
                  </w:r>
                </w:p>
              </w:tc>
              <w:tc>
                <w:tcPr>
                  <w:tcW w:w="4402" w:type="dxa"/>
                  <w:tcBorders>
                    <w:tl2br w:val="nil"/>
                    <w:tr2bl w:val="nil"/>
                  </w:tcBorders>
                  <w:vAlign w:val="center"/>
                </w:tcPr>
                <w:p w14:paraId="4FBED7E7">
                  <w:pPr>
                    <w:jc w:val="left"/>
                    <w:rPr>
                      <w:color w:val="auto"/>
                      <w:szCs w:val="21"/>
                    </w:rPr>
                  </w:pPr>
                  <w:r>
                    <w:rPr>
                      <w:color w:val="auto"/>
                    </w:rPr>
                    <w:t>本项目不设置施工便道，利用现状已有道路</w:t>
                  </w:r>
                </w:p>
              </w:tc>
              <w:tc>
                <w:tcPr>
                  <w:tcW w:w="981" w:type="dxa"/>
                  <w:vMerge w:val="continue"/>
                  <w:tcBorders>
                    <w:tl2br w:val="nil"/>
                    <w:tr2bl w:val="nil"/>
                  </w:tcBorders>
                  <w:vAlign w:val="center"/>
                </w:tcPr>
                <w:p w14:paraId="1B4E9FFE">
                  <w:pPr>
                    <w:adjustRightInd w:val="0"/>
                    <w:snapToGrid w:val="0"/>
                    <w:jc w:val="center"/>
                    <w:rPr>
                      <w:color w:val="auto"/>
                      <w:szCs w:val="21"/>
                      <w:highlight w:val="yellow"/>
                    </w:rPr>
                  </w:pPr>
                </w:p>
              </w:tc>
              <w:tc>
                <w:tcPr>
                  <w:tcW w:w="869" w:type="dxa"/>
                  <w:tcBorders>
                    <w:tl2br w:val="nil"/>
                    <w:tr2bl w:val="nil"/>
                  </w:tcBorders>
                  <w:vAlign w:val="center"/>
                </w:tcPr>
                <w:p w14:paraId="12144783">
                  <w:pPr>
                    <w:adjustRightInd w:val="0"/>
                    <w:snapToGrid w:val="0"/>
                    <w:jc w:val="center"/>
                    <w:rPr>
                      <w:color w:val="auto"/>
                      <w:szCs w:val="21"/>
                    </w:rPr>
                  </w:pPr>
                  <w:r>
                    <w:rPr>
                      <w:rFonts w:hint="eastAsia"/>
                      <w:color w:val="auto"/>
                      <w:szCs w:val="21"/>
                    </w:rPr>
                    <w:t>/</w:t>
                  </w:r>
                </w:p>
              </w:tc>
              <w:tc>
                <w:tcPr>
                  <w:tcW w:w="712" w:type="dxa"/>
                  <w:tcBorders>
                    <w:tl2br w:val="nil"/>
                    <w:tr2bl w:val="nil"/>
                  </w:tcBorders>
                  <w:vAlign w:val="center"/>
                </w:tcPr>
                <w:p w14:paraId="6927398A">
                  <w:pPr>
                    <w:adjustRightInd w:val="0"/>
                    <w:snapToGrid w:val="0"/>
                    <w:jc w:val="center"/>
                    <w:rPr>
                      <w:color w:val="auto"/>
                      <w:szCs w:val="21"/>
                    </w:rPr>
                  </w:pPr>
                  <w:r>
                    <w:rPr>
                      <w:rFonts w:hint="eastAsia"/>
                      <w:color w:val="auto"/>
                      <w:szCs w:val="21"/>
                    </w:rPr>
                    <w:t>依托</w:t>
                  </w:r>
                </w:p>
              </w:tc>
            </w:tr>
            <w:tr w14:paraId="3EA151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342A5AE0">
                  <w:pPr>
                    <w:adjustRightInd w:val="0"/>
                    <w:snapToGrid w:val="0"/>
                    <w:jc w:val="center"/>
                    <w:rPr>
                      <w:color w:val="auto"/>
                      <w:szCs w:val="21"/>
                    </w:rPr>
                  </w:pPr>
                </w:p>
              </w:tc>
              <w:tc>
                <w:tcPr>
                  <w:tcW w:w="791" w:type="dxa"/>
                  <w:tcBorders>
                    <w:tl2br w:val="nil"/>
                    <w:tr2bl w:val="nil"/>
                  </w:tcBorders>
                  <w:vAlign w:val="center"/>
                </w:tcPr>
                <w:p w14:paraId="5E16AC82">
                  <w:pPr>
                    <w:adjustRightInd w:val="0"/>
                    <w:snapToGrid w:val="0"/>
                    <w:jc w:val="center"/>
                    <w:rPr>
                      <w:color w:val="auto"/>
                      <w:szCs w:val="21"/>
                    </w:rPr>
                  </w:pPr>
                  <w:r>
                    <w:rPr>
                      <w:color w:val="auto"/>
                      <w:szCs w:val="21"/>
                    </w:rPr>
                    <w:t>施工营地</w:t>
                  </w:r>
                </w:p>
              </w:tc>
              <w:tc>
                <w:tcPr>
                  <w:tcW w:w="4402" w:type="dxa"/>
                  <w:tcBorders>
                    <w:tl2br w:val="nil"/>
                    <w:tr2bl w:val="nil"/>
                  </w:tcBorders>
                  <w:vAlign w:val="center"/>
                </w:tcPr>
                <w:p w14:paraId="0DF793C6">
                  <w:pPr>
                    <w:adjustRightInd w:val="0"/>
                    <w:snapToGrid w:val="0"/>
                    <w:rPr>
                      <w:color w:val="auto"/>
                      <w:szCs w:val="21"/>
                    </w:rPr>
                  </w:pPr>
                  <w:r>
                    <w:rPr>
                      <w:color w:val="auto"/>
                      <w:szCs w:val="21"/>
                    </w:rPr>
                    <w:t>本项目</w:t>
                  </w:r>
                  <w:r>
                    <w:rPr>
                      <w:rFonts w:hint="eastAsia"/>
                      <w:color w:val="auto"/>
                      <w:szCs w:val="21"/>
                    </w:rPr>
                    <w:t>施工人员为当地居民，</w:t>
                  </w:r>
                  <w:r>
                    <w:rPr>
                      <w:color w:val="auto"/>
                      <w:szCs w:val="21"/>
                    </w:rPr>
                    <w:t>不</w:t>
                  </w:r>
                  <w:r>
                    <w:rPr>
                      <w:rFonts w:hint="eastAsia"/>
                      <w:color w:val="auto"/>
                      <w:szCs w:val="21"/>
                    </w:rPr>
                    <w:t>单独</w:t>
                  </w:r>
                  <w:r>
                    <w:rPr>
                      <w:color w:val="auto"/>
                      <w:szCs w:val="21"/>
                    </w:rPr>
                    <w:t>设置施工营地。</w:t>
                  </w:r>
                </w:p>
              </w:tc>
              <w:tc>
                <w:tcPr>
                  <w:tcW w:w="981" w:type="dxa"/>
                  <w:vMerge w:val="continue"/>
                  <w:tcBorders>
                    <w:tl2br w:val="nil"/>
                    <w:tr2bl w:val="nil"/>
                  </w:tcBorders>
                  <w:vAlign w:val="center"/>
                </w:tcPr>
                <w:p w14:paraId="4589F90B">
                  <w:pPr>
                    <w:adjustRightInd w:val="0"/>
                    <w:snapToGrid w:val="0"/>
                    <w:jc w:val="center"/>
                    <w:rPr>
                      <w:color w:val="auto"/>
                      <w:szCs w:val="21"/>
                      <w:highlight w:val="yellow"/>
                    </w:rPr>
                  </w:pPr>
                </w:p>
              </w:tc>
              <w:tc>
                <w:tcPr>
                  <w:tcW w:w="869" w:type="dxa"/>
                  <w:tcBorders>
                    <w:tl2br w:val="nil"/>
                    <w:tr2bl w:val="nil"/>
                  </w:tcBorders>
                  <w:vAlign w:val="center"/>
                </w:tcPr>
                <w:p w14:paraId="06565571">
                  <w:pPr>
                    <w:adjustRightInd w:val="0"/>
                    <w:snapToGrid w:val="0"/>
                    <w:jc w:val="center"/>
                    <w:rPr>
                      <w:color w:val="auto"/>
                      <w:szCs w:val="21"/>
                    </w:rPr>
                  </w:pPr>
                  <w:r>
                    <w:rPr>
                      <w:color w:val="auto"/>
                      <w:szCs w:val="21"/>
                    </w:rPr>
                    <w:t>/</w:t>
                  </w:r>
                </w:p>
              </w:tc>
              <w:tc>
                <w:tcPr>
                  <w:tcW w:w="712" w:type="dxa"/>
                  <w:tcBorders>
                    <w:tl2br w:val="nil"/>
                    <w:tr2bl w:val="nil"/>
                  </w:tcBorders>
                  <w:vAlign w:val="center"/>
                </w:tcPr>
                <w:p w14:paraId="47B1A511">
                  <w:pPr>
                    <w:adjustRightInd w:val="0"/>
                    <w:snapToGrid w:val="0"/>
                    <w:jc w:val="center"/>
                    <w:rPr>
                      <w:color w:val="auto"/>
                      <w:szCs w:val="21"/>
                    </w:rPr>
                  </w:pPr>
                  <w:r>
                    <w:rPr>
                      <w:rFonts w:hint="eastAsia"/>
                      <w:color w:val="auto"/>
                      <w:szCs w:val="21"/>
                    </w:rPr>
                    <w:t>依托</w:t>
                  </w:r>
                </w:p>
              </w:tc>
            </w:tr>
            <w:tr w14:paraId="3A5F4F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restart"/>
                  <w:tcBorders>
                    <w:tl2br w:val="nil"/>
                    <w:tr2bl w:val="nil"/>
                  </w:tcBorders>
                  <w:vAlign w:val="center"/>
                </w:tcPr>
                <w:p w14:paraId="5D7D9387">
                  <w:pPr>
                    <w:adjustRightInd w:val="0"/>
                    <w:snapToGrid w:val="0"/>
                    <w:jc w:val="center"/>
                    <w:rPr>
                      <w:color w:val="auto"/>
                      <w:szCs w:val="21"/>
                    </w:rPr>
                  </w:pPr>
                  <w:r>
                    <w:rPr>
                      <w:color w:val="auto"/>
                      <w:szCs w:val="21"/>
                    </w:rPr>
                    <w:t>公用工程</w:t>
                  </w:r>
                </w:p>
              </w:tc>
              <w:tc>
                <w:tcPr>
                  <w:tcW w:w="791" w:type="dxa"/>
                  <w:tcBorders>
                    <w:tl2br w:val="nil"/>
                    <w:tr2bl w:val="nil"/>
                  </w:tcBorders>
                  <w:vAlign w:val="center"/>
                </w:tcPr>
                <w:p w14:paraId="5D68D2AD">
                  <w:pPr>
                    <w:adjustRightInd w:val="0"/>
                    <w:snapToGrid w:val="0"/>
                    <w:jc w:val="center"/>
                    <w:rPr>
                      <w:color w:val="auto"/>
                      <w:szCs w:val="21"/>
                    </w:rPr>
                  </w:pPr>
                  <w:r>
                    <w:rPr>
                      <w:color w:val="auto"/>
                      <w:szCs w:val="21"/>
                    </w:rPr>
                    <w:t>供水</w:t>
                  </w:r>
                </w:p>
              </w:tc>
              <w:tc>
                <w:tcPr>
                  <w:tcW w:w="4402" w:type="dxa"/>
                  <w:tcBorders>
                    <w:tl2br w:val="nil"/>
                    <w:tr2bl w:val="nil"/>
                  </w:tcBorders>
                  <w:vAlign w:val="center"/>
                </w:tcPr>
                <w:p w14:paraId="4E9CB9FB">
                  <w:pPr>
                    <w:adjustRightInd w:val="0"/>
                    <w:snapToGrid w:val="0"/>
                    <w:jc w:val="left"/>
                    <w:rPr>
                      <w:color w:val="auto"/>
                      <w:szCs w:val="21"/>
                    </w:rPr>
                  </w:pPr>
                  <w:r>
                    <w:rPr>
                      <w:color w:val="auto"/>
                      <w:szCs w:val="21"/>
                    </w:rPr>
                    <w:t>施工期：施工用水、生活用水均来自于市政供水。</w:t>
                  </w:r>
                </w:p>
                <w:p w14:paraId="6EBE7B09">
                  <w:pPr>
                    <w:adjustRightInd w:val="0"/>
                    <w:snapToGrid w:val="0"/>
                    <w:jc w:val="left"/>
                    <w:rPr>
                      <w:color w:val="auto"/>
                      <w:szCs w:val="21"/>
                    </w:rPr>
                  </w:pPr>
                  <w:r>
                    <w:rPr>
                      <w:color w:val="auto"/>
                      <w:szCs w:val="21"/>
                    </w:rPr>
                    <w:t>运营期：生活用水来自于市政供水。</w:t>
                  </w:r>
                </w:p>
              </w:tc>
              <w:tc>
                <w:tcPr>
                  <w:tcW w:w="981" w:type="dxa"/>
                  <w:vMerge w:val="continue"/>
                  <w:tcBorders>
                    <w:tl2br w:val="nil"/>
                    <w:tr2bl w:val="nil"/>
                  </w:tcBorders>
                  <w:vAlign w:val="center"/>
                </w:tcPr>
                <w:p w14:paraId="4494578F">
                  <w:pPr>
                    <w:adjustRightInd w:val="0"/>
                    <w:snapToGrid w:val="0"/>
                    <w:jc w:val="center"/>
                    <w:rPr>
                      <w:color w:val="auto"/>
                      <w:szCs w:val="21"/>
                      <w:highlight w:val="yellow"/>
                    </w:rPr>
                  </w:pPr>
                </w:p>
              </w:tc>
              <w:tc>
                <w:tcPr>
                  <w:tcW w:w="869" w:type="dxa"/>
                  <w:tcBorders>
                    <w:tl2br w:val="nil"/>
                    <w:tr2bl w:val="nil"/>
                  </w:tcBorders>
                  <w:vAlign w:val="center"/>
                </w:tcPr>
                <w:p w14:paraId="419F9872">
                  <w:pPr>
                    <w:adjustRightInd w:val="0"/>
                    <w:snapToGrid w:val="0"/>
                    <w:jc w:val="center"/>
                    <w:rPr>
                      <w:color w:val="auto"/>
                      <w:szCs w:val="21"/>
                    </w:rPr>
                  </w:pPr>
                  <w:r>
                    <w:rPr>
                      <w:color w:val="auto"/>
                      <w:szCs w:val="21"/>
                    </w:rPr>
                    <w:t>/</w:t>
                  </w:r>
                </w:p>
              </w:tc>
              <w:tc>
                <w:tcPr>
                  <w:tcW w:w="712" w:type="dxa"/>
                  <w:tcBorders>
                    <w:tl2br w:val="nil"/>
                    <w:tr2bl w:val="nil"/>
                  </w:tcBorders>
                  <w:vAlign w:val="center"/>
                </w:tcPr>
                <w:p w14:paraId="42AC9F25">
                  <w:pPr>
                    <w:adjustRightInd w:val="0"/>
                    <w:snapToGrid w:val="0"/>
                    <w:jc w:val="center"/>
                    <w:rPr>
                      <w:color w:val="auto"/>
                      <w:szCs w:val="21"/>
                    </w:rPr>
                  </w:pPr>
                  <w:r>
                    <w:rPr>
                      <w:rFonts w:hint="eastAsia"/>
                      <w:color w:val="auto"/>
                      <w:szCs w:val="21"/>
                    </w:rPr>
                    <w:t>依托</w:t>
                  </w:r>
                </w:p>
              </w:tc>
            </w:tr>
            <w:tr w14:paraId="2FE5AD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596A9E0A">
                  <w:pPr>
                    <w:adjustRightInd w:val="0"/>
                    <w:snapToGrid w:val="0"/>
                    <w:jc w:val="center"/>
                    <w:rPr>
                      <w:color w:val="auto"/>
                      <w:szCs w:val="21"/>
                      <w:highlight w:val="yellow"/>
                    </w:rPr>
                  </w:pPr>
                </w:p>
              </w:tc>
              <w:tc>
                <w:tcPr>
                  <w:tcW w:w="791" w:type="dxa"/>
                  <w:tcBorders>
                    <w:tl2br w:val="nil"/>
                    <w:tr2bl w:val="nil"/>
                  </w:tcBorders>
                  <w:vAlign w:val="center"/>
                </w:tcPr>
                <w:p w14:paraId="0DCA0553">
                  <w:pPr>
                    <w:adjustRightInd w:val="0"/>
                    <w:snapToGrid w:val="0"/>
                    <w:jc w:val="center"/>
                    <w:rPr>
                      <w:color w:val="auto"/>
                      <w:szCs w:val="21"/>
                    </w:rPr>
                  </w:pPr>
                  <w:r>
                    <w:rPr>
                      <w:color w:val="auto"/>
                      <w:szCs w:val="21"/>
                    </w:rPr>
                    <w:t>供电</w:t>
                  </w:r>
                </w:p>
              </w:tc>
              <w:tc>
                <w:tcPr>
                  <w:tcW w:w="4402" w:type="dxa"/>
                  <w:tcBorders>
                    <w:tl2br w:val="nil"/>
                    <w:tr2bl w:val="nil"/>
                  </w:tcBorders>
                  <w:vAlign w:val="center"/>
                </w:tcPr>
                <w:p w14:paraId="399E9F78">
                  <w:pPr>
                    <w:adjustRightInd w:val="0"/>
                    <w:snapToGrid w:val="0"/>
                    <w:jc w:val="left"/>
                    <w:rPr>
                      <w:color w:val="auto"/>
                      <w:szCs w:val="21"/>
                    </w:rPr>
                  </w:pPr>
                  <w:r>
                    <w:rPr>
                      <w:color w:val="auto"/>
                      <w:szCs w:val="21"/>
                    </w:rPr>
                    <w:t>项目供电由当地市政电网供电。</w:t>
                  </w:r>
                </w:p>
              </w:tc>
              <w:tc>
                <w:tcPr>
                  <w:tcW w:w="981" w:type="dxa"/>
                  <w:vMerge w:val="continue"/>
                  <w:tcBorders>
                    <w:tl2br w:val="nil"/>
                    <w:tr2bl w:val="nil"/>
                  </w:tcBorders>
                  <w:vAlign w:val="center"/>
                </w:tcPr>
                <w:p w14:paraId="127F217D">
                  <w:pPr>
                    <w:adjustRightInd w:val="0"/>
                    <w:snapToGrid w:val="0"/>
                    <w:jc w:val="center"/>
                    <w:rPr>
                      <w:color w:val="auto"/>
                      <w:szCs w:val="21"/>
                      <w:highlight w:val="yellow"/>
                    </w:rPr>
                  </w:pPr>
                </w:p>
              </w:tc>
              <w:tc>
                <w:tcPr>
                  <w:tcW w:w="869" w:type="dxa"/>
                  <w:tcBorders>
                    <w:tl2br w:val="nil"/>
                    <w:tr2bl w:val="nil"/>
                  </w:tcBorders>
                  <w:vAlign w:val="center"/>
                </w:tcPr>
                <w:p w14:paraId="4473C699">
                  <w:pPr>
                    <w:adjustRightInd w:val="0"/>
                    <w:snapToGrid w:val="0"/>
                    <w:jc w:val="center"/>
                    <w:rPr>
                      <w:color w:val="auto"/>
                      <w:szCs w:val="21"/>
                    </w:rPr>
                  </w:pPr>
                  <w:r>
                    <w:rPr>
                      <w:color w:val="auto"/>
                      <w:szCs w:val="21"/>
                    </w:rPr>
                    <w:t>/</w:t>
                  </w:r>
                </w:p>
              </w:tc>
              <w:tc>
                <w:tcPr>
                  <w:tcW w:w="712" w:type="dxa"/>
                  <w:tcBorders>
                    <w:tl2br w:val="nil"/>
                    <w:tr2bl w:val="nil"/>
                  </w:tcBorders>
                  <w:vAlign w:val="center"/>
                </w:tcPr>
                <w:p w14:paraId="0BA875B8">
                  <w:pPr>
                    <w:adjustRightInd w:val="0"/>
                    <w:snapToGrid w:val="0"/>
                    <w:jc w:val="center"/>
                    <w:rPr>
                      <w:color w:val="auto"/>
                      <w:szCs w:val="21"/>
                    </w:rPr>
                  </w:pPr>
                  <w:r>
                    <w:rPr>
                      <w:rFonts w:hint="eastAsia"/>
                      <w:color w:val="auto"/>
                      <w:szCs w:val="21"/>
                    </w:rPr>
                    <w:t>依托</w:t>
                  </w:r>
                </w:p>
              </w:tc>
            </w:tr>
            <w:tr w14:paraId="7B0DBA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3FDA3ED9">
                  <w:pPr>
                    <w:adjustRightInd w:val="0"/>
                    <w:snapToGrid w:val="0"/>
                    <w:jc w:val="center"/>
                    <w:rPr>
                      <w:color w:val="auto"/>
                      <w:szCs w:val="21"/>
                      <w:highlight w:val="yellow"/>
                    </w:rPr>
                  </w:pPr>
                </w:p>
              </w:tc>
              <w:tc>
                <w:tcPr>
                  <w:tcW w:w="791" w:type="dxa"/>
                  <w:tcBorders>
                    <w:tl2br w:val="nil"/>
                    <w:tr2bl w:val="nil"/>
                  </w:tcBorders>
                  <w:vAlign w:val="center"/>
                </w:tcPr>
                <w:p w14:paraId="36B20EA6">
                  <w:pPr>
                    <w:adjustRightInd w:val="0"/>
                    <w:snapToGrid w:val="0"/>
                    <w:jc w:val="center"/>
                    <w:rPr>
                      <w:color w:val="auto"/>
                      <w:szCs w:val="21"/>
                    </w:rPr>
                  </w:pPr>
                  <w:r>
                    <w:rPr>
                      <w:color w:val="auto"/>
                      <w:szCs w:val="21"/>
                    </w:rPr>
                    <w:t>排水</w:t>
                  </w:r>
                </w:p>
              </w:tc>
              <w:tc>
                <w:tcPr>
                  <w:tcW w:w="4402" w:type="dxa"/>
                  <w:tcBorders>
                    <w:tl2br w:val="nil"/>
                    <w:tr2bl w:val="nil"/>
                  </w:tcBorders>
                  <w:vAlign w:val="center"/>
                </w:tcPr>
                <w:p w14:paraId="50F73CC5">
                  <w:pPr>
                    <w:adjustRightInd w:val="0"/>
                    <w:snapToGrid w:val="0"/>
                    <w:rPr>
                      <w:color w:val="auto"/>
                      <w:szCs w:val="21"/>
                    </w:rPr>
                  </w:pPr>
                  <w:r>
                    <w:rPr>
                      <w:color w:val="auto"/>
                      <w:szCs w:val="21"/>
                    </w:rPr>
                    <w:t>施工期：生活污水依托</w:t>
                  </w:r>
                  <w:r>
                    <w:rPr>
                      <w:rFonts w:hint="eastAsia"/>
                      <w:color w:val="auto"/>
                      <w:szCs w:val="21"/>
                    </w:rPr>
                    <w:t>周边居民已有设施处理后排入关坝镇污水处理站处理</w:t>
                  </w:r>
                  <w:r>
                    <w:rPr>
                      <w:color w:val="auto"/>
                      <w:szCs w:val="21"/>
                    </w:rPr>
                    <w:t>。</w:t>
                  </w:r>
                </w:p>
                <w:p w14:paraId="4C78B212">
                  <w:pPr>
                    <w:adjustRightInd w:val="0"/>
                    <w:snapToGrid w:val="0"/>
                    <w:rPr>
                      <w:color w:val="auto"/>
                      <w:szCs w:val="21"/>
                    </w:rPr>
                  </w:pPr>
                  <w:r>
                    <w:rPr>
                      <w:color w:val="auto"/>
                      <w:szCs w:val="21"/>
                    </w:rPr>
                    <w:t>运营期：</w:t>
                  </w:r>
                  <w:r>
                    <w:rPr>
                      <w:rFonts w:hint="eastAsia"/>
                      <w:color w:val="auto"/>
                      <w:szCs w:val="21"/>
                      <w:lang w:eastAsia="zh-CN"/>
                    </w:rPr>
                    <w:t>项目</w:t>
                  </w:r>
                  <w:r>
                    <w:rPr>
                      <w:color w:val="auto"/>
                      <w:szCs w:val="21"/>
                    </w:rPr>
                    <w:t>设置</w:t>
                  </w:r>
                  <w:r>
                    <w:rPr>
                      <w:rFonts w:hint="eastAsia"/>
                      <w:color w:val="auto"/>
                      <w:szCs w:val="21"/>
                    </w:rPr>
                    <w:t>预处理池，</w:t>
                  </w:r>
                  <w:r>
                    <w:rPr>
                      <w:color w:val="auto"/>
                      <w:szCs w:val="21"/>
                    </w:rPr>
                    <w:t>生活污水经预处理池收集处理后</w:t>
                  </w:r>
                  <w:r>
                    <w:rPr>
                      <w:rFonts w:hint="eastAsia"/>
                      <w:color w:val="auto"/>
                      <w:szCs w:val="21"/>
                    </w:rPr>
                    <w:t>通过市政污水管网排放至</w:t>
                  </w:r>
                  <w:r>
                    <w:rPr>
                      <w:color w:val="auto"/>
                      <w:szCs w:val="21"/>
                    </w:rPr>
                    <w:t>南江县</w:t>
                  </w:r>
                  <w:r>
                    <w:rPr>
                      <w:rFonts w:hint="eastAsia"/>
                      <w:color w:val="auto"/>
                      <w:szCs w:val="21"/>
                    </w:rPr>
                    <w:t>关坝镇</w:t>
                  </w:r>
                  <w:r>
                    <w:rPr>
                      <w:color w:val="auto"/>
                      <w:szCs w:val="21"/>
                    </w:rPr>
                    <w:t>污水处理站。</w:t>
                  </w:r>
                </w:p>
              </w:tc>
              <w:tc>
                <w:tcPr>
                  <w:tcW w:w="981" w:type="dxa"/>
                  <w:vMerge w:val="continue"/>
                  <w:tcBorders>
                    <w:tl2br w:val="nil"/>
                    <w:tr2bl w:val="nil"/>
                  </w:tcBorders>
                  <w:vAlign w:val="center"/>
                </w:tcPr>
                <w:p w14:paraId="2FD3C87A">
                  <w:pPr>
                    <w:adjustRightInd w:val="0"/>
                    <w:snapToGrid w:val="0"/>
                    <w:jc w:val="center"/>
                    <w:rPr>
                      <w:color w:val="auto"/>
                      <w:szCs w:val="21"/>
                      <w:highlight w:val="yellow"/>
                    </w:rPr>
                  </w:pPr>
                </w:p>
              </w:tc>
              <w:tc>
                <w:tcPr>
                  <w:tcW w:w="869" w:type="dxa"/>
                  <w:tcBorders>
                    <w:tl2br w:val="nil"/>
                    <w:tr2bl w:val="nil"/>
                  </w:tcBorders>
                  <w:vAlign w:val="center"/>
                </w:tcPr>
                <w:p w14:paraId="41206041">
                  <w:pPr>
                    <w:adjustRightInd w:val="0"/>
                    <w:snapToGrid w:val="0"/>
                    <w:jc w:val="center"/>
                    <w:rPr>
                      <w:color w:val="auto"/>
                      <w:szCs w:val="21"/>
                    </w:rPr>
                  </w:pPr>
                  <w:r>
                    <w:rPr>
                      <w:color w:val="auto"/>
                      <w:szCs w:val="21"/>
                    </w:rPr>
                    <w:t>/</w:t>
                  </w:r>
                </w:p>
              </w:tc>
              <w:tc>
                <w:tcPr>
                  <w:tcW w:w="712" w:type="dxa"/>
                  <w:tcBorders>
                    <w:tl2br w:val="nil"/>
                    <w:tr2bl w:val="nil"/>
                  </w:tcBorders>
                  <w:vAlign w:val="center"/>
                </w:tcPr>
                <w:p w14:paraId="0D7088AF">
                  <w:pPr>
                    <w:adjustRightInd w:val="0"/>
                    <w:snapToGrid w:val="0"/>
                    <w:jc w:val="center"/>
                    <w:rPr>
                      <w:color w:val="auto"/>
                      <w:szCs w:val="21"/>
                    </w:rPr>
                  </w:pPr>
                  <w:r>
                    <w:rPr>
                      <w:rFonts w:hint="eastAsia"/>
                      <w:color w:val="auto"/>
                      <w:szCs w:val="21"/>
                    </w:rPr>
                    <w:t>新建、依托</w:t>
                  </w:r>
                </w:p>
              </w:tc>
            </w:tr>
            <w:tr w14:paraId="7E6FFD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33CF593F">
                  <w:pPr>
                    <w:adjustRightInd w:val="0"/>
                    <w:snapToGrid w:val="0"/>
                    <w:jc w:val="center"/>
                    <w:rPr>
                      <w:color w:val="auto"/>
                      <w:szCs w:val="21"/>
                      <w:highlight w:val="yellow"/>
                    </w:rPr>
                  </w:pPr>
                </w:p>
              </w:tc>
              <w:tc>
                <w:tcPr>
                  <w:tcW w:w="791" w:type="dxa"/>
                  <w:tcBorders>
                    <w:tl2br w:val="nil"/>
                    <w:tr2bl w:val="nil"/>
                  </w:tcBorders>
                  <w:vAlign w:val="center"/>
                </w:tcPr>
                <w:p w14:paraId="53EBD341">
                  <w:pPr>
                    <w:adjustRightInd w:val="0"/>
                    <w:snapToGrid w:val="0"/>
                    <w:jc w:val="center"/>
                    <w:rPr>
                      <w:color w:val="auto"/>
                      <w:szCs w:val="21"/>
                    </w:rPr>
                  </w:pPr>
                  <w:r>
                    <w:rPr>
                      <w:rFonts w:hint="eastAsia"/>
                      <w:color w:val="auto"/>
                      <w:szCs w:val="21"/>
                    </w:rPr>
                    <w:t>消防</w:t>
                  </w:r>
                </w:p>
              </w:tc>
              <w:tc>
                <w:tcPr>
                  <w:tcW w:w="4402" w:type="dxa"/>
                  <w:tcBorders>
                    <w:tl2br w:val="nil"/>
                    <w:tr2bl w:val="nil"/>
                  </w:tcBorders>
                  <w:vAlign w:val="center"/>
                </w:tcPr>
                <w:p w14:paraId="21C5E174">
                  <w:pPr>
                    <w:adjustRightInd w:val="0"/>
                    <w:snapToGrid w:val="0"/>
                    <w:rPr>
                      <w:color w:val="auto"/>
                      <w:szCs w:val="21"/>
                    </w:rPr>
                  </w:pPr>
                  <w:r>
                    <w:rPr>
                      <w:rFonts w:hint="eastAsia"/>
                      <w:color w:val="auto"/>
                      <w:szCs w:val="21"/>
                    </w:rPr>
                    <w:t>设置完善的消防通道、消防设施</w:t>
                  </w:r>
                </w:p>
              </w:tc>
              <w:tc>
                <w:tcPr>
                  <w:tcW w:w="981" w:type="dxa"/>
                  <w:vMerge w:val="continue"/>
                  <w:tcBorders>
                    <w:tl2br w:val="nil"/>
                    <w:tr2bl w:val="nil"/>
                  </w:tcBorders>
                  <w:vAlign w:val="center"/>
                </w:tcPr>
                <w:p w14:paraId="4E918D68">
                  <w:pPr>
                    <w:adjustRightInd w:val="0"/>
                    <w:snapToGrid w:val="0"/>
                    <w:jc w:val="center"/>
                    <w:rPr>
                      <w:color w:val="auto"/>
                      <w:szCs w:val="21"/>
                      <w:highlight w:val="yellow"/>
                    </w:rPr>
                  </w:pPr>
                </w:p>
              </w:tc>
              <w:tc>
                <w:tcPr>
                  <w:tcW w:w="869" w:type="dxa"/>
                  <w:tcBorders>
                    <w:tl2br w:val="nil"/>
                    <w:tr2bl w:val="nil"/>
                  </w:tcBorders>
                  <w:vAlign w:val="center"/>
                </w:tcPr>
                <w:p w14:paraId="74CD4362">
                  <w:pPr>
                    <w:adjustRightInd w:val="0"/>
                    <w:snapToGrid w:val="0"/>
                    <w:jc w:val="center"/>
                    <w:rPr>
                      <w:rFonts w:hint="eastAsia" w:eastAsia="宋体"/>
                      <w:color w:val="auto"/>
                      <w:szCs w:val="21"/>
                      <w:lang w:val="en-US" w:eastAsia="zh-CN"/>
                    </w:rPr>
                  </w:pPr>
                  <w:r>
                    <w:rPr>
                      <w:rFonts w:hint="eastAsia"/>
                      <w:color w:val="auto"/>
                      <w:szCs w:val="21"/>
                      <w:lang w:val="en-US" w:eastAsia="zh-CN"/>
                    </w:rPr>
                    <w:t>/</w:t>
                  </w:r>
                </w:p>
              </w:tc>
              <w:tc>
                <w:tcPr>
                  <w:tcW w:w="712" w:type="dxa"/>
                  <w:tcBorders>
                    <w:tl2br w:val="nil"/>
                    <w:tr2bl w:val="nil"/>
                  </w:tcBorders>
                  <w:vAlign w:val="center"/>
                </w:tcPr>
                <w:p w14:paraId="5E497BEE">
                  <w:pPr>
                    <w:adjustRightInd w:val="0"/>
                    <w:snapToGrid w:val="0"/>
                    <w:jc w:val="center"/>
                    <w:rPr>
                      <w:color w:val="auto"/>
                      <w:szCs w:val="21"/>
                    </w:rPr>
                  </w:pPr>
                  <w:r>
                    <w:rPr>
                      <w:rFonts w:hint="eastAsia"/>
                      <w:color w:val="auto"/>
                      <w:szCs w:val="21"/>
                    </w:rPr>
                    <w:t>新建</w:t>
                  </w:r>
                </w:p>
              </w:tc>
            </w:tr>
            <w:tr w14:paraId="1F999B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restart"/>
                  <w:tcBorders>
                    <w:tl2br w:val="nil"/>
                    <w:tr2bl w:val="nil"/>
                  </w:tcBorders>
                  <w:vAlign w:val="center"/>
                </w:tcPr>
                <w:p w14:paraId="1ABCD630">
                  <w:pPr>
                    <w:adjustRightInd w:val="0"/>
                    <w:snapToGrid w:val="0"/>
                    <w:jc w:val="center"/>
                    <w:rPr>
                      <w:color w:val="auto"/>
                      <w:szCs w:val="21"/>
                    </w:rPr>
                  </w:pPr>
                  <w:r>
                    <w:rPr>
                      <w:color w:val="auto"/>
                      <w:szCs w:val="21"/>
                    </w:rPr>
                    <w:t>环保工程</w:t>
                  </w:r>
                </w:p>
              </w:tc>
              <w:tc>
                <w:tcPr>
                  <w:tcW w:w="791" w:type="dxa"/>
                  <w:vMerge w:val="restart"/>
                  <w:tcBorders>
                    <w:tl2br w:val="nil"/>
                    <w:tr2bl w:val="nil"/>
                  </w:tcBorders>
                  <w:shd w:val="clear" w:color="auto" w:fill="auto"/>
                  <w:vAlign w:val="center"/>
                </w:tcPr>
                <w:p w14:paraId="7051A54D">
                  <w:pPr>
                    <w:jc w:val="center"/>
                    <w:rPr>
                      <w:color w:val="auto"/>
                      <w:szCs w:val="21"/>
                    </w:rPr>
                  </w:pPr>
                  <w:r>
                    <w:rPr>
                      <w:color w:val="auto"/>
                      <w:szCs w:val="21"/>
                    </w:rPr>
                    <w:t>固废</w:t>
                  </w:r>
                </w:p>
              </w:tc>
              <w:tc>
                <w:tcPr>
                  <w:tcW w:w="4402" w:type="dxa"/>
                  <w:tcBorders>
                    <w:tl2br w:val="nil"/>
                    <w:tr2bl w:val="nil"/>
                  </w:tcBorders>
                  <w:shd w:val="clear" w:color="auto" w:fill="auto"/>
                  <w:vAlign w:val="center"/>
                </w:tcPr>
                <w:p w14:paraId="08E2151F">
                  <w:pPr>
                    <w:jc w:val="left"/>
                    <w:rPr>
                      <w:rFonts w:ascii="Times New Roman" w:hAnsi="Times New Roman" w:eastAsia="宋体" w:cs="Times New Roman"/>
                      <w:color w:val="auto"/>
                      <w:kern w:val="2"/>
                      <w:sz w:val="21"/>
                      <w:szCs w:val="21"/>
                      <w:highlight w:val="yellow"/>
                      <w:lang w:val="en-US" w:eastAsia="zh-CN" w:bidi="ar-SA"/>
                    </w:rPr>
                  </w:pPr>
                  <w:r>
                    <w:rPr>
                      <w:color w:val="auto"/>
                      <w:szCs w:val="21"/>
                    </w:rPr>
                    <w:t>施工期：建筑垃圾交市政部门指定地点堆放</w:t>
                  </w:r>
                  <w:r>
                    <w:rPr>
                      <w:rFonts w:hint="eastAsia"/>
                      <w:color w:val="auto"/>
                      <w:szCs w:val="21"/>
                    </w:rPr>
                    <w:t>；</w:t>
                  </w:r>
                  <w:r>
                    <w:rPr>
                      <w:color w:val="auto"/>
                      <w:szCs w:val="21"/>
                    </w:rPr>
                    <w:t>生活垃圾统一收集后由环卫部门进行清运</w:t>
                  </w:r>
                  <w:r>
                    <w:rPr>
                      <w:rFonts w:hint="eastAsia"/>
                      <w:color w:val="auto"/>
                      <w:szCs w:val="21"/>
                    </w:rPr>
                    <w:t>；</w:t>
                  </w:r>
                  <w:r>
                    <w:rPr>
                      <w:rFonts w:hint="eastAsia"/>
                      <w:color w:val="auto"/>
                      <w:szCs w:val="21"/>
                      <w:lang w:eastAsia="zh-CN"/>
                    </w:rPr>
                    <w:t>废弃土石方</w:t>
                  </w:r>
                  <w:r>
                    <w:rPr>
                      <w:rFonts w:hint="eastAsia"/>
                      <w:color w:val="auto"/>
                      <w:szCs w:val="21"/>
                    </w:rPr>
                    <w:t>运至</w:t>
                  </w:r>
                  <w:r>
                    <w:rPr>
                      <w:rFonts w:hint="eastAsia"/>
                      <w:color w:val="auto"/>
                      <w:szCs w:val="21"/>
                      <w:highlight w:val="none"/>
                      <w:lang w:val="en-US" w:eastAsia="zh-CN"/>
                    </w:rPr>
                    <w:t>政府指定弃土场处置</w:t>
                  </w:r>
                  <w:r>
                    <w:rPr>
                      <w:color w:val="auto"/>
                      <w:szCs w:val="21"/>
                      <w:highlight w:val="none"/>
                    </w:rPr>
                    <w:t>。</w:t>
                  </w:r>
                </w:p>
              </w:tc>
              <w:tc>
                <w:tcPr>
                  <w:tcW w:w="981" w:type="dxa"/>
                  <w:vMerge w:val="continue"/>
                  <w:tcBorders>
                    <w:tl2br w:val="nil"/>
                    <w:tr2bl w:val="nil"/>
                  </w:tcBorders>
                  <w:vAlign w:val="center"/>
                </w:tcPr>
                <w:p w14:paraId="18B71F66">
                  <w:pPr>
                    <w:adjustRightInd w:val="0"/>
                    <w:snapToGrid w:val="0"/>
                    <w:jc w:val="center"/>
                    <w:rPr>
                      <w:color w:val="auto"/>
                      <w:szCs w:val="21"/>
                      <w:highlight w:val="yellow"/>
                    </w:rPr>
                  </w:pPr>
                </w:p>
              </w:tc>
              <w:tc>
                <w:tcPr>
                  <w:tcW w:w="869" w:type="dxa"/>
                  <w:tcBorders>
                    <w:tl2br w:val="nil"/>
                    <w:tr2bl w:val="nil"/>
                  </w:tcBorders>
                  <w:vAlign w:val="center"/>
                </w:tcPr>
                <w:p w14:paraId="5703D993">
                  <w:pPr>
                    <w:adjustRightInd w:val="0"/>
                    <w:snapToGrid w:val="0"/>
                    <w:jc w:val="center"/>
                    <w:rPr>
                      <w:color w:val="auto"/>
                      <w:szCs w:val="21"/>
                    </w:rPr>
                  </w:pPr>
                  <w:r>
                    <w:rPr>
                      <w:color w:val="auto"/>
                      <w:szCs w:val="21"/>
                    </w:rPr>
                    <w:t>/</w:t>
                  </w:r>
                </w:p>
              </w:tc>
              <w:tc>
                <w:tcPr>
                  <w:tcW w:w="712" w:type="dxa"/>
                  <w:tcBorders>
                    <w:tl2br w:val="nil"/>
                    <w:tr2bl w:val="nil"/>
                  </w:tcBorders>
                  <w:vAlign w:val="center"/>
                </w:tcPr>
                <w:p w14:paraId="519A1438">
                  <w:pPr>
                    <w:adjustRightInd w:val="0"/>
                    <w:snapToGrid w:val="0"/>
                    <w:jc w:val="center"/>
                    <w:rPr>
                      <w:color w:val="auto"/>
                      <w:szCs w:val="21"/>
                    </w:rPr>
                  </w:pPr>
                  <w:r>
                    <w:rPr>
                      <w:rFonts w:hint="eastAsia"/>
                      <w:color w:val="auto"/>
                      <w:szCs w:val="21"/>
                    </w:rPr>
                    <w:t>新建</w:t>
                  </w:r>
                </w:p>
              </w:tc>
            </w:tr>
            <w:tr w14:paraId="2CCBE7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43" w:type="dxa"/>
                  <w:vMerge w:val="continue"/>
                  <w:tcBorders>
                    <w:tl2br w:val="nil"/>
                    <w:tr2bl w:val="nil"/>
                  </w:tcBorders>
                  <w:vAlign w:val="center"/>
                </w:tcPr>
                <w:p w14:paraId="321040E0">
                  <w:pPr>
                    <w:adjustRightInd w:val="0"/>
                    <w:snapToGrid w:val="0"/>
                    <w:jc w:val="center"/>
                    <w:rPr>
                      <w:color w:val="auto"/>
                      <w:szCs w:val="21"/>
                    </w:rPr>
                  </w:pPr>
                </w:p>
              </w:tc>
              <w:tc>
                <w:tcPr>
                  <w:tcW w:w="791" w:type="dxa"/>
                  <w:vMerge w:val="continue"/>
                  <w:tcBorders>
                    <w:tl2br w:val="nil"/>
                    <w:tr2bl w:val="nil"/>
                  </w:tcBorders>
                  <w:vAlign w:val="center"/>
                </w:tcPr>
                <w:p w14:paraId="3D15AAB7">
                  <w:pPr>
                    <w:jc w:val="center"/>
                    <w:rPr>
                      <w:color w:val="auto"/>
                      <w:szCs w:val="21"/>
                    </w:rPr>
                  </w:pPr>
                </w:p>
              </w:tc>
              <w:tc>
                <w:tcPr>
                  <w:tcW w:w="4402" w:type="dxa"/>
                  <w:tcBorders>
                    <w:tl2br w:val="nil"/>
                    <w:tr2bl w:val="nil"/>
                  </w:tcBorders>
                  <w:shd w:val="clear" w:color="auto" w:fill="auto"/>
                  <w:vAlign w:val="center"/>
                </w:tcPr>
                <w:p w14:paraId="7C019C38">
                  <w:pPr>
                    <w:jc w:val="left"/>
                    <w:rPr>
                      <w:rFonts w:ascii="Times New Roman" w:hAnsi="Times New Roman" w:eastAsia="宋体" w:cs="Times New Roman"/>
                      <w:color w:val="auto"/>
                      <w:kern w:val="2"/>
                      <w:sz w:val="21"/>
                      <w:szCs w:val="21"/>
                      <w:highlight w:val="yellow"/>
                      <w:lang w:val="en-US" w:eastAsia="zh-CN" w:bidi="ar-SA"/>
                    </w:rPr>
                  </w:pPr>
                  <w:r>
                    <w:rPr>
                      <w:color w:val="auto"/>
                      <w:szCs w:val="21"/>
                    </w:rPr>
                    <w:t>运营期：项目内设置垃圾收集箱，生活垃圾经垃圾箱收集后定期由环卫部门进行清运。</w:t>
                  </w:r>
                </w:p>
              </w:tc>
              <w:tc>
                <w:tcPr>
                  <w:tcW w:w="981" w:type="dxa"/>
                  <w:vMerge w:val="continue"/>
                  <w:tcBorders>
                    <w:tl2br w:val="nil"/>
                    <w:tr2bl w:val="nil"/>
                  </w:tcBorders>
                  <w:vAlign w:val="center"/>
                </w:tcPr>
                <w:p w14:paraId="49974397">
                  <w:pPr>
                    <w:adjustRightInd w:val="0"/>
                    <w:snapToGrid w:val="0"/>
                    <w:jc w:val="center"/>
                    <w:rPr>
                      <w:color w:val="auto"/>
                      <w:szCs w:val="21"/>
                      <w:highlight w:val="yellow"/>
                    </w:rPr>
                  </w:pPr>
                </w:p>
              </w:tc>
              <w:tc>
                <w:tcPr>
                  <w:tcW w:w="869" w:type="dxa"/>
                  <w:tcBorders>
                    <w:tl2br w:val="nil"/>
                    <w:tr2bl w:val="nil"/>
                  </w:tcBorders>
                  <w:vAlign w:val="center"/>
                </w:tcPr>
                <w:p w14:paraId="30E8D50F">
                  <w:pPr>
                    <w:adjustRightInd w:val="0"/>
                    <w:snapToGrid w:val="0"/>
                    <w:jc w:val="center"/>
                    <w:rPr>
                      <w:color w:val="auto"/>
                      <w:szCs w:val="21"/>
                    </w:rPr>
                  </w:pPr>
                </w:p>
              </w:tc>
              <w:tc>
                <w:tcPr>
                  <w:tcW w:w="712" w:type="dxa"/>
                  <w:tcBorders>
                    <w:tl2br w:val="nil"/>
                    <w:tr2bl w:val="nil"/>
                  </w:tcBorders>
                  <w:vAlign w:val="center"/>
                </w:tcPr>
                <w:p w14:paraId="689DC1CF">
                  <w:pPr>
                    <w:adjustRightInd w:val="0"/>
                    <w:snapToGrid w:val="0"/>
                    <w:jc w:val="center"/>
                    <w:rPr>
                      <w:color w:val="auto"/>
                      <w:szCs w:val="21"/>
                    </w:rPr>
                  </w:pPr>
                  <w:r>
                    <w:rPr>
                      <w:rFonts w:hint="eastAsia"/>
                      <w:color w:val="auto"/>
                      <w:szCs w:val="21"/>
                    </w:rPr>
                    <w:t>新建</w:t>
                  </w:r>
                </w:p>
              </w:tc>
            </w:tr>
            <w:tr w14:paraId="243455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5C6AF229">
                  <w:pPr>
                    <w:adjustRightInd w:val="0"/>
                    <w:snapToGrid w:val="0"/>
                    <w:jc w:val="center"/>
                    <w:rPr>
                      <w:color w:val="auto"/>
                      <w:szCs w:val="21"/>
                    </w:rPr>
                  </w:pPr>
                </w:p>
              </w:tc>
              <w:tc>
                <w:tcPr>
                  <w:tcW w:w="791" w:type="dxa"/>
                  <w:vMerge w:val="restart"/>
                  <w:tcBorders>
                    <w:tl2br w:val="nil"/>
                    <w:tr2bl w:val="nil"/>
                  </w:tcBorders>
                  <w:shd w:val="clear" w:color="auto" w:fill="auto"/>
                  <w:vAlign w:val="center"/>
                </w:tcPr>
                <w:p w14:paraId="2EB36F1F">
                  <w:pPr>
                    <w:jc w:val="center"/>
                    <w:rPr>
                      <w:color w:val="auto"/>
                      <w:szCs w:val="21"/>
                    </w:rPr>
                  </w:pPr>
                  <w:r>
                    <w:rPr>
                      <w:color w:val="auto"/>
                      <w:szCs w:val="21"/>
                    </w:rPr>
                    <w:t>废气</w:t>
                  </w:r>
                </w:p>
              </w:tc>
              <w:tc>
                <w:tcPr>
                  <w:tcW w:w="4402" w:type="dxa"/>
                  <w:tcBorders>
                    <w:tl2br w:val="nil"/>
                    <w:tr2bl w:val="nil"/>
                  </w:tcBorders>
                  <w:shd w:val="clear" w:color="auto" w:fill="auto"/>
                  <w:vAlign w:val="center"/>
                </w:tcPr>
                <w:p w14:paraId="2CA655C4">
                  <w:pPr>
                    <w:widowControl/>
                    <w:jc w:val="left"/>
                    <w:rPr>
                      <w:rFonts w:ascii="Times New Roman" w:hAnsi="Times New Roman" w:eastAsia="宋体" w:cs="Times New Roman"/>
                      <w:color w:val="auto"/>
                      <w:kern w:val="2"/>
                      <w:sz w:val="21"/>
                      <w:szCs w:val="21"/>
                      <w:lang w:val="en-US" w:eastAsia="zh-CN" w:bidi="ar-SA"/>
                    </w:rPr>
                  </w:pPr>
                  <w:r>
                    <w:rPr>
                      <w:color w:val="auto"/>
                      <w:szCs w:val="21"/>
                    </w:rPr>
                    <w:t>施工期：设立施工围挡，</w:t>
                  </w:r>
                  <w:r>
                    <w:rPr>
                      <w:color w:val="auto"/>
                      <w:kern w:val="0"/>
                      <w:szCs w:val="21"/>
                      <w:lang w:bidi="ar"/>
                    </w:rPr>
                    <w:t>选用低污染设备，加强运输车辆管理，运输车辆全部覆盖运输，</w:t>
                  </w:r>
                  <w:r>
                    <w:rPr>
                      <w:rFonts w:hint="eastAsia"/>
                      <w:color w:val="auto"/>
                      <w:kern w:val="0"/>
                      <w:szCs w:val="21"/>
                      <w:lang w:eastAsia="zh-CN" w:bidi="ar"/>
                    </w:rPr>
                    <w:t>施工场地</w:t>
                  </w:r>
                  <w:r>
                    <w:rPr>
                      <w:color w:val="auto"/>
                      <w:kern w:val="0"/>
                      <w:szCs w:val="21"/>
                      <w:lang w:bidi="ar"/>
                    </w:rPr>
                    <w:t>设置雾炮机</w:t>
                  </w:r>
                  <w:r>
                    <w:rPr>
                      <w:rFonts w:hint="eastAsia"/>
                      <w:color w:val="auto"/>
                      <w:kern w:val="0"/>
                      <w:szCs w:val="21"/>
                      <w:lang w:eastAsia="zh-CN" w:bidi="ar"/>
                    </w:rPr>
                    <w:t>，定期</w:t>
                  </w:r>
                  <w:r>
                    <w:rPr>
                      <w:color w:val="auto"/>
                      <w:kern w:val="0"/>
                      <w:szCs w:val="21"/>
                      <w:lang w:bidi="ar"/>
                    </w:rPr>
                    <w:t>进行洒水降尘处理。</w:t>
                  </w:r>
                </w:p>
              </w:tc>
              <w:tc>
                <w:tcPr>
                  <w:tcW w:w="981" w:type="dxa"/>
                  <w:vMerge w:val="continue"/>
                  <w:tcBorders>
                    <w:tl2br w:val="nil"/>
                    <w:tr2bl w:val="nil"/>
                  </w:tcBorders>
                  <w:vAlign w:val="center"/>
                </w:tcPr>
                <w:p w14:paraId="5AF2F461">
                  <w:pPr>
                    <w:adjustRightInd w:val="0"/>
                    <w:snapToGrid w:val="0"/>
                    <w:jc w:val="center"/>
                    <w:rPr>
                      <w:color w:val="auto"/>
                      <w:szCs w:val="21"/>
                      <w:highlight w:val="yellow"/>
                    </w:rPr>
                  </w:pPr>
                </w:p>
              </w:tc>
              <w:tc>
                <w:tcPr>
                  <w:tcW w:w="869" w:type="dxa"/>
                  <w:tcBorders>
                    <w:tl2br w:val="nil"/>
                    <w:tr2bl w:val="nil"/>
                  </w:tcBorders>
                  <w:vAlign w:val="center"/>
                </w:tcPr>
                <w:p w14:paraId="11DCEC38">
                  <w:pPr>
                    <w:adjustRightInd w:val="0"/>
                    <w:snapToGrid w:val="0"/>
                    <w:jc w:val="center"/>
                    <w:rPr>
                      <w:color w:val="auto"/>
                      <w:szCs w:val="21"/>
                    </w:rPr>
                  </w:pPr>
                  <w:r>
                    <w:rPr>
                      <w:color w:val="auto"/>
                      <w:szCs w:val="21"/>
                    </w:rPr>
                    <w:t>/</w:t>
                  </w:r>
                </w:p>
              </w:tc>
              <w:tc>
                <w:tcPr>
                  <w:tcW w:w="712" w:type="dxa"/>
                  <w:tcBorders>
                    <w:tl2br w:val="nil"/>
                    <w:tr2bl w:val="nil"/>
                  </w:tcBorders>
                  <w:vAlign w:val="center"/>
                </w:tcPr>
                <w:p w14:paraId="614D0AC0">
                  <w:pPr>
                    <w:adjustRightInd w:val="0"/>
                    <w:snapToGrid w:val="0"/>
                    <w:jc w:val="center"/>
                    <w:rPr>
                      <w:color w:val="auto"/>
                      <w:szCs w:val="21"/>
                    </w:rPr>
                  </w:pPr>
                  <w:r>
                    <w:rPr>
                      <w:rFonts w:hint="eastAsia"/>
                      <w:color w:val="auto"/>
                      <w:szCs w:val="21"/>
                    </w:rPr>
                    <w:t>新建</w:t>
                  </w:r>
                </w:p>
              </w:tc>
            </w:tr>
            <w:tr w14:paraId="6E4E2E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568722DF">
                  <w:pPr>
                    <w:adjustRightInd w:val="0"/>
                    <w:snapToGrid w:val="0"/>
                    <w:jc w:val="center"/>
                    <w:rPr>
                      <w:color w:val="auto"/>
                      <w:szCs w:val="21"/>
                      <w:highlight w:val="yellow"/>
                    </w:rPr>
                  </w:pPr>
                </w:p>
              </w:tc>
              <w:tc>
                <w:tcPr>
                  <w:tcW w:w="791" w:type="dxa"/>
                  <w:vMerge w:val="continue"/>
                  <w:tcBorders>
                    <w:tl2br w:val="nil"/>
                    <w:tr2bl w:val="nil"/>
                  </w:tcBorders>
                  <w:vAlign w:val="center"/>
                </w:tcPr>
                <w:p w14:paraId="3DA09D89">
                  <w:pPr>
                    <w:jc w:val="center"/>
                    <w:rPr>
                      <w:color w:val="auto"/>
                      <w:szCs w:val="21"/>
                    </w:rPr>
                  </w:pPr>
                </w:p>
              </w:tc>
              <w:tc>
                <w:tcPr>
                  <w:tcW w:w="4402" w:type="dxa"/>
                  <w:tcBorders>
                    <w:tl2br w:val="nil"/>
                    <w:tr2bl w:val="nil"/>
                  </w:tcBorders>
                  <w:shd w:val="clear" w:color="auto" w:fill="auto"/>
                  <w:vAlign w:val="center"/>
                </w:tcPr>
                <w:p w14:paraId="29076E4B">
                  <w:pPr>
                    <w:autoSpaceDE w:val="0"/>
                    <w:autoSpaceDN w:val="0"/>
                    <w:adjustRightInd w:val="0"/>
                    <w:jc w:val="left"/>
                    <w:rPr>
                      <w:rFonts w:ascii="Times New Roman" w:hAnsi="Times New Roman" w:eastAsia="宋体" w:cs="Times New Roman"/>
                      <w:color w:val="auto"/>
                      <w:kern w:val="0"/>
                      <w:sz w:val="21"/>
                      <w:szCs w:val="21"/>
                      <w:lang w:val="en-US" w:eastAsia="zh-CN" w:bidi="ar-SA"/>
                    </w:rPr>
                  </w:pPr>
                  <w:r>
                    <w:rPr>
                      <w:color w:val="auto"/>
                      <w:szCs w:val="21"/>
                    </w:rPr>
                    <w:t>运营期：预留住户厨房油烟通道，地下室采用机械送排风方式。</w:t>
                  </w:r>
                </w:p>
              </w:tc>
              <w:tc>
                <w:tcPr>
                  <w:tcW w:w="981" w:type="dxa"/>
                  <w:vMerge w:val="continue"/>
                  <w:tcBorders>
                    <w:tl2br w:val="nil"/>
                    <w:tr2bl w:val="nil"/>
                  </w:tcBorders>
                  <w:vAlign w:val="center"/>
                </w:tcPr>
                <w:p w14:paraId="770865CF">
                  <w:pPr>
                    <w:adjustRightInd w:val="0"/>
                    <w:snapToGrid w:val="0"/>
                    <w:jc w:val="center"/>
                    <w:rPr>
                      <w:color w:val="auto"/>
                      <w:szCs w:val="21"/>
                      <w:highlight w:val="yellow"/>
                    </w:rPr>
                  </w:pPr>
                </w:p>
              </w:tc>
              <w:tc>
                <w:tcPr>
                  <w:tcW w:w="869" w:type="dxa"/>
                  <w:tcBorders>
                    <w:tl2br w:val="nil"/>
                    <w:tr2bl w:val="nil"/>
                  </w:tcBorders>
                  <w:vAlign w:val="center"/>
                </w:tcPr>
                <w:p w14:paraId="49C06716">
                  <w:pPr>
                    <w:adjustRightInd w:val="0"/>
                    <w:snapToGrid w:val="0"/>
                    <w:jc w:val="center"/>
                    <w:rPr>
                      <w:color w:val="auto"/>
                      <w:szCs w:val="21"/>
                    </w:rPr>
                  </w:pPr>
                  <w:r>
                    <w:rPr>
                      <w:color w:val="auto"/>
                      <w:szCs w:val="21"/>
                    </w:rPr>
                    <w:t>/</w:t>
                  </w:r>
                </w:p>
              </w:tc>
              <w:tc>
                <w:tcPr>
                  <w:tcW w:w="712" w:type="dxa"/>
                  <w:tcBorders>
                    <w:tl2br w:val="nil"/>
                    <w:tr2bl w:val="nil"/>
                  </w:tcBorders>
                  <w:vAlign w:val="center"/>
                </w:tcPr>
                <w:p w14:paraId="20200D7C">
                  <w:pPr>
                    <w:adjustRightInd w:val="0"/>
                    <w:snapToGrid w:val="0"/>
                    <w:jc w:val="center"/>
                    <w:rPr>
                      <w:color w:val="auto"/>
                      <w:szCs w:val="21"/>
                    </w:rPr>
                  </w:pPr>
                  <w:r>
                    <w:rPr>
                      <w:rFonts w:hint="eastAsia"/>
                      <w:color w:val="auto"/>
                      <w:szCs w:val="21"/>
                    </w:rPr>
                    <w:t>新建</w:t>
                  </w:r>
                </w:p>
              </w:tc>
            </w:tr>
            <w:tr w14:paraId="113D46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43" w:type="dxa"/>
                  <w:vMerge w:val="continue"/>
                  <w:tcBorders>
                    <w:tl2br w:val="nil"/>
                    <w:tr2bl w:val="nil"/>
                  </w:tcBorders>
                  <w:vAlign w:val="center"/>
                </w:tcPr>
                <w:p w14:paraId="3383F582">
                  <w:pPr>
                    <w:adjustRightInd w:val="0"/>
                    <w:snapToGrid w:val="0"/>
                    <w:jc w:val="center"/>
                    <w:rPr>
                      <w:color w:val="auto"/>
                      <w:szCs w:val="21"/>
                      <w:highlight w:val="yellow"/>
                    </w:rPr>
                  </w:pPr>
                </w:p>
              </w:tc>
              <w:tc>
                <w:tcPr>
                  <w:tcW w:w="791" w:type="dxa"/>
                  <w:vMerge w:val="restart"/>
                  <w:tcBorders>
                    <w:tl2br w:val="nil"/>
                    <w:tr2bl w:val="nil"/>
                  </w:tcBorders>
                  <w:shd w:val="clear" w:color="auto" w:fill="auto"/>
                  <w:vAlign w:val="center"/>
                </w:tcPr>
                <w:p w14:paraId="5927794D">
                  <w:pPr>
                    <w:jc w:val="center"/>
                    <w:rPr>
                      <w:color w:val="auto"/>
                      <w:szCs w:val="21"/>
                      <w:highlight w:val="yellow"/>
                    </w:rPr>
                  </w:pPr>
                  <w:r>
                    <w:rPr>
                      <w:color w:val="auto"/>
                      <w:szCs w:val="21"/>
                    </w:rPr>
                    <w:t>废水</w:t>
                  </w:r>
                </w:p>
              </w:tc>
              <w:tc>
                <w:tcPr>
                  <w:tcW w:w="4402" w:type="dxa"/>
                  <w:tcBorders>
                    <w:tl2br w:val="nil"/>
                    <w:tr2bl w:val="nil"/>
                  </w:tcBorders>
                  <w:shd w:val="clear" w:color="auto" w:fill="auto"/>
                  <w:vAlign w:val="center"/>
                </w:tcPr>
                <w:p w14:paraId="406B9E92">
                  <w:pPr>
                    <w:jc w:val="left"/>
                    <w:rPr>
                      <w:rFonts w:ascii="Times New Roman" w:hAnsi="Times New Roman" w:eastAsia="宋体" w:cs="Times New Roman"/>
                      <w:color w:val="auto"/>
                      <w:kern w:val="2"/>
                      <w:sz w:val="21"/>
                      <w:szCs w:val="21"/>
                      <w:highlight w:val="yellow"/>
                      <w:lang w:val="en-US" w:eastAsia="zh-CN" w:bidi="ar-SA"/>
                    </w:rPr>
                  </w:pPr>
                  <w:r>
                    <w:rPr>
                      <w:color w:val="auto"/>
                      <w:szCs w:val="21"/>
                    </w:rPr>
                    <w:t>施工期：本项目不设施工营地，不设食堂。生活污水依托</w:t>
                  </w:r>
                  <w:r>
                    <w:rPr>
                      <w:rFonts w:hint="eastAsia"/>
                      <w:color w:val="auto"/>
                      <w:szCs w:val="21"/>
                    </w:rPr>
                    <w:t>关坝镇</w:t>
                  </w:r>
                  <w:r>
                    <w:rPr>
                      <w:color w:val="auto"/>
                      <w:szCs w:val="21"/>
                    </w:rPr>
                    <w:t>民房内预处理设施处理后排入南江县</w:t>
                  </w:r>
                  <w:r>
                    <w:rPr>
                      <w:rFonts w:hint="eastAsia"/>
                      <w:color w:val="auto"/>
                      <w:szCs w:val="21"/>
                    </w:rPr>
                    <w:t>关坝镇</w:t>
                  </w:r>
                  <w:r>
                    <w:rPr>
                      <w:color w:val="auto"/>
                      <w:szCs w:val="21"/>
                    </w:rPr>
                    <w:t>污水处理站。施工场地产生的</w:t>
                  </w:r>
                  <w:r>
                    <w:rPr>
                      <w:rFonts w:hint="eastAsia"/>
                      <w:bCs/>
                      <w:color w:val="auto"/>
                      <w:spacing w:val="10"/>
                      <w:szCs w:val="21"/>
                    </w:rPr>
                    <w:t>生产</w:t>
                  </w:r>
                  <w:r>
                    <w:rPr>
                      <w:bCs/>
                      <w:color w:val="auto"/>
                      <w:spacing w:val="10"/>
                      <w:szCs w:val="21"/>
                    </w:rPr>
                    <w:t>废水经周边临时排水沟收集后进入沉淀池处理，</w:t>
                  </w:r>
                  <w:r>
                    <w:rPr>
                      <w:rFonts w:hint="eastAsia"/>
                      <w:bCs/>
                      <w:color w:val="auto"/>
                      <w:spacing w:val="10"/>
                      <w:szCs w:val="21"/>
                    </w:rPr>
                    <w:t>回用于场地降尘</w:t>
                  </w:r>
                  <w:r>
                    <w:rPr>
                      <w:bCs/>
                      <w:color w:val="auto"/>
                      <w:spacing w:val="10"/>
                      <w:szCs w:val="21"/>
                    </w:rPr>
                    <w:t>，不外排。</w:t>
                  </w:r>
                </w:p>
              </w:tc>
              <w:tc>
                <w:tcPr>
                  <w:tcW w:w="981" w:type="dxa"/>
                  <w:vMerge w:val="continue"/>
                  <w:tcBorders>
                    <w:tl2br w:val="nil"/>
                    <w:tr2bl w:val="nil"/>
                  </w:tcBorders>
                  <w:vAlign w:val="center"/>
                </w:tcPr>
                <w:p w14:paraId="1503F1C2">
                  <w:pPr>
                    <w:adjustRightInd w:val="0"/>
                    <w:snapToGrid w:val="0"/>
                    <w:jc w:val="center"/>
                    <w:rPr>
                      <w:color w:val="auto"/>
                      <w:szCs w:val="21"/>
                      <w:highlight w:val="yellow"/>
                    </w:rPr>
                  </w:pPr>
                </w:p>
              </w:tc>
              <w:tc>
                <w:tcPr>
                  <w:tcW w:w="869" w:type="dxa"/>
                  <w:tcBorders>
                    <w:tl2br w:val="nil"/>
                    <w:tr2bl w:val="nil"/>
                  </w:tcBorders>
                  <w:vAlign w:val="center"/>
                </w:tcPr>
                <w:p w14:paraId="6BE61AEE">
                  <w:pPr>
                    <w:adjustRightInd w:val="0"/>
                    <w:snapToGrid w:val="0"/>
                    <w:jc w:val="center"/>
                    <w:rPr>
                      <w:color w:val="auto"/>
                      <w:szCs w:val="21"/>
                    </w:rPr>
                  </w:pPr>
                  <w:r>
                    <w:rPr>
                      <w:rFonts w:hint="eastAsia"/>
                      <w:color w:val="auto"/>
                      <w:szCs w:val="21"/>
                    </w:rPr>
                    <w:t>/</w:t>
                  </w:r>
                </w:p>
              </w:tc>
              <w:tc>
                <w:tcPr>
                  <w:tcW w:w="712" w:type="dxa"/>
                  <w:tcBorders>
                    <w:tl2br w:val="nil"/>
                    <w:tr2bl w:val="nil"/>
                  </w:tcBorders>
                  <w:vAlign w:val="center"/>
                </w:tcPr>
                <w:p w14:paraId="3586CB8B">
                  <w:pPr>
                    <w:adjustRightInd w:val="0"/>
                    <w:snapToGrid w:val="0"/>
                    <w:jc w:val="center"/>
                    <w:rPr>
                      <w:color w:val="auto"/>
                      <w:szCs w:val="21"/>
                    </w:rPr>
                  </w:pPr>
                  <w:r>
                    <w:rPr>
                      <w:rFonts w:hint="eastAsia"/>
                      <w:color w:val="auto"/>
                      <w:szCs w:val="21"/>
                    </w:rPr>
                    <w:t>新建</w:t>
                  </w:r>
                </w:p>
              </w:tc>
            </w:tr>
            <w:tr w14:paraId="6F0888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2E7AD5F3">
                  <w:pPr>
                    <w:adjustRightInd w:val="0"/>
                    <w:snapToGrid w:val="0"/>
                    <w:jc w:val="center"/>
                    <w:rPr>
                      <w:color w:val="auto"/>
                      <w:szCs w:val="21"/>
                      <w:highlight w:val="yellow"/>
                    </w:rPr>
                  </w:pPr>
                </w:p>
              </w:tc>
              <w:tc>
                <w:tcPr>
                  <w:tcW w:w="791" w:type="dxa"/>
                  <w:vMerge w:val="continue"/>
                  <w:tcBorders>
                    <w:tl2br w:val="nil"/>
                    <w:tr2bl w:val="nil"/>
                  </w:tcBorders>
                  <w:vAlign w:val="center"/>
                </w:tcPr>
                <w:p w14:paraId="51435D84">
                  <w:pPr>
                    <w:jc w:val="left"/>
                    <w:rPr>
                      <w:color w:val="auto"/>
                      <w:szCs w:val="21"/>
                      <w:highlight w:val="yellow"/>
                    </w:rPr>
                  </w:pPr>
                </w:p>
              </w:tc>
              <w:tc>
                <w:tcPr>
                  <w:tcW w:w="4402" w:type="dxa"/>
                  <w:tcBorders>
                    <w:tl2br w:val="nil"/>
                    <w:tr2bl w:val="nil"/>
                  </w:tcBorders>
                  <w:shd w:val="clear" w:color="auto" w:fill="auto"/>
                  <w:vAlign w:val="center"/>
                </w:tcPr>
                <w:p w14:paraId="3D8AD3A7">
                  <w:pPr>
                    <w:jc w:val="left"/>
                    <w:rPr>
                      <w:rFonts w:ascii="Times New Roman" w:hAnsi="Times New Roman" w:eastAsia="宋体" w:cs="Times New Roman"/>
                      <w:color w:val="auto"/>
                      <w:kern w:val="2"/>
                      <w:sz w:val="21"/>
                      <w:szCs w:val="21"/>
                      <w:highlight w:val="yellow"/>
                      <w:lang w:val="en-US" w:eastAsia="zh-CN" w:bidi="ar-SA"/>
                    </w:rPr>
                  </w:pPr>
                  <w:r>
                    <w:rPr>
                      <w:color w:val="auto"/>
                      <w:szCs w:val="21"/>
                    </w:rPr>
                    <w:t>运营期：设置</w:t>
                  </w:r>
                  <w:r>
                    <w:rPr>
                      <w:rFonts w:hint="eastAsia"/>
                      <w:color w:val="auto"/>
                      <w:szCs w:val="21"/>
                    </w:rPr>
                    <w:t>预处理池，</w:t>
                  </w:r>
                  <w:r>
                    <w:rPr>
                      <w:color w:val="auto"/>
                      <w:szCs w:val="21"/>
                    </w:rPr>
                    <w:t>生活污水经预处理池收集处理后</w:t>
                  </w:r>
                  <w:r>
                    <w:rPr>
                      <w:rFonts w:hint="eastAsia"/>
                      <w:color w:val="auto"/>
                      <w:szCs w:val="21"/>
                    </w:rPr>
                    <w:t>通过市政污水管网排放至</w:t>
                  </w:r>
                  <w:r>
                    <w:rPr>
                      <w:color w:val="auto"/>
                      <w:szCs w:val="21"/>
                    </w:rPr>
                    <w:t>南江县</w:t>
                  </w:r>
                  <w:r>
                    <w:rPr>
                      <w:rFonts w:hint="eastAsia"/>
                      <w:color w:val="auto"/>
                      <w:szCs w:val="21"/>
                    </w:rPr>
                    <w:t>关坝镇</w:t>
                  </w:r>
                  <w:r>
                    <w:rPr>
                      <w:color w:val="auto"/>
                      <w:szCs w:val="21"/>
                    </w:rPr>
                    <w:t>污水处理站。</w:t>
                  </w:r>
                </w:p>
              </w:tc>
              <w:tc>
                <w:tcPr>
                  <w:tcW w:w="981" w:type="dxa"/>
                  <w:vMerge w:val="continue"/>
                  <w:tcBorders>
                    <w:tl2br w:val="nil"/>
                    <w:tr2bl w:val="nil"/>
                  </w:tcBorders>
                  <w:vAlign w:val="center"/>
                </w:tcPr>
                <w:p w14:paraId="5E20B442">
                  <w:pPr>
                    <w:adjustRightInd w:val="0"/>
                    <w:snapToGrid w:val="0"/>
                    <w:jc w:val="center"/>
                    <w:rPr>
                      <w:color w:val="auto"/>
                      <w:szCs w:val="21"/>
                      <w:highlight w:val="yellow"/>
                    </w:rPr>
                  </w:pPr>
                </w:p>
              </w:tc>
              <w:tc>
                <w:tcPr>
                  <w:tcW w:w="869" w:type="dxa"/>
                  <w:tcBorders>
                    <w:tl2br w:val="nil"/>
                    <w:tr2bl w:val="nil"/>
                  </w:tcBorders>
                  <w:vAlign w:val="center"/>
                </w:tcPr>
                <w:p w14:paraId="518A5328">
                  <w:pPr>
                    <w:adjustRightInd w:val="0"/>
                    <w:snapToGrid w:val="0"/>
                    <w:jc w:val="center"/>
                    <w:rPr>
                      <w:color w:val="auto"/>
                      <w:szCs w:val="21"/>
                    </w:rPr>
                  </w:pPr>
                  <w:r>
                    <w:rPr>
                      <w:rFonts w:hint="eastAsia"/>
                      <w:color w:val="auto"/>
                      <w:szCs w:val="21"/>
                    </w:rPr>
                    <w:t>/</w:t>
                  </w:r>
                </w:p>
              </w:tc>
              <w:tc>
                <w:tcPr>
                  <w:tcW w:w="712" w:type="dxa"/>
                  <w:tcBorders>
                    <w:tl2br w:val="nil"/>
                    <w:tr2bl w:val="nil"/>
                  </w:tcBorders>
                  <w:vAlign w:val="center"/>
                </w:tcPr>
                <w:p w14:paraId="0EEE7FB4">
                  <w:pPr>
                    <w:adjustRightInd w:val="0"/>
                    <w:snapToGrid w:val="0"/>
                    <w:jc w:val="center"/>
                    <w:rPr>
                      <w:color w:val="auto"/>
                      <w:szCs w:val="21"/>
                    </w:rPr>
                  </w:pPr>
                  <w:r>
                    <w:rPr>
                      <w:rFonts w:hint="eastAsia"/>
                      <w:color w:val="auto"/>
                      <w:szCs w:val="21"/>
                    </w:rPr>
                    <w:t>新建</w:t>
                  </w:r>
                </w:p>
              </w:tc>
            </w:tr>
            <w:tr w14:paraId="01D22B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491981B4">
                  <w:pPr>
                    <w:adjustRightInd w:val="0"/>
                    <w:snapToGrid w:val="0"/>
                    <w:jc w:val="center"/>
                    <w:rPr>
                      <w:color w:val="auto"/>
                      <w:szCs w:val="21"/>
                      <w:highlight w:val="yellow"/>
                    </w:rPr>
                  </w:pPr>
                </w:p>
              </w:tc>
              <w:tc>
                <w:tcPr>
                  <w:tcW w:w="791" w:type="dxa"/>
                  <w:vMerge w:val="restart"/>
                  <w:tcBorders>
                    <w:tl2br w:val="nil"/>
                    <w:tr2bl w:val="nil"/>
                  </w:tcBorders>
                  <w:shd w:val="clear" w:color="auto" w:fill="auto"/>
                  <w:vAlign w:val="center"/>
                </w:tcPr>
                <w:p w14:paraId="4E714680">
                  <w:pPr>
                    <w:jc w:val="center"/>
                    <w:rPr>
                      <w:color w:val="auto"/>
                      <w:szCs w:val="21"/>
                    </w:rPr>
                  </w:pPr>
                  <w:r>
                    <w:rPr>
                      <w:color w:val="auto"/>
                      <w:szCs w:val="21"/>
                    </w:rPr>
                    <w:t>噪声</w:t>
                  </w:r>
                </w:p>
              </w:tc>
              <w:tc>
                <w:tcPr>
                  <w:tcW w:w="4402" w:type="dxa"/>
                  <w:tcBorders>
                    <w:tl2br w:val="nil"/>
                    <w:tr2bl w:val="nil"/>
                  </w:tcBorders>
                  <w:shd w:val="clear" w:color="auto" w:fill="auto"/>
                  <w:vAlign w:val="center"/>
                </w:tcPr>
                <w:p w14:paraId="09D5EB00">
                  <w:pPr>
                    <w:jc w:val="left"/>
                    <w:rPr>
                      <w:rFonts w:ascii="Times New Roman" w:hAnsi="Times New Roman" w:eastAsia="宋体" w:cs="Times New Roman"/>
                      <w:color w:val="auto"/>
                      <w:kern w:val="2"/>
                      <w:sz w:val="21"/>
                      <w:szCs w:val="21"/>
                      <w:lang w:val="en-US" w:eastAsia="zh-CN" w:bidi="ar-SA"/>
                    </w:rPr>
                  </w:pPr>
                  <w:r>
                    <w:rPr>
                      <w:color w:val="auto"/>
                      <w:szCs w:val="21"/>
                    </w:rPr>
                    <w:t>施工期：选用低噪设备，</w:t>
                  </w:r>
                  <w:r>
                    <w:rPr>
                      <w:rFonts w:hint="eastAsia"/>
                      <w:color w:val="auto"/>
                      <w:szCs w:val="21"/>
                      <w:lang w:eastAsia="zh-CN"/>
                    </w:rPr>
                    <w:t>中午及</w:t>
                  </w:r>
                  <w:r>
                    <w:rPr>
                      <w:color w:val="auto"/>
                      <w:szCs w:val="21"/>
                    </w:rPr>
                    <w:t>夜间禁止施工，设置施工围挡隔声降噪。</w:t>
                  </w:r>
                </w:p>
              </w:tc>
              <w:tc>
                <w:tcPr>
                  <w:tcW w:w="981" w:type="dxa"/>
                  <w:vMerge w:val="continue"/>
                  <w:tcBorders>
                    <w:tl2br w:val="nil"/>
                    <w:tr2bl w:val="nil"/>
                  </w:tcBorders>
                  <w:vAlign w:val="center"/>
                </w:tcPr>
                <w:p w14:paraId="3698DA08">
                  <w:pPr>
                    <w:adjustRightInd w:val="0"/>
                    <w:snapToGrid w:val="0"/>
                    <w:jc w:val="center"/>
                    <w:rPr>
                      <w:color w:val="auto"/>
                      <w:szCs w:val="21"/>
                      <w:highlight w:val="yellow"/>
                    </w:rPr>
                  </w:pPr>
                </w:p>
              </w:tc>
              <w:tc>
                <w:tcPr>
                  <w:tcW w:w="869" w:type="dxa"/>
                  <w:vMerge w:val="restart"/>
                  <w:tcBorders>
                    <w:tl2br w:val="nil"/>
                    <w:tr2bl w:val="nil"/>
                  </w:tcBorders>
                  <w:vAlign w:val="center"/>
                </w:tcPr>
                <w:p w14:paraId="4F1DFAB2">
                  <w:pPr>
                    <w:adjustRightInd w:val="0"/>
                    <w:snapToGrid w:val="0"/>
                    <w:jc w:val="center"/>
                    <w:rPr>
                      <w:color w:val="auto"/>
                      <w:szCs w:val="21"/>
                    </w:rPr>
                  </w:pPr>
                  <w:r>
                    <w:rPr>
                      <w:rFonts w:hint="eastAsia"/>
                      <w:color w:val="auto"/>
                      <w:szCs w:val="21"/>
                    </w:rPr>
                    <w:t>/</w:t>
                  </w:r>
                </w:p>
              </w:tc>
              <w:tc>
                <w:tcPr>
                  <w:tcW w:w="712" w:type="dxa"/>
                  <w:tcBorders>
                    <w:tl2br w:val="nil"/>
                    <w:tr2bl w:val="nil"/>
                  </w:tcBorders>
                  <w:vAlign w:val="center"/>
                </w:tcPr>
                <w:p w14:paraId="6F33DE1F">
                  <w:pPr>
                    <w:adjustRightInd w:val="0"/>
                    <w:snapToGrid w:val="0"/>
                    <w:jc w:val="center"/>
                    <w:rPr>
                      <w:color w:val="auto"/>
                      <w:szCs w:val="21"/>
                    </w:rPr>
                  </w:pPr>
                  <w:r>
                    <w:rPr>
                      <w:rFonts w:hint="eastAsia"/>
                      <w:color w:val="auto"/>
                      <w:szCs w:val="21"/>
                    </w:rPr>
                    <w:t>新建</w:t>
                  </w:r>
                </w:p>
              </w:tc>
            </w:tr>
            <w:tr w14:paraId="64D453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01E3F433">
                  <w:pPr>
                    <w:adjustRightInd w:val="0"/>
                    <w:snapToGrid w:val="0"/>
                    <w:jc w:val="center"/>
                    <w:rPr>
                      <w:color w:val="auto"/>
                      <w:szCs w:val="21"/>
                      <w:highlight w:val="yellow"/>
                    </w:rPr>
                  </w:pPr>
                </w:p>
              </w:tc>
              <w:tc>
                <w:tcPr>
                  <w:tcW w:w="791" w:type="dxa"/>
                  <w:vMerge w:val="continue"/>
                  <w:tcBorders>
                    <w:tl2br w:val="nil"/>
                    <w:tr2bl w:val="nil"/>
                  </w:tcBorders>
                  <w:vAlign w:val="center"/>
                </w:tcPr>
                <w:p w14:paraId="77F353DD">
                  <w:pPr>
                    <w:jc w:val="left"/>
                    <w:rPr>
                      <w:color w:val="auto"/>
                      <w:szCs w:val="21"/>
                      <w:highlight w:val="yellow"/>
                    </w:rPr>
                  </w:pPr>
                </w:p>
              </w:tc>
              <w:tc>
                <w:tcPr>
                  <w:tcW w:w="4402" w:type="dxa"/>
                  <w:tcBorders>
                    <w:tl2br w:val="nil"/>
                    <w:tr2bl w:val="nil"/>
                  </w:tcBorders>
                  <w:shd w:val="clear" w:color="auto" w:fill="auto"/>
                  <w:vAlign w:val="center"/>
                </w:tcPr>
                <w:p w14:paraId="025E8F75">
                  <w:pPr>
                    <w:adjustRightInd w:val="0"/>
                    <w:snapToGrid w:val="0"/>
                    <w:rPr>
                      <w:rFonts w:ascii="Times New Roman" w:hAnsi="Times New Roman" w:eastAsia="宋体" w:cs="Times New Roman"/>
                      <w:color w:val="auto"/>
                      <w:kern w:val="2"/>
                      <w:sz w:val="21"/>
                      <w:szCs w:val="21"/>
                      <w:highlight w:val="yellow"/>
                      <w:lang w:val="en-US" w:eastAsia="zh-CN" w:bidi="ar-SA"/>
                    </w:rPr>
                  </w:pPr>
                  <w:r>
                    <w:rPr>
                      <w:color w:val="auto"/>
                      <w:szCs w:val="21"/>
                    </w:rPr>
                    <w:t>运营期：</w:t>
                  </w:r>
                  <w:r>
                    <w:rPr>
                      <w:rFonts w:hint="eastAsia"/>
                      <w:bCs/>
                      <w:color w:val="auto"/>
                      <w:spacing w:val="10"/>
                      <w:szCs w:val="21"/>
                    </w:rPr>
                    <w:t>区域内</w:t>
                  </w:r>
                  <w:r>
                    <w:rPr>
                      <w:bCs/>
                      <w:color w:val="auto"/>
                      <w:spacing w:val="10"/>
                      <w:szCs w:val="21"/>
                    </w:rPr>
                    <w:t>种植绿植进行绿化，</w:t>
                  </w:r>
                  <w:r>
                    <w:rPr>
                      <w:rFonts w:hint="eastAsia"/>
                      <w:color w:val="auto"/>
                      <w:lang w:eastAsia="zh-CN"/>
                    </w:rPr>
                    <w:t>限制</w:t>
                  </w:r>
                  <w:r>
                    <w:rPr>
                      <w:color w:val="auto"/>
                    </w:rPr>
                    <w:t>车辆行驶速度、禁止车辆鸣笛等</w:t>
                  </w:r>
                  <w:r>
                    <w:rPr>
                      <w:rFonts w:hint="eastAsia"/>
                      <w:color w:val="auto"/>
                    </w:rPr>
                    <w:t>，</w:t>
                  </w:r>
                  <w:r>
                    <w:rPr>
                      <w:bCs/>
                      <w:color w:val="auto"/>
                      <w:spacing w:val="10"/>
                      <w:szCs w:val="21"/>
                    </w:rPr>
                    <w:t>噪声经过绿植衰减以及距离衰减后降噪。</w:t>
                  </w:r>
                </w:p>
              </w:tc>
              <w:tc>
                <w:tcPr>
                  <w:tcW w:w="981" w:type="dxa"/>
                  <w:vMerge w:val="continue"/>
                  <w:tcBorders>
                    <w:tl2br w:val="nil"/>
                    <w:tr2bl w:val="nil"/>
                  </w:tcBorders>
                  <w:vAlign w:val="center"/>
                </w:tcPr>
                <w:p w14:paraId="411D0843">
                  <w:pPr>
                    <w:adjustRightInd w:val="0"/>
                    <w:snapToGrid w:val="0"/>
                    <w:jc w:val="center"/>
                    <w:rPr>
                      <w:color w:val="auto"/>
                      <w:szCs w:val="21"/>
                      <w:highlight w:val="yellow"/>
                    </w:rPr>
                  </w:pPr>
                </w:p>
              </w:tc>
              <w:tc>
                <w:tcPr>
                  <w:tcW w:w="869" w:type="dxa"/>
                  <w:vMerge w:val="continue"/>
                  <w:tcBorders>
                    <w:tl2br w:val="nil"/>
                    <w:tr2bl w:val="nil"/>
                  </w:tcBorders>
                  <w:vAlign w:val="center"/>
                </w:tcPr>
                <w:p w14:paraId="43011417">
                  <w:pPr>
                    <w:adjustRightInd w:val="0"/>
                    <w:snapToGrid w:val="0"/>
                    <w:jc w:val="center"/>
                    <w:rPr>
                      <w:color w:val="auto"/>
                      <w:szCs w:val="21"/>
                      <w:highlight w:val="yellow"/>
                    </w:rPr>
                  </w:pPr>
                </w:p>
              </w:tc>
              <w:tc>
                <w:tcPr>
                  <w:tcW w:w="712" w:type="dxa"/>
                  <w:tcBorders>
                    <w:tl2br w:val="nil"/>
                    <w:tr2bl w:val="nil"/>
                  </w:tcBorders>
                  <w:vAlign w:val="center"/>
                </w:tcPr>
                <w:p w14:paraId="378DB320">
                  <w:pPr>
                    <w:adjustRightInd w:val="0"/>
                    <w:snapToGrid w:val="0"/>
                    <w:jc w:val="center"/>
                    <w:rPr>
                      <w:color w:val="auto"/>
                      <w:szCs w:val="21"/>
                    </w:rPr>
                  </w:pPr>
                  <w:r>
                    <w:rPr>
                      <w:rFonts w:hint="eastAsia"/>
                      <w:color w:val="auto"/>
                      <w:szCs w:val="21"/>
                    </w:rPr>
                    <w:t>新建</w:t>
                  </w:r>
                </w:p>
              </w:tc>
            </w:tr>
            <w:tr w14:paraId="5D2E8D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584EF21F">
                  <w:pPr>
                    <w:adjustRightInd w:val="0"/>
                    <w:snapToGrid w:val="0"/>
                    <w:jc w:val="center"/>
                    <w:rPr>
                      <w:color w:val="auto"/>
                      <w:szCs w:val="21"/>
                      <w:highlight w:val="yellow"/>
                    </w:rPr>
                  </w:pPr>
                </w:p>
              </w:tc>
              <w:tc>
                <w:tcPr>
                  <w:tcW w:w="791" w:type="dxa"/>
                  <w:tcBorders>
                    <w:tl2br w:val="nil"/>
                    <w:tr2bl w:val="nil"/>
                  </w:tcBorders>
                  <w:shd w:val="clear" w:color="auto" w:fill="auto"/>
                  <w:vAlign w:val="center"/>
                </w:tcPr>
                <w:p w14:paraId="0E94297F">
                  <w:pPr>
                    <w:adjustRightInd w:val="0"/>
                    <w:snapToGrid w:val="0"/>
                    <w:jc w:val="center"/>
                    <w:rPr>
                      <w:rFonts w:hint="eastAsia" w:ascii="Times New Roman" w:hAnsi="Times New Roman" w:eastAsia="宋体" w:cs="Times New Roman"/>
                      <w:color w:val="auto"/>
                      <w:kern w:val="2"/>
                      <w:sz w:val="21"/>
                      <w:szCs w:val="21"/>
                      <w:lang w:val="en-US" w:eastAsia="zh-CN" w:bidi="ar-SA"/>
                    </w:rPr>
                  </w:pPr>
                  <w:r>
                    <w:rPr>
                      <w:color w:val="auto"/>
                      <w:szCs w:val="21"/>
                    </w:rPr>
                    <w:t>生态保护措施</w:t>
                  </w:r>
                </w:p>
              </w:tc>
              <w:tc>
                <w:tcPr>
                  <w:tcW w:w="4402" w:type="dxa"/>
                  <w:tcBorders>
                    <w:tl2br w:val="nil"/>
                    <w:tr2bl w:val="nil"/>
                  </w:tcBorders>
                  <w:shd w:val="clear" w:color="auto" w:fill="auto"/>
                  <w:vAlign w:val="center"/>
                </w:tcPr>
                <w:p w14:paraId="78DB14B5">
                  <w:pPr>
                    <w:adjustRightInd w:val="0"/>
                    <w:snapToGrid w:val="0"/>
                    <w:rPr>
                      <w:rFonts w:ascii="Times New Roman" w:hAnsi="Times New Roman" w:eastAsia="宋体" w:cs="Times New Roman"/>
                      <w:color w:val="auto"/>
                      <w:kern w:val="2"/>
                      <w:sz w:val="21"/>
                      <w:szCs w:val="21"/>
                      <w:lang w:val="en-US" w:eastAsia="zh-CN" w:bidi="ar-SA"/>
                    </w:rPr>
                  </w:pPr>
                  <w:r>
                    <w:rPr>
                      <w:color w:val="auto"/>
                      <w:szCs w:val="21"/>
                    </w:rPr>
                    <w:t>施工区域周边设置围挡、修建排水沟</w:t>
                  </w:r>
                  <w:r>
                    <w:rPr>
                      <w:rFonts w:hint="eastAsia"/>
                      <w:color w:val="auto"/>
                      <w:szCs w:val="21"/>
                    </w:rPr>
                    <w:t>、</w:t>
                  </w:r>
                  <w:r>
                    <w:rPr>
                      <w:color w:val="auto"/>
                      <w:szCs w:val="21"/>
                    </w:rPr>
                    <w:t>截水沟和</w:t>
                  </w:r>
                  <w:r>
                    <w:rPr>
                      <w:color w:val="auto"/>
                    </w:rPr>
                    <w:t>临时苫盖</w:t>
                  </w:r>
                  <w:r>
                    <w:rPr>
                      <w:color w:val="auto"/>
                      <w:szCs w:val="21"/>
                    </w:rPr>
                    <w:t>等措施降低水土流失</w:t>
                  </w:r>
                  <w:r>
                    <w:rPr>
                      <w:rFonts w:hint="eastAsia"/>
                      <w:color w:val="auto"/>
                      <w:szCs w:val="21"/>
                    </w:rPr>
                    <w:t>，</w:t>
                  </w:r>
                  <w:r>
                    <w:rPr>
                      <w:rFonts w:hint="eastAsia" w:ascii="宋体" w:hAnsi="宋体" w:cs="宋体"/>
                      <w:color w:val="auto"/>
                      <w:kern w:val="0"/>
                      <w:szCs w:val="21"/>
                      <w:lang w:bidi="ar"/>
                    </w:rPr>
                    <w:t>施工完毕后及时进行生态恢复。</w:t>
                  </w:r>
                </w:p>
              </w:tc>
              <w:tc>
                <w:tcPr>
                  <w:tcW w:w="981" w:type="dxa"/>
                  <w:vMerge w:val="continue"/>
                  <w:tcBorders>
                    <w:tl2br w:val="nil"/>
                    <w:tr2bl w:val="nil"/>
                  </w:tcBorders>
                  <w:vAlign w:val="center"/>
                </w:tcPr>
                <w:p w14:paraId="094E83F5">
                  <w:pPr>
                    <w:adjustRightInd w:val="0"/>
                    <w:snapToGrid w:val="0"/>
                    <w:jc w:val="center"/>
                    <w:rPr>
                      <w:color w:val="auto"/>
                      <w:szCs w:val="21"/>
                      <w:highlight w:val="yellow"/>
                    </w:rPr>
                  </w:pPr>
                </w:p>
              </w:tc>
              <w:tc>
                <w:tcPr>
                  <w:tcW w:w="869" w:type="dxa"/>
                  <w:tcBorders>
                    <w:tl2br w:val="nil"/>
                    <w:tr2bl w:val="nil"/>
                  </w:tcBorders>
                  <w:vAlign w:val="center"/>
                </w:tcPr>
                <w:p w14:paraId="49EEAFD6">
                  <w:pPr>
                    <w:adjustRightInd w:val="0"/>
                    <w:snapToGrid w:val="0"/>
                    <w:jc w:val="center"/>
                    <w:rPr>
                      <w:color w:val="auto"/>
                      <w:szCs w:val="21"/>
                    </w:rPr>
                  </w:pPr>
                  <w:r>
                    <w:rPr>
                      <w:color w:val="auto"/>
                      <w:szCs w:val="21"/>
                    </w:rPr>
                    <w:t>/</w:t>
                  </w:r>
                </w:p>
              </w:tc>
              <w:tc>
                <w:tcPr>
                  <w:tcW w:w="712" w:type="dxa"/>
                  <w:tcBorders>
                    <w:tl2br w:val="nil"/>
                    <w:tr2bl w:val="nil"/>
                  </w:tcBorders>
                  <w:vAlign w:val="center"/>
                </w:tcPr>
                <w:p w14:paraId="1BA060CA">
                  <w:pPr>
                    <w:adjustRightInd w:val="0"/>
                    <w:snapToGrid w:val="0"/>
                    <w:jc w:val="center"/>
                    <w:rPr>
                      <w:color w:val="auto"/>
                      <w:szCs w:val="21"/>
                    </w:rPr>
                  </w:pPr>
                  <w:r>
                    <w:rPr>
                      <w:rFonts w:hint="eastAsia"/>
                      <w:color w:val="auto"/>
                      <w:szCs w:val="21"/>
                    </w:rPr>
                    <w:t>新建</w:t>
                  </w:r>
                </w:p>
              </w:tc>
            </w:tr>
          </w:tbl>
          <w:p w14:paraId="55960FB0">
            <w:pPr>
              <w:adjustRightInd w:val="0"/>
              <w:snapToGrid w:val="0"/>
              <w:spacing w:before="120" w:beforeLines="50" w:line="360" w:lineRule="auto"/>
              <w:ind w:firstLine="482" w:firstLineChars="200"/>
              <w:rPr>
                <w:b/>
                <w:bCs/>
                <w:color w:val="auto"/>
                <w:sz w:val="24"/>
              </w:rPr>
            </w:pPr>
            <w:r>
              <w:rPr>
                <w:rFonts w:hint="eastAsia"/>
                <w:b/>
                <w:bCs/>
                <w:color w:val="auto"/>
                <w:sz w:val="24"/>
              </w:rPr>
              <w:t>四</w:t>
            </w:r>
            <w:r>
              <w:rPr>
                <w:b/>
                <w:bCs/>
                <w:color w:val="auto"/>
                <w:sz w:val="24"/>
              </w:rPr>
              <w:t>、技术经济指标</w:t>
            </w:r>
          </w:p>
          <w:p w14:paraId="2FAB6035">
            <w:pPr>
              <w:pStyle w:val="19"/>
              <w:spacing w:line="360" w:lineRule="auto"/>
              <w:ind w:firstLine="480"/>
              <w:rPr>
                <w:color w:val="auto"/>
                <w:sz w:val="24"/>
              </w:rPr>
            </w:pPr>
            <w:r>
              <w:rPr>
                <w:color w:val="auto"/>
                <w:sz w:val="24"/>
              </w:rPr>
              <w:t>本项目</w:t>
            </w:r>
            <w:r>
              <w:rPr>
                <w:rFonts w:hint="eastAsia"/>
                <w:color w:val="auto"/>
                <w:sz w:val="24"/>
              </w:rPr>
              <w:t>主要</w:t>
            </w:r>
            <w:r>
              <w:rPr>
                <w:color w:val="auto"/>
                <w:sz w:val="24"/>
              </w:rPr>
              <w:t>技术经济指标如下：</w:t>
            </w:r>
          </w:p>
          <w:p w14:paraId="5535DA01">
            <w:pPr>
              <w:pStyle w:val="19"/>
              <w:spacing w:line="240" w:lineRule="auto"/>
              <w:ind w:firstLine="0" w:firstLineChars="0"/>
              <w:jc w:val="center"/>
              <w:rPr>
                <w:b/>
                <w:color w:val="auto"/>
                <w:sz w:val="21"/>
                <w:szCs w:val="21"/>
              </w:rPr>
            </w:pPr>
            <w:r>
              <w:rPr>
                <w:b/>
                <w:color w:val="auto"/>
                <w:sz w:val="21"/>
                <w:szCs w:val="21"/>
              </w:rPr>
              <w:t>表2-</w:t>
            </w:r>
            <w:r>
              <w:rPr>
                <w:rFonts w:hint="eastAsia"/>
                <w:b/>
                <w:color w:val="auto"/>
                <w:sz w:val="21"/>
                <w:szCs w:val="21"/>
                <w:lang w:val="en-US" w:eastAsia="zh-CN"/>
              </w:rPr>
              <w:t>3</w:t>
            </w:r>
            <w:r>
              <w:rPr>
                <w:b/>
                <w:color w:val="auto"/>
                <w:sz w:val="21"/>
                <w:szCs w:val="21"/>
              </w:rPr>
              <w:t xml:space="preserve">  </w:t>
            </w:r>
            <w:r>
              <w:rPr>
                <w:rFonts w:hint="eastAsia"/>
                <w:b/>
                <w:color w:val="auto"/>
                <w:sz w:val="21"/>
                <w:szCs w:val="21"/>
              </w:rPr>
              <w:t>主要</w:t>
            </w:r>
            <w:r>
              <w:rPr>
                <w:b/>
                <w:color w:val="auto"/>
                <w:sz w:val="21"/>
                <w:szCs w:val="21"/>
              </w:rPr>
              <w:t>技术经济指标表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63"/>
              <w:gridCol w:w="2194"/>
              <w:gridCol w:w="563"/>
              <w:gridCol w:w="1450"/>
              <w:gridCol w:w="3440"/>
            </w:tblGrid>
            <w:tr w14:paraId="753DE4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100DAD30">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pacing w:val="2"/>
                      <w:sz w:val="21"/>
                      <w:szCs w:val="21"/>
                    </w:rPr>
                    <w:t>序</w:t>
                  </w:r>
                  <w:r>
                    <w:rPr>
                      <w:rFonts w:hint="default" w:ascii="Times New Roman" w:hAnsi="Times New Roman" w:eastAsia="宋体" w:cs="Times New Roman"/>
                      <w:b/>
                      <w:bCs/>
                      <w:color w:val="auto"/>
                      <w:sz w:val="21"/>
                      <w:szCs w:val="21"/>
                    </w:rPr>
                    <w:t>号</w:t>
                  </w:r>
                </w:p>
              </w:tc>
              <w:tc>
                <w:tcPr>
                  <w:tcW w:w="2194" w:type="dxa"/>
                  <w:tcBorders>
                    <w:tl2br w:val="nil"/>
                    <w:tr2bl w:val="nil"/>
                  </w:tcBorders>
                  <w:vAlign w:val="center"/>
                </w:tcPr>
                <w:p w14:paraId="4CCB6DD8">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pacing w:val="2"/>
                      <w:sz w:val="21"/>
                      <w:szCs w:val="21"/>
                    </w:rPr>
                    <w:t>项</w:t>
                  </w:r>
                  <w:r>
                    <w:rPr>
                      <w:rFonts w:hint="default" w:ascii="Times New Roman" w:hAnsi="Times New Roman" w:eastAsia="宋体" w:cs="Times New Roman"/>
                      <w:b/>
                      <w:bCs/>
                      <w:color w:val="auto"/>
                      <w:sz w:val="21"/>
                      <w:szCs w:val="21"/>
                    </w:rPr>
                    <w:t>目</w:t>
                  </w:r>
                </w:p>
              </w:tc>
              <w:tc>
                <w:tcPr>
                  <w:tcW w:w="563" w:type="dxa"/>
                  <w:tcBorders>
                    <w:tl2br w:val="nil"/>
                    <w:tr2bl w:val="nil"/>
                  </w:tcBorders>
                  <w:vAlign w:val="center"/>
                </w:tcPr>
                <w:p w14:paraId="348620BA">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pacing w:val="2"/>
                      <w:sz w:val="21"/>
                      <w:szCs w:val="21"/>
                    </w:rPr>
                    <w:t>单</w:t>
                  </w:r>
                  <w:r>
                    <w:rPr>
                      <w:rFonts w:hint="default" w:ascii="Times New Roman" w:hAnsi="Times New Roman" w:eastAsia="宋体" w:cs="Times New Roman"/>
                      <w:b/>
                      <w:bCs/>
                      <w:color w:val="auto"/>
                      <w:sz w:val="21"/>
                      <w:szCs w:val="21"/>
                    </w:rPr>
                    <w:t>位</w:t>
                  </w:r>
                </w:p>
              </w:tc>
              <w:tc>
                <w:tcPr>
                  <w:tcW w:w="1450" w:type="dxa"/>
                  <w:tcBorders>
                    <w:tl2br w:val="nil"/>
                    <w:tr2bl w:val="nil"/>
                  </w:tcBorders>
                  <w:vAlign w:val="center"/>
                </w:tcPr>
                <w:p w14:paraId="79516C9C">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pacing w:val="2"/>
                      <w:sz w:val="21"/>
                      <w:szCs w:val="21"/>
                    </w:rPr>
                    <w:t>指</w:t>
                  </w:r>
                  <w:r>
                    <w:rPr>
                      <w:rFonts w:hint="default" w:ascii="Times New Roman" w:hAnsi="Times New Roman" w:eastAsia="宋体" w:cs="Times New Roman"/>
                      <w:b/>
                      <w:bCs/>
                      <w:color w:val="auto"/>
                      <w:sz w:val="21"/>
                      <w:szCs w:val="21"/>
                    </w:rPr>
                    <w:t>标</w:t>
                  </w:r>
                </w:p>
              </w:tc>
              <w:tc>
                <w:tcPr>
                  <w:tcW w:w="3440" w:type="dxa"/>
                  <w:tcBorders>
                    <w:tl2br w:val="nil"/>
                    <w:tr2bl w:val="nil"/>
                  </w:tcBorders>
                  <w:vAlign w:val="center"/>
                </w:tcPr>
                <w:p w14:paraId="50CD2799">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pacing w:val="2"/>
                      <w:sz w:val="21"/>
                      <w:szCs w:val="21"/>
                    </w:rPr>
                    <w:t>备</w:t>
                  </w:r>
                  <w:r>
                    <w:rPr>
                      <w:rFonts w:hint="default" w:ascii="Times New Roman" w:hAnsi="Times New Roman" w:eastAsia="宋体" w:cs="Times New Roman"/>
                      <w:b/>
                      <w:bCs/>
                      <w:color w:val="auto"/>
                      <w:sz w:val="21"/>
                      <w:szCs w:val="21"/>
                    </w:rPr>
                    <w:t>注</w:t>
                  </w:r>
                </w:p>
              </w:tc>
            </w:tr>
            <w:tr w14:paraId="795083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7FAD85C9">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I</w:t>
                  </w:r>
                </w:p>
              </w:tc>
              <w:tc>
                <w:tcPr>
                  <w:tcW w:w="7647" w:type="dxa"/>
                  <w:gridSpan w:val="4"/>
                  <w:tcBorders>
                    <w:tl2br w:val="nil"/>
                    <w:tr2bl w:val="nil"/>
                  </w:tcBorders>
                  <w:vAlign w:val="center"/>
                </w:tcPr>
                <w:p w14:paraId="45690EE6">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pacing w:val="1"/>
                      <w:sz w:val="21"/>
                      <w:szCs w:val="21"/>
                    </w:rPr>
                    <w:t>用地指标</w:t>
                  </w:r>
                </w:p>
              </w:tc>
            </w:tr>
            <w:tr w14:paraId="0B0F19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0DF16EF5">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w:t>
                  </w:r>
                </w:p>
              </w:tc>
              <w:tc>
                <w:tcPr>
                  <w:tcW w:w="2194" w:type="dxa"/>
                  <w:tcBorders>
                    <w:tl2br w:val="nil"/>
                    <w:tr2bl w:val="nil"/>
                  </w:tcBorders>
                  <w:vAlign w:val="center"/>
                </w:tcPr>
                <w:p w14:paraId="3A378F37">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规划用地</w:t>
                  </w:r>
                </w:p>
              </w:tc>
              <w:tc>
                <w:tcPr>
                  <w:tcW w:w="563" w:type="dxa"/>
                  <w:tcBorders>
                    <w:tl2br w:val="nil"/>
                    <w:tr2bl w:val="nil"/>
                  </w:tcBorders>
                  <w:vAlign w:val="center"/>
                </w:tcPr>
                <w:p w14:paraId="04F8851F">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2</w:t>
                  </w:r>
                </w:p>
              </w:tc>
              <w:tc>
                <w:tcPr>
                  <w:tcW w:w="1450" w:type="dxa"/>
                  <w:tcBorders>
                    <w:tl2br w:val="nil"/>
                    <w:tr2bl w:val="nil"/>
                  </w:tcBorders>
                  <w:vAlign w:val="center"/>
                </w:tcPr>
                <w:p w14:paraId="733FF5F8">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20710.88</w:t>
                  </w:r>
                </w:p>
              </w:tc>
              <w:tc>
                <w:tcPr>
                  <w:tcW w:w="3440" w:type="dxa"/>
                  <w:tcBorders>
                    <w:tl2br w:val="nil"/>
                    <w:tr2bl w:val="nil"/>
                  </w:tcBorders>
                  <w:vAlign w:val="center"/>
                </w:tcPr>
                <w:p w14:paraId="15F258F0">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p>
              </w:tc>
            </w:tr>
            <w:tr w14:paraId="24CD9D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39817966">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二</w:t>
                  </w:r>
                </w:p>
              </w:tc>
              <w:tc>
                <w:tcPr>
                  <w:tcW w:w="2194" w:type="dxa"/>
                  <w:tcBorders>
                    <w:tl2br w:val="nil"/>
                    <w:tr2bl w:val="nil"/>
                  </w:tcBorders>
                  <w:vAlign w:val="center"/>
                </w:tcPr>
                <w:p w14:paraId="6D37A48C">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总建筑面积</w:t>
                  </w:r>
                </w:p>
              </w:tc>
              <w:tc>
                <w:tcPr>
                  <w:tcW w:w="563" w:type="dxa"/>
                  <w:tcBorders>
                    <w:tl2br w:val="nil"/>
                    <w:tr2bl w:val="nil"/>
                  </w:tcBorders>
                  <w:vAlign w:val="center"/>
                </w:tcPr>
                <w:p w14:paraId="1DE44477">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2</w:t>
                  </w:r>
                </w:p>
              </w:tc>
              <w:tc>
                <w:tcPr>
                  <w:tcW w:w="1450" w:type="dxa"/>
                  <w:tcBorders>
                    <w:tl2br w:val="nil"/>
                    <w:tr2bl w:val="nil"/>
                  </w:tcBorders>
                  <w:vAlign w:val="center"/>
                </w:tcPr>
                <w:p w14:paraId="78A260E8">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36296.00</w:t>
                  </w:r>
                </w:p>
              </w:tc>
              <w:tc>
                <w:tcPr>
                  <w:tcW w:w="3440" w:type="dxa"/>
                  <w:tcBorders>
                    <w:tl2br w:val="nil"/>
                    <w:tr2bl w:val="nil"/>
                  </w:tcBorders>
                  <w:vAlign w:val="center"/>
                </w:tcPr>
                <w:p w14:paraId="7C109847">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p>
              </w:tc>
            </w:tr>
            <w:tr w14:paraId="405EC2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0847D4B8">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2194" w:type="dxa"/>
                  <w:tcBorders>
                    <w:tl2br w:val="nil"/>
                    <w:tr2bl w:val="nil"/>
                  </w:tcBorders>
                  <w:vAlign w:val="center"/>
                </w:tcPr>
                <w:p w14:paraId="49CAE961">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地上计容建筑面积</w:t>
                  </w:r>
                </w:p>
              </w:tc>
              <w:tc>
                <w:tcPr>
                  <w:tcW w:w="563" w:type="dxa"/>
                  <w:tcBorders>
                    <w:tl2br w:val="nil"/>
                    <w:tr2bl w:val="nil"/>
                  </w:tcBorders>
                  <w:vAlign w:val="center"/>
                </w:tcPr>
                <w:p w14:paraId="3188C203">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2</w:t>
                  </w:r>
                </w:p>
              </w:tc>
              <w:tc>
                <w:tcPr>
                  <w:tcW w:w="1450" w:type="dxa"/>
                  <w:tcBorders>
                    <w:tl2br w:val="nil"/>
                    <w:tr2bl w:val="nil"/>
                  </w:tcBorders>
                  <w:vAlign w:val="center"/>
                </w:tcPr>
                <w:p w14:paraId="00313264">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26582.00</w:t>
                  </w:r>
                </w:p>
              </w:tc>
              <w:tc>
                <w:tcPr>
                  <w:tcW w:w="3440" w:type="dxa"/>
                  <w:tcBorders>
                    <w:tl2br w:val="nil"/>
                    <w:tr2bl w:val="nil"/>
                  </w:tcBorders>
                  <w:vAlign w:val="center"/>
                </w:tcPr>
                <w:p w14:paraId="2A62088E">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p>
              </w:tc>
            </w:tr>
            <w:tr w14:paraId="39B10A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2AB0E1C4">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2194" w:type="dxa"/>
                  <w:tcBorders>
                    <w:tl2br w:val="nil"/>
                    <w:tr2bl w:val="nil"/>
                  </w:tcBorders>
                  <w:vAlign w:val="center"/>
                </w:tcPr>
                <w:p w14:paraId="043D3FB0">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地下建筑面积</w:t>
                  </w:r>
                </w:p>
              </w:tc>
              <w:tc>
                <w:tcPr>
                  <w:tcW w:w="563" w:type="dxa"/>
                  <w:tcBorders>
                    <w:tl2br w:val="nil"/>
                    <w:tr2bl w:val="nil"/>
                  </w:tcBorders>
                  <w:vAlign w:val="center"/>
                </w:tcPr>
                <w:p w14:paraId="5D4CF330">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2</w:t>
                  </w:r>
                </w:p>
              </w:tc>
              <w:tc>
                <w:tcPr>
                  <w:tcW w:w="1450" w:type="dxa"/>
                  <w:tcBorders>
                    <w:tl2br w:val="nil"/>
                    <w:tr2bl w:val="nil"/>
                  </w:tcBorders>
                  <w:vAlign w:val="center"/>
                </w:tcPr>
                <w:p w14:paraId="05D11090">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9714.00</w:t>
                  </w:r>
                </w:p>
              </w:tc>
              <w:tc>
                <w:tcPr>
                  <w:tcW w:w="3440" w:type="dxa"/>
                  <w:tcBorders>
                    <w:tl2br w:val="nil"/>
                    <w:tr2bl w:val="nil"/>
                  </w:tcBorders>
                  <w:vAlign w:val="center"/>
                </w:tcPr>
                <w:p w14:paraId="3F166B15">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p>
              </w:tc>
            </w:tr>
            <w:tr w14:paraId="1CF7B1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46141611">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w:t>
                  </w:r>
                </w:p>
              </w:tc>
              <w:tc>
                <w:tcPr>
                  <w:tcW w:w="2194" w:type="dxa"/>
                  <w:tcBorders>
                    <w:tl2br w:val="nil"/>
                    <w:tr2bl w:val="nil"/>
                  </w:tcBorders>
                  <w:vAlign w:val="center"/>
                </w:tcPr>
                <w:p w14:paraId="5C6076F8">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容积率</w:t>
                  </w:r>
                </w:p>
              </w:tc>
              <w:tc>
                <w:tcPr>
                  <w:tcW w:w="563" w:type="dxa"/>
                  <w:tcBorders>
                    <w:tl2br w:val="nil"/>
                    <w:tr2bl w:val="nil"/>
                  </w:tcBorders>
                  <w:vAlign w:val="center"/>
                </w:tcPr>
                <w:p w14:paraId="14582039">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450" w:type="dxa"/>
                  <w:tcBorders>
                    <w:tl2br w:val="nil"/>
                    <w:tr2bl w:val="nil"/>
                  </w:tcBorders>
                  <w:vAlign w:val="center"/>
                </w:tcPr>
                <w:p w14:paraId="6CF4F0CD">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1.28</w:t>
                  </w:r>
                </w:p>
              </w:tc>
              <w:tc>
                <w:tcPr>
                  <w:tcW w:w="3440" w:type="dxa"/>
                  <w:tcBorders>
                    <w:tl2br w:val="nil"/>
                    <w:tr2bl w:val="nil"/>
                  </w:tcBorders>
                  <w:vAlign w:val="center"/>
                </w:tcPr>
                <w:p w14:paraId="74E610E2">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不大于1.5</w:t>
                  </w:r>
                </w:p>
              </w:tc>
            </w:tr>
            <w:tr w14:paraId="326174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5653302A">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四</w:t>
                  </w:r>
                </w:p>
              </w:tc>
              <w:tc>
                <w:tcPr>
                  <w:tcW w:w="2194" w:type="dxa"/>
                  <w:tcBorders>
                    <w:tl2br w:val="nil"/>
                    <w:tr2bl w:val="nil"/>
                  </w:tcBorders>
                  <w:vAlign w:val="center"/>
                </w:tcPr>
                <w:p w14:paraId="53E336EC">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建筑物占地面积</w:t>
                  </w:r>
                </w:p>
              </w:tc>
              <w:tc>
                <w:tcPr>
                  <w:tcW w:w="563" w:type="dxa"/>
                  <w:tcBorders>
                    <w:tl2br w:val="nil"/>
                    <w:tr2bl w:val="nil"/>
                  </w:tcBorders>
                  <w:vAlign w:val="center"/>
                </w:tcPr>
                <w:p w14:paraId="4625666F">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2</w:t>
                  </w:r>
                </w:p>
              </w:tc>
              <w:tc>
                <w:tcPr>
                  <w:tcW w:w="1450" w:type="dxa"/>
                  <w:tcBorders>
                    <w:tl2br w:val="nil"/>
                    <w:tr2bl w:val="nil"/>
                  </w:tcBorders>
                  <w:vAlign w:val="center"/>
                </w:tcPr>
                <w:p w14:paraId="05E100B2">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3322.75</w:t>
                  </w:r>
                </w:p>
              </w:tc>
              <w:tc>
                <w:tcPr>
                  <w:tcW w:w="3440" w:type="dxa"/>
                  <w:tcBorders>
                    <w:tl2br w:val="nil"/>
                    <w:tr2bl w:val="nil"/>
                  </w:tcBorders>
                  <w:vAlign w:val="center"/>
                </w:tcPr>
                <w:p w14:paraId="2E6D9691">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p>
              </w:tc>
            </w:tr>
            <w:tr w14:paraId="6E98BC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1A0721F6">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五</w:t>
                  </w:r>
                </w:p>
              </w:tc>
              <w:tc>
                <w:tcPr>
                  <w:tcW w:w="2194" w:type="dxa"/>
                  <w:tcBorders>
                    <w:tl2br w:val="nil"/>
                    <w:tr2bl w:val="nil"/>
                  </w:tcBorders>
                  <w:vAlign w:val="center"/>
                </w:tcPr>
                <w:p w14:paraId="501A69CC">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建筑密度</w:t>
                  </w:r>
                </w:p>
              </w:tc>
              <w:tc>
                <w:tcPr>
                  <w:tcW w:w="563" w:type="dxa"/>
                  <w:tcBorders>
                    <w:tl2br w:val="nil"/>
                    <w:tr2bl w:val="nil"/>
                  </w:tcBorders>
                  <w:vAlign w:val="center"/>
                </w:tcPr>
                <w:p w14:paraId="1E834534">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450" w:type="dxa"/>
                  <w:tcBorders>
                    <w:tl2br w:val="nil"/>
                    <w:tr2bl w:val="nil"/>
                  </w:tcBorders>
                  <w:vAlign w:val="center"/>
                </w:tcPr>
                <w:p w14:paraId="4D0F4AFE">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16.04</w:t>
                  </w:r>
                </w:p>
              </w:tc>
              <w:tc>
                <w:tcPr>
                  <w:tcW w:w="3440" w:type="dxa"/>
                  <w:tcBorders>
                    <w:tl2br w:val="nil"/>
                    <w:tr2bl w:val="nil"/>
                  </w:tcBorders>
                  <w:vAlign w:val="center"/>
                </w:tcPr>
                <w:p w14:paraId="0F185FA1">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不大于30%</w:t>
                  </w:r>
                </w:p>
              </w:tc>
            </w:tr>
            <w:tr w14:paraId="113993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08F111DA">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六</w:t>
                  </w:r>
                </w:p>
              </w:tc>
              <w:tc>
                <w:tcPr>
                  <w:tcW w:w="2194" w:type="dxa"/>
                  <w:tcBorders>
                    <w:tl2br w:val="nil"/>
                    <w:tr2bl w:val="nil"/>
                  </w:tcBorders>
                  <w:vAlign w:val="center"/>
                </w:tcPr>
                <w:p w14:paraId="32E6B60F">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绿化面积</w:t>
                  </w:r>
                </w:p>
              </w:tc>
              <w:tc>
                <w:tcPr>
                  <w:tcW w:w="563" w:type="dxa"/>
                  <w:tcBorders>
                    <w:tl2br w:val="nil"/>
                    <w:tr2bl w:val="nil"/>
                  </w:tcBorders>
                  <w:vAlign w:val="center"/>
                </w:tcPr>
                <w:p w14:paraId="4E33010F">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2</w:t>
                  </w:r>
                </w:p>
              </w:tc>
              <w:tc>
                <w:tcPr>
                  <w:tcW w:w="1450" w:type="dxa"/>
                  <w:tcBorders>
                    <w:tl2br w:val="nil"/>
                    <w:tr2bl w:val="nil"/>
                  </w:tcBorders>
                  <w:vAlign w:val="center"/>
                </w:tcPr>
                <w:p w14:paraId="6C4510AA">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7248.81</w:t>
                  </w:r>
                </w:p>
              </w:tc>
              <w:tc>
                <w:tcPr>
                  <w:tcW w:w="3440" w:type="dxa"/>
                  <w:tcBorders>
                    <w:tl2br w:val="nil"/>
                    <w:tr2bl w:val="nil"/>
                  </w:tcBorders>
                  <w:vAlign w:val="center"/>
                </w:tcPr>
                <w:p w14:paraId="194AD2C7">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p>
              </w:tc>
            </w:tr>
            <w:tr w14:paraId="23B996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463538A0">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七</w:t>
                  </w:r>
                </w:p>
              </w:tc>
              <w:tc>
                <w:tcPr>
                  <w:tcW w:w="2194" w:type="dxa"/>
                  <w:tcBorders>
                    <w:tl2br w:val="nil"/>
                    <w:tr2bl w:val="nil"/>
                  </w:tcBorders>
                  <w:vAlign w:val="center"/>
                </w:tcPr>
                <w:p w14:paraId="6E84D362">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绿地率</w:t>
                  </w:r>
                </w:p>
              </w:tc>
              <w:tc>
                <w:tcPr>
                  <w:tcW w:w="563" w:type="dxa"/>
                  <w:tcBorders>
                    <w:tl2br w:val="nil"/>
                    <w:tr2bl w:val="nil"/>
                  </w:tcBorders>
                  <w:vAlign w:val="center"/>
                </w:tcPr>
                <w:p w14:paraId="693A1D91">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450" w:type="dxa"/>
                  <w:tcBorders>
                    <w:tl2br w:val="nil"/>
                    <w:tr2bl w:val="nil"/>
                  </w:tcBorders>
                  <w:vAlign w:val="center"/>
                </w:tcPr>
                <w:p w14:paraId="08D5D7CB">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35.00</w:t>
                  </w:r>
                </w:p>
              </w:tc>
              <w:tc>
                <w:tcPr>
                  <w:tcW w:w="3440" w:type="dxa"/>
                  <w:tcBorders>
                    <w:tl2br w:val="nil"/>
                    <w:tr2bl w:val="nil"/>
                  </w:tcBorders>
                  <w:vAlign w:val="center"/>
                </w:tcPr>
                <w:p w14:paraId="78811AC2">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不小于30%</w:t>
                  </w:r>
                </w:p>
              </w:tc>
            </w:tr>
            <w:tr w14:paraId="7939B8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2FFDE204">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八</w:t>
                  </w:r>
                </w:p>
              </w:tc>
              <w:tc>
                <w:tcPr>
                  <w:tcW w:w="2194" w:type="dxa"/>
                  <w:tcBorders>
                    <w:tl2br w:val="nil"/>
                    <w:tr2bl w:val="nil"/>
                  </w:tcBorders>
                  <w:vAlign w:val="center"/>
                </w:tcPr>
                <w:p w14:paraId="11A12D5E">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道路硬化面积</w:t>
                  </w:r>
                </w:p>
              </w:tc>
              <w:tc>
                <w:tcPr>
                  <w:tcW w:w="563" w:type="dxa"/>
                  <w:tcBorders>
                    <w:tl2br w:val="nil"/>
                    <w:tr2bl w:val="nil"/>
                  </w:tcBorders>
                  <w:vAlign w:val="center"/>
                </w:tcPr>
                <w:p w14:paraId="50EF5AC9">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2</w:t>
                  </w:r>
                </w:p>
              </w:tc>
              <w:tc>
                <w:tcPr>
                  <w:tcW w:w="1450" w:type="dxa"/>
                  <w:tcBorders>
                    <w:tl2br w:val="nil"/>
                    <w:tr2bl w:val="nil"/>
                  </w:tcBorders>
                  <w:vAlign w:val="center"/>
                </w:tcPr>
                <w:p w14:paraId="484981CD">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10139.32</w:t>
                  </w:r>
                </w:p>
              </w:tc>
              <w:tc>
                <w:tcPr>
                  <w:tcW w:w="3440" w:type="dxa"/>
                  <w:tcBorders>
                    <w:tl2br w:val="nil"/>
                    <w:tr2bl w:val="nil"/>
                  </w:tcBorders>
                  <w:vAlign w:val="center"/>
                </w:tcPr>
                <w:p w14:paraId="4A87B0F0">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p>
              </w:tc>
            </w:tr>
            <w:tr w14:paraId="6298D2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01BED000">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九</w:t>
                  </w:r>
                </w:p>
              </w:tc>
              <w:tc>
                <w:tcPr>
                  <w:tcW w:w="2194" w:type="dxa"/>
                  <w:tcBorders>
                    <w:tl2br w:val="nil"/>
                    <w:tr2bl w:val="nil"/>
                  </w:tcBorders>
                  <w:vAlign w:val="center"/>
                </w:tcPr>
                <w:p w14:paraId="4FD24EA6">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
                      <w:sz w:val="21"/>
                      <w:szCs w:val="21"/>
                    </w:rPr>
                    <w:t>车位</w:t>
                  </w:r>
                </w:p>
              </w:tc>
              <w:tc>
                <w:tcPr>
                  <w:tcW w:w="563" w:type="dxa"/>
                  <w:tcBorders>
                    <w:tl2br w:val="nil"/>
                    <w:tr2bl w:val="nil"/>
                  </w:tcBorders>
                  <w:vAlign w:val="center"/>
                </w:tcPr>
                <w:p w14:paraId="753700E5">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个</w:t>
                  </w:r>
                </w:p>
              </w:tc>
              <w:tc>
                <w:tcPr>
                  <w:tcW w:w="1450" w:type="dxa"/>
                  <w:tcBorders>
                    <w:tl2br w:val="nil"/>
                    <w:tr2bl w:val="nil"/>
                  </w:tcBorders>
                  <w:vAlign w:val="center"/>
                </w:tcPr>
                <w:p w14:paraId="04C7211A">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930</w:t>
                  </w:r>
                </w:p>
              </w:tc>
              <w:tc>
                <w:tcPr>
                  <w:tcW w:w="3440" w:type="dxa"/>
                  <w:tcBorders>
                    <w:tl2br w:val="nil"/>
                    <w:tr2bl w:val="nil"/>
                  </w:tcBorders>
                  <w:vAlign w:val="center"/>
                </w:tcPr>
                <w:p w14:paraId="4A834FE3">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p>
              </w:tc>
            </w:tr>
            <w:tr w14:paraId="744FAC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1EBAB998">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2194" w:type="dxa"/>
                  <w:tcBorders>
                    <w:tl2br w:val="nil"/>
                    <w:tr2bl w:val="nil"/>
                  </w:tcBorders>
                  <w:vAlign w:val="center"/>
                </w:tcPr>
                <w:p w14:paraId="30B0556D">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机动车位</w:t>
                  </w:r>
                </w:p>
              </w:tc>
              <w:tc>
                <w:tcPr>
                  <w:tcW w:w="563" w:type="dxa"/>
                  <w:tcBorders>
                    <w:tl2br w:val="nil"/>
                    <w:tr2bl w:val="nil"/>
                  </w:tcBorders>
                  <w:vAlign w:val="center"/>
                </w:tcPr>
                <w:p w14:paraId="6163EFDE">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个</w:t>
                  </w:r>
                </w:p>
              </w:tc>
              <w:tc>
                <w:tcPr>
                  <w:tcW w:w="1450" w:type="dxa"/>
                  <w:tcBorders>
                    <w:tl2br w:val="nil"/>
                    <w:tr2bl w:val="nil"/>
                  </w:tcBorders>
                  <w:vAlign w:val="center"/>
                </w:tcPr>
                <w:p w14:paraId="05E6AABD">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133</w:t>
                  </w:r>
                </w:p>
              </w:tc>
              <w:tc>
                <w:tcPr>
                  <w:tcW w:w="3440" w:type="dxa"/>
                  <w:tcBorders>
                    <w:tl2br w:val="nil"/>
                    <w:tr2bl w:val="nil"/>
                  </w:tcBorders>
                  <w:vAlign w:val="center"/>
                </w:tcPr>
                <w:p w14:paraId="1D9B7429">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0.5辆/100</w:t>
                  </w: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rPr>
                    <w:t>计容建筑面积</w:t>
                  </w:r>
                </w:p>
              </w:tc>
            </w:tr>
            <w:tr w14:paraId="486550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5347A29B">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2194" w:type="dxa"/>
                  <w:tcBorders>
                    <w:tl2br w:val="nil"/>
                    <w:tr2bl w:val="nil"/>
                  </w:tcBorders>
                  <w:vAlign w:val="center"/>
                </w:tcPr>
                <w:p w14:paraId="4AFE5422">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非机动车位</w:t>
                  </w:r>
                </w:p>
              </w:tc>
              <w:tc>
                <w:tcPr>
                  <w:tcW w:w="563" w:type="dxa"/>
                  <w:tcBorders>
                    <w:tl2br w:val="nil"/>
                    <w:tr2bl w:val="nil"/>
                  </w:tcBorders>
                  <w:vAlign w:val="center"/>
                </w:tcPr>
                <w:p w14:paraId="4AE44DE5">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个</w:t>
                  </w:r>
                </w:p>
              </w:tc>
              <w:tc>
                <w:tcPr>
                  <w:tcW w:w="1450" w:type="dxa"/>
                  <w:tcBorders>
                    <w:tl2br w:val="nil"/>
                    <w:tr2bl w:val="nil"/>
                  </w:tcBorders>
                  <w:vAlign w:val="center"/>
                </w:tcPr>
                <w:p w14:paraId="70C2F03D">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797</w:t>
                  </w:r>
                </w:p>
              </w:tc>
              <w:tc>
                <w:tcPr>
                  <w:tcW w:w="3440" w:type="dxa"/>
                  <w:tcBorders>
                    <w:tl2br w:val="nil"/>
                    <w:tr2bl w:val="nil"/>
                  </w:tcBorders>
                  <w:vAlign w:val="center"/>
                </w:tcPr>
                <w:p w14:paraId="7E20680E">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3辆/100㎡计容建筑</w:t>
                  </w:r>
                  <w:r>
                    <w:rPr>
                      <w:rFonts w:hint="default" w:ascii="Times New Roman" w:hAnsi="Times New Roman" w:eastAsia="宋体" w:cs="Times New Roman"/>
                      <w:color w:val="auto"/>
                      <w:spacing w:val="-1"/>
                      <w:sz w:val="21"/>
                      <w:szCs w:val="21"/>
                    </w:rPr>
                    <w:t>面积</w:t>
                  </w:r>
                </w:p>
              </w:tc>
            </w:tr>
            <w:tr w14:paraId="5218E2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28079164">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十</w:t>
                  </w:r>
                </w:p>
              </w:tc>
              <w:tc>
                <w:tcPr>
                  <w:tcW w:w="2194" w:type="dxa"/>
                  <w:tcBorders>
                    <w:tl2br w:val="nil"/>
                    <w:tr2bl w:val="nil"/>
                  </w:tcBorders>
                  <w:vAlign w:val="center"/>
                </w:tcPr>
                <w:p w14:paraId="0A2C0469">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充电桩</w:t>
                  </w:r>
                </w:p>
              </w:tc>
              <w:tc>
                <w:tcPr>
                  <w:tcW w:w="563" w:type="dxa"/>
                  <w:tcBorders>
                    <w:tl2br w:val="nil"/>
                    <w:tr2bl w:val="nil"/>
                  </w:tcBorders>
                  <w:vAlign w:val="center"/>
                </w:tcPr>
                <w:p w14:paraId="267B719E">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个</w:t>
                  </w:r>
                </w:p>
              </w:tc>
              <w:tc>
                <w:tcPr>
                  <w:tcW w:w="1450" w:type="dxa"/>
                  <w:tcBorders>
                    <w:tl2br w:val="nil"/>
                    <w:tr2bl w:val="nil"/>
                  </w:tcBorders>
                  <w:vAlign w:val="center"/>
                </w:tcPr>
                <w:p w14:paraId="2DA75E71">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p>
              </w:tc>
              <w:tc>
                <w:tcPr>
                  <w:tcW w:w="3440" w:type="dxa"/>
                  <w:tcBorders>
                    <w:tl2br w:val="nil"/>
                    <w:tr2bl w:val="nil"/>
                  </w:tcBorders>
                  <w:vAlign w:val="center"/>
                </w:tcPr>
                <w:p w14:paraId="6E219551">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不小于机动车总停车位数的10%</w:t>
                  </w:r>
                </w:p>
              </w:tc>
            </w:tr>
          </w:tbl>
          <w:p w14:paraId="26DD3C30">
            <w:pPr>
              <w:spacing w:before="120" w:beforeLines="50" w:line="360" w:lineRule="auto"/>
              <w:ind w:firstLine="482" w:firstLineChars="200"/>
              <w:rPr>
                <w:b/>
                <w:bCs/>
                <w:color w:val="auto"/>
                <w:sz w:val="24"/>
              </w:rPr>
            </w:pPr>
            <w:r>
              <w:rPr>
                <w:rFonts w:hint="eastAsia"/>
                <w:b/>
                <w:bCs/>
                <w:color w:val="auto"/>
                <w:sz w:val="24"/>
              </w:rPr>
              <w:t>五</w:t>
            </w:r>
            <w:r>
              <w:rPr>
                <w:b/>
                <w:bCs/>
                <w:color w:val="auto"/>
                <w:sz w:val="24"/>
              </w:rPr>
              <w:t>、工程占地</w:t>
            </w:r>
          </w:p>
          <w:p w14:paraId="43FECDB9">
            <w:pPr>
              <w:pStyle w:val="17"/>
              <w:spacing w:line="360" w:lineRule="auto"/>
              <w:ind w:firstLine="480" w:firstLineChars="200"/>
              <w:rPr>
                <w:rFonts w:ascii="Times New Roman" w:hAnsi="Times New Roman" w:cs="Times New Roman"/>
                <w:color w:val="auto"/>
                <w:kern w:val="0"/>
                <w:sz w:val="24"/>
                <w:szCs w:val="24"/>
                <w:lang w:bidi="ar"/>
              </w:rPr>
            </w:pPr>
            <w:r>
              <w:rPr>
                <w:rFonts w:ascii="Times New Roman" w:hAnsi="Times New Roman" w:cs="Times New Roman"/>
                <w:color w:val="auto"/>
                <w:kern w:val="0"/>
                <w:sz w:val="24"/>
                <w:szCs w:val="24"/>
                <w:lang w:bidi="ar"/>
              </w:rPr>
              <w:t>本项目为</w:t>
            </w:r>
            <w:r>
              <w:rPr>
                <w:rFonts w:hint="eastAsia" w:cs="Times New Roman"/>
                <w:color w:val="auto"/>
                <w:kern w:val="0"/>
                <w:sz w:val="24"/>
                <w:szCs w:val="24"/>
                <w:lang w:eastAsia="zh-CN" w:bidi="ar"/>
              </w:rPr>
              <w:t>保障性住房</w:t>
            </w:r>
            <w:r>
              <w:rPr>
                <w:rFonts w:hint="eastAsia" w:cs="Times New Roman"/>
                <w:color w:val="auto"/>
                <w:kern w:val="0"/>
                <w:sz w:val="24"/>
                <w:szCs w:val="24"/>
                <w:lang w:bidi="ar"/>
              </w:rPr>
              <w:t>建设</w:t>
            </w:r>
            <w:r>
              <w:rPr>
                <w:rFonts w:hint="eastAsia" w:ascii="Times New Roman" w:hAnsi="Times New Roman" w:cs="Times New Roman"/>
                <w:color w:val="auto"/>
                <w:kern w:val="0"/>
                <w:sz w:val="24"/>
                <w:szCs w:val="24"/>
                <w:lang w:bidi="ar"/>
              </w:rPr>
              <w:t>项目</w:t>
            </w:r>
            <w:r>
              <w:rPr>
                <w:rFonts w:ascii="Times New Roman" w:hAnsi="Times New Roman" w:cs="Times New Roman"/>
                <w:color w:val="auto"/>
                <w:kern w:val="0"/>
                <w:sz w:val="24"/>
                <w:szCs w:val="24"/>
                <w:lang w:bidi="ar"/>
              </w:rPr>
              <w:t>，本项目建设区位于南江县</w:t>
            </w:r>
            <w:r>
              <w:rPr>
                <w:rFonts w:hint="eastAsia" w:ascii="Times New Roman" w:hAnsi="Times New Roman" w:cs="Times New Roman"/>
                <w:color w:val="auto"/>
                <w:kern w:val="0"/>
                <w:sz w:val="24"/>
                <w:szCs w:val="24"/>
                <w:lang w:bidi="ar"/>
              </w:rPr>
              <w:t>关坝镇场镇</w:t>
            </w:r>
            <w:r>
              <w:rPr>
                <w:rFonts w:ascii="Times New Roman" w:hAnsi="Times New Roman" w:cs="Times New Roman"/>
                <w:color w:val="auto"/>
                <w:kern w:val="0"/>
                <w:sz w:val="24"/>
                <w:szCs w:val="24"/>
                <w:lang w:bidi="ar"/>
              </w:rPr>
              <w:t>。工程</w:t>
            </w:r>
            <w:r>
              <w:rPr>
                <w:rFonts w:hint="eastAsia" w:ascii="Times New Roman" w:hAnsi="Times New Roman" w:cs="Times New Roman"/>
                <w:color w:val="auto"/>
                <w:kern w:val="0"/>
                <w:sz w:val="24"/>
                <w:szCs w:val="24"/>
                <w:lang w:bidi="ar"/>
              </w:rPr>
              <w:t>永久</w:t>
            </w:r>
            <w:r>
              <w:rPr>
                <w:rFonts w:ascii="Times New Roman" w:hAnsi="Times New Roman" w:cs="Times New Roman"/>
                <w:color w:val="auto"/>
                <w:kern w:val="0"/>
                <w:sz w:val="24"/>
                <w:szCs w:val="24"/>
                <w:lang w:bidi="ar"/>
              </w:rPr>
              <w:t>占地面积为</w:t>
            </w:r>
            <w:r>
              <w:rPr>
                <w:rFonts w:hint="eastAsia" w:ascii="Times New Roman" w:hAnsi="Times New Roman" w:cs="Times New Roman"/>
                <w:color w:val="auto"/>
                <w:kern w:val="0"/>
                <w:sz w:val="24"/>
                <w:szCs w:val="24"/>
                <w:lang w:val="en-US" w:eastAsia="zh-CN" w:bidi="ar"/>
              </w:rPr>
              <w:t>20710.88</w:t>
            </w:r>
            <w:r>
              <w:rPr>
                <w:rFonts w:ascii="Times New Roman" w:hAnsi="Times New Roman" w:cs="Times New Roman"/>
                <w:color w:val="auto"/>
                <w:kern w:val="0"/>
                <w:sz w:val="24"/>
                <w:szCs w:val="24"/>
                <w:lang w:bidi="ar"/>
              </w:rPr>
              <w:t>m</w:t>
            </w:r>
            <w:r>
              <w:rPr>
                <w:rFonts w:ascii="Times New Roman" w:hAnsi="Times New Roman" w:cs="Times New Roman"/>
                <w:color w:val="auto"/>
                <w:kern w:val="0"/>
                <w:sz w:val="24"/>
                <w:szCs w:val="24"/>
                <w:vertAlign w:val="superscript"/>
                <w:lang w:bidi="ar"/>
              </w:rPr>
              <w:t>2</w:t>
            </w:r>
            <w:r>
              <w:rPr>
                <w:rFonts w:ascii="Times New Roman" w:hAnsi="Times New Roman" w:cs="Times New Roman"/>
                <w:color w:val="auto"/>
                <w:kern w:val="0"/>
                <w:sz w:val="24"/>
                <w:szCs w:val="24"/>
                <w:lang w:bidi="ar"/>
              </w:rPr>
              <w:t>，以耕地为主要占地类型，不</w:t>
            </w:r>
            <w:r>
              <w:rPr>
                <w:rFonts w:ascii="Times New Roman" w:hAnsi="Times New Roman" w:cs="Times New Roman"/>
                <w:color w:val="auto"/>
                <w:sz w:val="24"/>
                <w:szCs w:val="24"/>
              </w:rPr>
              <w:t>涉及基本农田和生态保护红线</w:t>
            </w:r>
            <w:r>
              <w:rPr>
                <w:rFonts w:hint="eastAsia" w:ascii="Times New Roman" w:hAnsi="Times New Roman" w:cs="Times New Roman"/>
                <w:color w:val="auto"/>
                <w:sz w:val="24"/>
                <w:szCs w:val="24"/>
              </w:rPr>
              <w:t>；</w:t>
            </w:r>
            <w:r>
              <w:rPr>
                <w:rFonts w:ascii="Times New Roman" w:hAnsi="Times New Roman" w:cs="Times New Roman"/>
                <w:color w:val="auto"/>
                <w:sz w:val="24"/>
                <w:szCs w:val="24"/>
              </w:rPr>
              <w:t>本项目施工所需临时场地</w:t>
            </w:r>
            <w:r>
              <w:rPr>
                <w:rFonts w:hint="eastAsia" w:ascii="Times New Roman" w:hAnsi="Times New Roman" w:cs="Times New Roman"/>
                <w:color w:val="auto"/>
                <w:sz w:val="24"/>
                <w:szCs w:val="24"/>
              </w:rPr>
              <w:t>均在永久占地范围内进行</w:t>
            </w:r>
            <w:r>
              <w:rPr>
                <w:rFonts w:ascii="Times New Roman" w:hAnsi="Times New Roman" w:cs="Times New Roman"/>
                <w:color w:val="auto"/>
                <w:sz w:val="24"/>
                <w:szCs w:val="24"/>
              </w:rPr>
              <w:t>。主要建设内容包括：主体工程、临时工程、公用工程及配套附属设施等。</w:t>
            </w:r>
            <w:r>
              <w:rPr>
                <w:rFonts w:ascii="Times New Roman" w:hAnsi="Times New Roman" w:cs="Times New Roman"/>
                <w:color w:val="auto"/>
                <w:kern w:val="0"/>
                <w:sz w:val="24"/>
                <w:szCs w:val="24"/>
                <w:lang w:bidi="ar"/>
              </w:rPr>
              <w:t>具体详见下表。</w:t>
            </w:r>
          </w:p>
          <w:p w14:paraId="69557F51">
            <w:pPr>
              <w:pStyle w:val="17"/>
              <w:snapToGrid w:val="0"/>
              <w:jc w:val="center"/>
              <w:rPr>
                <w:rFonts w:ascii="Times New Roman" w:hAnsi="Times New Roman" w:cs="Times New Roman"/>
                <w:b/>
                <w:bCs/>
                <w:color w:val="auto"/>
                <w:vertAlign w:val="superscript"/>
              </w:rPr>
            </w:pPr>
            <w:r>
              <w:rPr>
                <w:rFonts w:ascii="Times New Roman" w:hAnsi="Times New Roman" w:cs="Times New Roman"/>
                <w:b/>
                <w:bCs/>
                <w:color w:val="auto"/>
              </w:rPr>
              <w:t>表</w:t>
            </w:r>
            <w:r>
              <w:rPr>
                <w:rFonts w:hint="eastAsia" w:ascii="Times New Roman" w:hAnsi="Times New Roman" w:cs="Times New Roman"/>
                <w:b/>
                <w:bCs/>
                <w:color w:val="auto"/>
              </w:rPr>
              <w:t xml:space="preserve">2-4  </w:t>
            </w:r>
            <w:r>
              <w:rPr>
                <w:rFonts w:ascii="Times New Roman" w:hAnsi="Times New Roman" w:cs="Times New Roman"/>
                <w:b/>
                <w:bCs/>
                <w:color w:val="auto"/>
              </w:rPr>
              <w:t>项目占地情况一览表</w:t>
            </w:r>
            <w:r>
              <w:rPr>
                <w:rFonts w:ascii="Times New Roman" w:hAnsi="Times New Roman" w:cs="Times New Roman"/>
                <w:b/>
                <w:bCs/>
                <w:color w:val="auto"/>
                <w:szCs w:val="18"/>
              </w:rPr>
              <w:t xml:space="preserve">    单位：</w:t>
            </w:r>
            <w:r>
              <w:rPr>
                <w:rFonts w:ascii="Times New Roman" w:hAnsi="Times New Roman" w:cs="Times New Roman"/>
                <w:b/>
                <w:bCs/>
                <w:color w:val="auto"/>
              </w:rPr>
              <w:t>hm</w:t>
            </w:r>
            <w:r>
              <w:rPr>
                <w:rFonts w:ascii="Times New Roman" w:hAnsi="Times New Roman" w:cs="Times New Roman"/>
                <w:b/>
                <w:bCs/>
                <w:color w:val="auto"/>
                <w:vertAlign w:val="superscript"/>
              </w:rPr>
              <w:t>2</w:t>
            </w:r>
          </w:p>
          <w:tbl>
            <w:tblPr>
              <w:tblStyle w:val="3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98"/>
              <w:gridCol w:w="1540"/>
              <w:gridCol w:w="1529"/>
              <w:gridCol w:w="1124"/>
              <w:gridCol w:w="1583"/>
              <w:gridCol w:w="1436"/>
            </w:tblGrid>
            <w:tr w14:paraId="4FF044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8" w:type="dxa"/>
                  <w:tcBorders>
                    <w:tl2br w:val="nil"/>
                    <w:tr2bl w:val="nil"/>
                  </w:tcBorders>
                  <w:vAlign w:val="center"/>
                </w:tcPr>
                <w:p w14:paraId="2B4AED4C">
                  <w:pPr>
                    <w:widowControl/>
                    <w:jc w:val="center"/>
                    <w:rPr>
                      <w:b/>
                      <w:bCs/>
                      <w:color w:val="auto"/>
                      <w:szCs w:val="21"/>
                    </w:rPr>
                  </w:pPr>
                  <w:r>
                    <w:rPr>
                      <w:b/>
                      <w:bCs/>
                      <w:color w:val="auto"/>
                      <w:kern w:val="0"/>
                      <w:szCs w:val="21"/>
                      <w:lang w:bidi="ar"/>
                    </w:rPr>
                    <w:t>占地性质</w:t>
                  </w:r>
                </w:p>
              </w:tc>
              <w:tc>
                <w:tcPr>
                  <w:tcW w:w="3069" w:type="dxa"/>
                  <w:gridSpan w:val="2"/>
                  <w:tcBorders>
                    <w:tl2br w:val="nil"/>
                    <w:tr2bl w:val="nil"/>
                  </w:tcBorders>
                  <w:vAlign w:val="center"/>
                </w:tcPr>
                <w:p w14:paraId="194AD87C">
                  <w:pPr>
                    <w:widowControl/>
                    <w:jc w:val="center"/>
                    <w:rPr>
                      <w:b/>
                      <w:bCs/>
                      <w:color w:val="auto"/>
                      <w:szCs w:val="21"/>
                    </w:rPr>
                  </w:pPr>
                  <w:r>
                    <w:rPr>
                      <w:rFonts w:hint="eastAsia"/>
                      <w:b/>
                      <w:bCs/>
                      <w:color w:val="auto"/>
                      <w:kern w:val="0"/>
                      <w:szCs w:val="21"/>
                      <w:lang w:eastAsia="zh-CN" w:bidi="ar"/>
                    </w:rPr>
                    <w:t>用地现状</w:t>
                  </w:r>
                  <w:r>
                    <w:rPr>
                      <w:b/>
                      <w:bCs/>
                      <w:color w:val="auto"/>
                      <w:kern w:val="0"/>
                      <w:szCs w:val="21"/>
                      <w:lang w:bidi="ar"/>
                    </w:rPr>
                    <w:t>面积及类型（m</w:t>
                  </w:r>
                  <w:r>
                    <w:rPr>
                      <w:b/>
                      <w:bCs/>
                      <w:color w:val="auto"/>
                      <w:kern w:val="0"/>
                      <w:szCs w:val="21"/>
                      <w:vertAlign w:val="superscript"/>
                      <w:lang w:bidi="ar"/>
                    </w:rPr>
                    <w:t>2</w:t>
                  </w:r>
                  <w:r>
                    <w:rPr>
                      <w:b/>
                      <w:bCs/>
                      <w:color w:val="auto"/>
                      <w:kern w:val="0"/>
                      <w:szCs w:val="21"/>
                      <w:lang w:bidi="ar"/>
                    </w:rPr>
                    <w:t>）</w:t>
                  </w:r>
                </w:p>
              </w:tc>
              <w:tc>
                <w:tcPr>
                  <w:tcW w:w="2707" w:type="dxa"/>
                  <w:gridSpan w:val="2"/>
                  <w:tcBorders>
                    <w:tl2br w:val="nil"/>
                    <w:tr2bl w:val="nil"/>
                  </w:tcBorders>
                  <w:vAlign w:val="center"/>
                </w:tcPr>
                <w:p w14:paraId="68AF50E9">
                  <w:pPr>
                    <w:widowControl/>
                    <w:jc w:val="center"/>
                    <w:rPr>
                      <w:rFonts w:hint="eastAsia" w:eastAsia="宋体"/>
                      <w:b/>
                      <w:bCs/>
                      <w:color w:val="auto"/>
                      <w:szCs w:val="21"/>
                      <w:lang w:eastAsia="zh-CN"/>
                    </w:rPr>
                  </w:pPr>
                  <w:r>
                    <w:rPr>
                      <w:rFonts w:hint="eastAsia"/>
                      <w:b/>
                      <w:bCs/>
                      <w:color w:val="auto"/>
                      <w:szCs w:val="21"/>
                      <w:lang w:eastAsia="zh-CN"/>
                    </w:rPr>
                    <w:t>规划用地面积及类型</w:t>
                  </w:r>
                  <w:r>
                    <w:rPr>
                      <w:b/>
                      <w:bCs/>
                      <w:color w:val="auto"/>
                      <w:kern w:val="0"/>
                      <w:szCs w:val="21"/>
                      <w:lang w:bidi="ar"/>
                    </w:rPr>
                    <w:t>（m</w:t>
                  </w:r>
                  <w:r>
                    <w:rPr>
                      <w:b/>
                      <w:bCs/>
                      <w:color w:val="auto"/>
                      <w:kern w:val="0"/>
                      <w:szCs w:val="21"/>
                      <w:vertAlign w:val="superscript"/>
                      <w:lang w:bidi="ar"/>
                    </w:rPr>
                    <w:t>2</w:t>
                  </w:r>
                  <w:r>
                    <w:rPr>
                      <w:b/>
                      <w:bCs/>
                      <w:color w:val="auto"/>
                      <w:kern w:val="0"/>
                      <w:szCs w:val="21"/>
                      <w:lang w:bidi="ar"/>
                    </w:rPr>
                    <w:t>）</w:t>
                  </w:r>
                </w:p>
              </w:tc>
              <w:tc>
                <w:tcPr>
                  <w:tcW w:w="1436" w:type="dxa"/>
                  <w:tcBorders>
                    <w:tl2br w:val="nil"/>
                    <w:tr2bl w:val="nil"/>
                  </w:tcBorders>
                  <w:vAlign w:val="center"/>
                </w:tcPr>
                <w:p w14:paraId="3E57F317">
                  <w:pPr>
                    <w:widowControl/>
                    <w:jc w:val="center"/>
                    <w:rPr>
                      <w:b/>
                      <w:bCs/>
                      <w:color w:val="auto"/>
                      <w:szCs w:val="21"/>
                    </w:rPr>
                  </w:pPr>
                  <w:r>
                    <w:rPr>
                      <w:b/>
                      <w:bCs/>
                      <w:color w:val="auto"/>
                      <w:szCs w:val="21"/>
                    </w:rPr>
                    <w:t>合计</w:t>
                  </w:r>
                  <w:r>
                    <w:rPr>
                      <w:b/>
                      <w:bCs/>
                      <w:color w:val="auto"/>
                      <w:kern w:val="0"/>
                      <w:szCs w:val="21"/>
                      <w:lang w:bidi="ar"/>
                    </w:rPr>
                    <w:t>（m</w:t>
                  </w:r>
                  <w:r>
                    <w:rPr>
                      <w:b/>
                      <w:bCs/>
                      <w:color w:val="auto"/>
                      <w:kern w:val="0"/>
                      <w:szCs w:val="21"/>
                      <w:vertAlign w:val="superscript"/>
                      <w:lang w:bidi="ar"/>
                    </w:rPr>
                    <w:t>2</w:t>
                  </w:r>
                  <w:r>
                    <w:rPr>
                      <w:b/>
                      <w:bCs/>
                      <w:color w:val="auto"/>
                      <w:kern w:val="0"/>
                      <w:szCs w:val="21"/>
                      <w:lang w:bidi="ar"/>
                    </w:rPr>
                    <w:t>）</w:t>
                  </w:r>
                </w:p>
              </w:tc>
            </w:tr>
            <w:tr w14:paraId="13C823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8" w:type="dxa"/>
                  <w:vMerge w:val="restart"/>
                  <w:tcBorders>
                    <w:tl2br w:val="nil"/>
                    <w:tr2bl w:val="nil"/>
                  </w:tcBorders>
                  <w:vAlign w:val="center"/>
                </w:tcPr>
                <w:p w14:paraId="777BA1EE">
                  <w:pPr>
                    <w:pStyle w:val="19"/>
                    <w:spacing w:line="240" w:lineRule="auto"/>
                    <w:ind w:firstLine="0" w:firstLineChars="0"/>
                    <w:jc w:val="center"/>
                    <w:rPr>
                      <w:color w:val="auto"/>
                      <w:sz w:val="21"/>
                      <w:szCs w:val="21"/>
                    </w:rPr>
                  </w:pPr>
                  <w:r>
                    <w:rPr>
                      <w:color w:val="auto"/>
                      <w:sz w:val="21"/>
                      <w:szCs w:val="21"/>
                    </w:rPr>
                    <w:t>永久占地</w:t>
                  </w:r>
                </w:p>
              </w:tc>
              <w:tc>
                <w:tcPr>
                  <w:tcW w:w="1540" w:type="dxa"/>
                  <w:tcBorders>
                    <w:tl2br w:val="nil"/>
                    <w:tr2bl w:val="nil"/>
                  </w:tcBorders>
                  <w:vAlign w:val="center"/>
                </w:tcPr>
                <w:p w14:paraId="2DF8F4FF">
                  <w:pPr>
                    <w:pStyle w:val="19"/>
                    <w:spacing w:line="240" w:lineRule="auto"/>
                    <w:ind w:firstLine="0" w:firstLineChars="0"/>
                    <w:jc w:val="center"/>
                    <w:rPr>
                      <w:color w:val="auto"/>
                      <w:sz w:val="21"/>
                      <w:szCs w:val="21"/>
                    </w:rPr>
                  </w:pPr>
                  <w:r>
                    <w:rPr>
                      <w:color w:val="auto"/>
                      <w:kern w:val="0"/>
                      <w:sz w:val="21"/>
                      <w:szCs w:val="21"/>
                      <w:lang w:bidi="ar"/>
                    </w:rPr>
                    <w:t>耕地</w:t>
                  </w:r>
                </w:p>
              </w:tc>
              <w:tc>
                <w:tcPr>
                  <w:tcW w:w="1529" w:type="dxa"/>
                  <w:tcBorders>
                    <w:tl2br w:val="nil"/>
                    <w:tr2bl w:val="nil"/>
                  </w:tcBorders>
                  <w:vAlign w:val="center"/>
                </w:tcPr>
                <w:p w14:paraId="72A57111">
                  <w:pPr>
                    <w:widowControl/>
                    <w:jc w:val="center"/>
                    <w:rPr>
                      <w:rFonts w:hint="default" w:eastAsia="宋体"/>
                      <w:color w:val="auto"/>
                      <w:szCs w:val="21"/>
                      <w:highlight w:val="none"/>
                      <w:lang w:val="en-US" w:eastAsia="zh-CN"/>
                    </w:rPr>
                  </w:pPr>
                  <w:r>
                    <w:rPr>
                      <w:rFonts w:hint="eastAsia"/>
                      <w:color w:val="auto"/>
                      <w:szCs w:val="21"/>
                      <w:highlight w:val="none"/>
                      <w:lang w:val="en-US" w:eastAsia="zh-CN"/>
                    </w:rPr>
                    <w:t>14723.7</w:t>
                  </w:r>
                </w:p>
              </w:tc>
              <w:tc>
                <w:tcPr>
                  <w:tcW w:w="1124" w:type="dxa"/>
                  <w:vMerge w:val="restart"/>
                  <w:tcBorders>
                    <w:tl2br w:val="nil"/>
                    <w:tr2bl w:val="nil"/>
                  </w:tcBorders>
                  <w:vAlign w:val="center"/>
                </w:tcPr>
                <w:p w14:paraId="51D339C2">
                  <w:pPr>
                    <w:pStyle w:val="19"/>
                    <w:spacing w:line="240" w:lineRule="auto"/>
                    <w:ind w:firstLine="0" w:firstLineChars="0"/>
                    <w:jc w:val="center"/>
                    <w:rPr>
                      <w:rFonts w:hint="eastAsia" w:eastAsia="宋体"/>
                      <w:color w:val="auto"/>
                      <w:sz w:val="21"/>
                      <w:szCs w:val="21"/>
                      <w:lang w:eastAsia="zh-CN"/>
                    </w:rPr>
                  </w:pPr>
                  <w:r>
                    <w:rPr>
                      <w:rFonts w:hint="eastAsia"/>
                      <w:color w:val="auto"/>
                      <w:sz w:val="21"/>
                      <w:szCs w:val="21"/>
                      <w:lang w:eastAsia="zh-CN"/>
                    </w:rPr>
                    <w:t>居住用地</w:t>
                  </w:r>
                </w:p>
              </w:tc>
              <w:tc>
                <w:tcPr>
                  <w:tcW w:w="1583" w:type="dxa"/>
                  <w:vMerge w:val="restart"/>
                  <w:tcBorders>
                    <w:tl2br w:val="nil"/>
                    <w:tr2bl w:val="nil"/>
                  </w:tcBorders>
                  <w:vAlign w:val="center"/>
                </w:tcPr>
                <w:p w14:paraId="545EEC5A">
                  <w:pPr>
                    <w:pStyle w:val="19"/>
                    <w:spacing w:line="240" w:lineRule="auto"/>
                    <w:ind w:firstLine="0" w:firstLineChars="0"/>
                    <w:jc w:val="center"/>
                    <w:rPr>
                      <w:rFonts w:hint="eastAsia"/>
                      <w:color w:val="auto"/>
                      <w:sz w:val="21"/>
                      <w:szCs w:val="21"/>
                    </w:rPr>
                  </w:pPr>
                  <w:r>
                    <w:rPr>
                      <w:rFonts w:hint="eastAsia"/>
                      <w:color w:val="auto"/>
                      <w:sz w:val="21"/>
                      <w:szCs w:val="21"/>
                    </w:rPr>
                    <w:t>20710.88</w:t>
                  </w:r>
                </w:p>
              </w:tc>
              <w:tc>
                <w:tcPr>
                  <w:tcW w:w="1436" w:type="dxa"/>
                  <w:vMerge w:val="restart"/>
                  <w:tcBorders>
                    <w:tl2br w:val="nil"/>
                    <w:tr2bl w:val="nil"/>
                  </w:tcBorders>
                  <w:vAlign w:val="center"/>
                </w:tcPr>
                <w:p w14:paraId="2F6A2096">
                  <w:pPr>
                    <w:pStyle w:val="19"/>
                    <w:spacing w:line="240" w:lineRule="auto"/>
                    <w:ind w:firstLine="0" w:firstLineChars="0"/>
                    <w:jc w:val="center"/>
                    <w:rPr>
                      <w:rFonts w:hint="eastAsia"/>
                      <w:color w:val="auto"/>
                      <w:sz w:val="21"/>
                      <w:szCs w:val="21"/>
                    </w:rPr>
                  </w:pPr>
                  <w:r>
                    <w:rPr>
                      <w:rFonts w:hint="eastAsia"/>
                      <w:color w:val="auto"/>
                      <w:sz w:val="21"/>
                      <w:szCs w:val="21"/>
                    </w:rPr>
                    <w:t>20710.88</w:t>
                  </w:r>
                </w:p>
              </w:tc>
            </w:tr>
            <w:tr w14:paraId="304088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8" w:type="dxa"/>
                  <w:vMerge w:val="continue"/>
                  <w:tcBorders>
                    <w:tl2br w:val="nil"/>
                    <w:tr2bl w:val="nil"/>
                  </w:tcBorders>
                  <w:vAlign w:val="center"/>
                </w:tcPr>
                <w:p w14:paraId="4984ED09">
                  <w:pPr>
                    <w:pStyle w:val="19"/>
                    <w:spacing w:line="240" w:lineRule="auto"/>
                    <w:ind w:firstLine="0" w:firstLineChars="0"/>
                    <w:jc w:val="center"/>
                    <w:rPr>
                      <w:color w:val="auto"/>
                      <w:sz w:val="21"/>
                      <w:szCs w:val="21"/>
                    </w:rPr>
                  </w:pPr>
                </w:p>
              </w:tc>
              <w:tc>
                <w:tcPr>
                  <w:tcW w:w="1540" w:type="dxa"/>
                  <w:tcBorders>
                    <w:tl2br w:val="nil"/>
                    <w:tr2bl w:val="nil"/>
                  </w:tcBorders>
                  <w:vAlign w:val="center"/>
                </w:tcPr>
                <w:p w14:paraId="02E5B2A2">
                  <w:pPr>
                    <w:pStyle w:val="19"/>
                    <w:spacing w:line="240" w:lineRule="auto"/>
                    <w:ind w:firstLine="0" w:firstLineChars="0"/>
                    <w:jc w:val="center"/>
                    <w:rPr>
                      <w:rFonts w:hint="eastAsia" w:eastAsia="宋体"/>
                      <w:color w:val="auto"/>
                      <w:kern w:val="0"/>
                      <w:sz w:val="21"/>
                      <w:szCs w:val="21"/>
                      <w:lang w:eastAsia="zh-CN" w:bidi="ar"/>
                    </w:rPr>
                  </w:pPr>
                  <w:r>
                    <w:rPr>
                      <w:rFonts w:hint="eastAsia"/>
                      <w:color w:val="auto"/>
                      <w:kern w:val="0"/>
                      <w:sz w:val="21"/>
                      <w:szCs w:val="21"/>
                      <w:lang w:eastAsia="zh-CN" w:bidi="ar"/>
                    </w:rPr>
                    <w:t>道路</w:t>
                  </w:r>
                </w:p>
              </w:tc>
              <w:tc>
                <w:tcPr>
                  <w:tcW w:w="1529" w:type="dxa"/>
                  <w:tcBorders>
                    <w:tl2br w:val="nil"/>
                    <w:tr2bl w:val="nil"/>
                  </w:tcBorders>
                  <w:vAlign w:val="center"/>
                </w:tcPr>
                <w:p w14:paraId="68FC2E04">
                  <w:pPr>
                    <w:widowControl/>
                    <w:jc w:val="center"/>
                    <w:rPr>
                      <w:rFonts w:hint="default"/>
                      <w:color w:val="auto"/>
                      <w:szCs w:val="21"/>
                      <w:highlight w:val="none"/>
                      <w:lang w:val="en-US" w:eastAsia="zh-CN"/>
                    </w:rPr>
                  </w:pPr>
                  <w:r>
                    <w:rPr>
                      <w:rFonts w:hint="eastAsia"/>
                      <w:color w:val="auto"/>
                      <w:szCs w:val="21"/>
                      <w:highlight w:val="none"/>
                      <w:lang w:val="en-US" w:eastAsia="zh-CN"/>
                    </w:rPr>
                    <w:t>2067.05</w:t>
                  </w:r>
                </w:p>
              </w:tc>
              <w:tc>
                <w:tcPr>
                  <w:tcW w:w="1124" w:type="dxa"/>
                  <w:vMerge w:val="continue"/>
                  <w:tcBorders>
                    <w:tl2br w:val="nil"/>
                    <w:tr2bl w:val="nil"/>
                  </w:tcBorders>
                  <w:vAlign w:val="center"/>
                </w:tcPr>
                <w:p w14:paraId="6729227D">
                  <w:pPr>
                    <w:pStyle w:val="19"/>
                    <w:spacing w:line="240" w:lineRule="auto"/>
                    <w:ind w:firstLine="0" w:firstLineChars="0"/>
                    <w:jc w:val="center"/>
                    <w:rPr>
                      <w:rFonts w:hint="eastAsia"/>
                      <w:color w:val="auto"/>
                      <w:sz w:val="21"/>
                      <w:szCs w:val="21"/>
                      <w:lang w:eastAsia="zh-CN"/>
                    </w:rPr>
                  </w:pPr>
                </w:p>
              </w:tc>
              <w:tc>
                <w:tcPr>
                  <w:tcW w:w="1583" w:type="dxa"/>
                  <w:vMerge w:val="continue"/>
                  <w:tcBorders>
                    <w:tl2br w:val="nil"/>
                    <w:tr2bl w:val="nil"/>
                  </w:tcBorders>
                  <w:vAlign w:val="center"/>
                </w:tcPr>
                <w:p w14:paraId="336003CE">
                  <w:pPr>
                    <w:pStyle w:val="19"/>
                    <w:spacing w:line="240" w:lineRule="auto"/>
                    <w:ind w:firstLine="0" w:firstLineChars="0"/>
                    <w:jc w:val="center"/>
                    <w:rPr>
                      <w:rFonts w:hint="eastAsia"/>
                      <w:color w:val="auto"/>
                      <w:sz w:val="21"/>
                      <w:szCs w:val="21"/>
                    </w:rPr>
                  </w:pPr>
                </w:p>
              </w:tc>
              <w:tc>
                <w:tcPr>
                  <w:tcW w:w="1436" w:type="dxa"/>
                  <w:vMerge w:val="continue"/>
                  <w:tcBorders>
                    <w:tl2br w:val="nil"/>
                    <w:tr2bl w:val="nil"/>
                  </w:tcBorders>
                  <w:vAlign w:val="center"/>
                </w:tcPr>
                <w:p w14:paraId="52611F00">
                  <w:pPr>
                    <w:pStyle w:val="19"/>
                    <w:spacing w:line="240" w:lineRule="auto"/>
                    <w:ind w:firstLine="0" w:firstLineChars="0"/>
                    <w:jc w:val="center"/>
                    <w:rPr>
                      <w:rFonts w:hint="eastAsia"/>
                      <w:color w:val="auto"/>
                      <w:sz w:val="21"/>
                      <w:szCs w:val="21"/>
                    </w:rPr>
                  </w:pPr>
                </w:p>
              </w:tc>
            </w:tr>
            <w:tr w14:paraId="3DD6DA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8" w:type="dxa"/>
                  <w:vMerge w:val="continue"/>
                  <w:tcBorders>
                    <w:tl2br w:val="nil"/>
                    <w:tr2bl w:val="nil"/>
                  </w:tcBorders>
                  <w:vAlign w:val="center"/>
                </w:tcPr>
                <w:p w14:paraId="1AD67486">
                  <w:pPr>
                    <w:pStyle w:val="19"/>
                    <w:spacing w:line="240" w:lineRule="auto"/>
                    <w:ind w:firstLine="0" w:firstLineChars="0"/>
                    <w:jc w:val="center"/>
                    <w:rPr>
                      <w:color w:val="auto"/>
                      <w:sz w:val="21"/>
                      <w:szCs w:val="21"/>
                    </w:rPr>
                  </w:pPr>
                </w:p>
              </w:tc>
              <w:tc>
                <w:tcPr>
                  <w:tcW w:w="1540" w:type="dxa"/>
                  <w:tcBorders>
                    <w:tl2br w:val="nil"/>
                    <w:tr2bl w:val="nil"/>
                  </w:tcBorders>
                  <w:vAlign w:val="center"/>
                </w:tcPr>
                <w:p w14:paraId="7B5F3140">
                  <w:pPr>
                    <w:pStyle w:val="19"/>
                    <w:spacing w:line="240" w:lineRule="auto"/>
                    <w:ind w:firstLine="0" w:firstLineChars="0"/>
                    <w:jc w:val="center"/>
                    <w:rPr>
                      <w:color w:val="auto"/>
                      <w:kern w:val="0"/>
                      <w:sz w:val="21"/>
                      <w:szCs w:val="21"/>
                      <w:lang w:bidi="ar"/>
                    </w:rPr>
                  </w:pPr>
                  <w:r>
                    <w:rPr>
                      <w:rFonts w:hint="eastAsia"/>
                      <w:color w:val="auto"/>
                      <w:kern w:val="0"/>
                      <w:sz w:val="21"/>
                      <w:szCs w:val="21"/>
                      <w:lang w:bidi="ar"/>
                    </w:rPr>
                    <w:t>居住用地</w:t>
                  </w:r>
                </w:p>
              </w:tc>
              <w:tc>
                <w:tcPr>
                  <w:tcW w:w="1529" w:type="dxa"/>
                  <w:tcBorders>
                    <w:tl2br w:val="nil"/>
                    <w:tr2bl w:val="nil"/>
                  </w:tcBorders>
                  <w:vAlign w:val="center"/>
                </w:tcPr>
                <w:p w14:paraId="06DFC039">
                  <w:pPr>
                    <w:widowControl/>
                    <w:jc w:val="center"/>
                    <w:rPr>
                      <w:rFonts w:hint="default" w:eastAsia="宋体"/>
                      <w:color w:val="auto"/>
                      <w:szCs w:val="21"/>
                      <w:highlight w:val="none"/>
                      <w:lang w:val="en-US" w:eastAsia="zh-CN"/>
                    </w:rPr>
                  </w:pPr>
                  <w:r>
                    <w:rPr>
                      <w:rFonts w:hint="eastAsia"/>
                      <w:color w:val="auto"/>
                      <w:szCs w:val="21"/>
                      <w:highlight w:val="none"/>
                      <w:lang w:val="en-US" w:eastAsia="zh-CN"/>
                    </w:rPr>
                    <w:t>3920.13</w:t>
                  </w:r>
                </w:p>
              </w:tc>
              <w:tc>
                <w:tcPr>
                  <w:tcW w:w="1124" w:type="dxa"/>
                  <w:vMerge w:val="continue"/>
                  <w:tcBorders>
                    <w:tl2br w:val="nil"/>
                    <w:tr2bl w:val="nil"/>
                  </w:tcBorders>
                  <w:vAlign w:val="center"/>
                </w:tcPr>
                <w:p w14:paraId="5B99911A">
                  <w:pPr>
                    <w:pStyle w:val="19"/>
                    <w:spacing w:line="240" w:lineRule="auto"/>
                    <w:ind w:firstLine="0" w:firstLineChars="0"/>
                    <w:jc w:val="center"/>
                    <w:rPr>
                      <w:color w:val="auto"/>
                      <w:sz w:val="21"/>
                      <w:szCs w:val="21"/>
                    </w:rPr>
                  </w:pPr>
                </w:p>
              </w:tc>
              <w:tc>
                <w:tcPr>
                  <w:tcW w:w="1583" w:type="dxa"/>
                  <w:vMerge w:val="continue"/>
                  <w:tcBorders>
                    <w:tl2br w:val="nil"/>
                    <w:tr2bl w:val="nil"/>
                  </w:tcBorders>
                  <w:vAlign w:val="center"/>
                </w:tcPr>
                <w:p w14:paraId="651BF154">
                  <w:pPr>
                    <w:pStyle w:val="19"/>
                    <w:spacing w:line="240" w:lineRule="auto"/>
                    <w:ind w:firstLine="0" w:firstLineChars="0"/>
                    <w:jc w:val="center"/>
                    <w:rPr>
                      <w:color w:val="auto"/>
                      <w:sz w:val="21"/>
                      <w:szCs w:val="21"/>
                    </w:rPr>
                  </w:pPr>
                </w:p>
              </w:tc>
              <w:tc>
                <w:tcPr>
                  <w:tcW w:w="1436" w:type="dxa"/>
                  <w:vMerge w:val="continue"/>
                  <w:tcBorders>
                    <w:tl2br w:val="nil"/>
                    <w:tr2bl w:val="nil"/>
                  </w:tcBorders>
                  <w:vAlign w:val="center"/>
                </w:tcPr>
                <w:p w14:paraId="0912A13B">
                  <w:pPr>
                    <w:pStyle w:val="19"/>
                    <w:spacing w:line="240" w:lineRule="auto"/>
                    <w:ind w:firstLine="0" w:firstLineChars="0"/>
                    <w:jc w:val="center"/>
                    <w:rPr>
                      <w:color w:val="auto"/>
                      <w:sz w:val="21"/>
                      <w:szCs w:val="21"/>
                    </w:rPr>
                  </w:pPr>
                </w:p>
              </w:tc>
            </w:tr>
          </w:tbl>
          <w:p w14:paraId="1AACCB4C">
            <w:pPr>
              <w:pStyle w:val="33"/>
              <w:adjustRightInd/>
              <w:spacing w:before="120" w:beforeLines="50" w:line="360" w:lineRule="auto"/>
              <w:ind w:firstLine="480"/>
              <w:textAlignment w:val="auto"/>
              <w:rPr>
                <w:bCs/>
                <w:color w:val="auto"/>
                <w:sz w:val="24"/>
                <w:highlight w:val="yellow"/>
              </w:rPr>
            </w:pPr>
            <w:r>
              <w:rPr>
                <w:rFonts w:hint="eastAsia"/>
                <w:color w:val="auto"/>
                <w:kern w:val="0"/>
                <w:sz w:val="24"/>
                <w:szCs w:val="24"/>
                <w:lang w:bidi="ar"/>
              </w:rPr>
              <w:t>因此</w:t>
            </w:r>
            <w:r>
              <w:rPr>
                <w:color w:val="auto"/>
                <w:kern w:val="0"/>
                <w:sz w:val="24"/>
                <w:szCs w:val="24"/>
                <w:lang w:bidi="ar"/>
              </w:rPr>
              <w:t>，拟建工程占用</w:t>
            </w:r>
            <w:r>
              <w:rPr>
                <w:rFonts w:hint="eastAsia"/>
                <w:color w:val="auto"/>
                <w:kern w:val="0"/>
                <w:sz w:val="24"/>
                <w:szCs w:val="24"/>
                <w:lang w:bidi="ar"/>
              </w:rPr>
              <w:t>居住用地</w:t>
            </w:r>
            <w:r>
              <w:rPr>
                <w:rFonts w:hint="eastAsia"/>
                <w:color w:val="auto"/>
                <w:kern w:val="0"/>
                <w:sz w:val="24"/>
                <w:szCs w:val="24"/>
                <w:lang w:val="en-US" w:eastAsia="zh-CN" w:bidi="ar"/>
              </w:rPr>
              <w:t>3920.3</w:t>
            </w:r>
            <w:r>
              <w:rPr>
                <w:color w:val="auto"/>
                <w:kern w:val="0"/>
                <w:sz w:val="24"/>
                <w:szCs w:val="24"/>
                <w:lang w:bidi="ar"/>
              </w:rPr>
              <w:t>m</w:t>
            </w:r>
            <w:r>
              <w:rPr>
                <w:color w:val="auto"/>
                <w:kern w:val="0"/>
                <w:sz w:val="24"/>
                <w:szCs w:val="24"/>
                <w:vertAlign w:val="superscript"/>
                <w:lang w:bidi="ar"/>
              </w:rPr>
              <w:t>2</w:t>
            </w:r>
            <w:r>
              <w:rPr>
                <w:color w:val="auto"/>
                <w:kern w:val="0"/>
                <w:sz w:val="24"/>
                <w:szCs w:val="24"/>
                <w:lang w:bidi="ar"/>
              </w:rPr>
              <w:t>，</w:t>
            </w:r>
            <w:r>
              <w:rPr>
                <w:rFonts w:hint="eastAsia"/>
                <w:color w:val="auto"/>
                <w:kern w:val="0"/>
                <w:sz w:val="24"/>
                <w:szCs w:val="24"/>
                <w:lang w:bidi="ar"/>
              </w:rPr>
              <w:t>拆迁安置由南江县</w:t>
            </w:r>
            <w:r>
              <w:rPr>
                <w:rFonts w:hint="eastAsia"/>
                <w:color w:val="auto"/>
                <w:kern w:val="0"/>
                <w:sz w:val="24"/>
                <w:szCs w:val="24"/>
                <w:lang w:eastAsia="zh-CN" w:bidi="ar"/>
              </w:rPr>
              <w:t>人民</w:t>
            </w:r>
            <w:r>
              <w:rPr>
                <w:rFonts w:hint="eastAsia"/>
                <w:color w:val="auto"/>
                <w:kern w:val="0"/>
                <w:sz w:val="24"/>
                <w:szCs w:val="24"/>
                <w:lang w:bidi="ar"/>
              </w:rPr>
              <w:t>政府负责。</w:t>
            </w:r>
          </w:p>
          <w:p w14:paraId="7C5204E2">
            <w:pPr>
              <w:pStyle w:val="92"/>
              <w:spacing w:line="360" w:lineRule="auto"/>
              <w:ind w:firstLine="482" w:firstLineChars="200"/>
              <w:rPr>
                <w:b/>
                <w:bCs/>
                <w:color w:val="auto"/>
                <w:sz w:val="24"/>
                <w:szCs w:val="24"/>
              </w:rPr>
            </w:pPr>
            <w:r>
              <w:rPr>
                <w:rFonts w:hint="eastAsia"/>
                <w:b/>
                <w:bCs/>
                <w:color w:val="auto"/>
                <w:sz w:val="24"/>
                <w:szCs w:val="24"/>
              </w:rPr>
              <w:t>六、土石方平衡</w:t>
            </w:r>
          </w:p>
          <w:p w14:paraId="145C68CE">
            <w:pPr>
              <w:snapToGrid w:val="0"/>
              <w:spacing w:line="360" w:lineRule="auto"/>
              <w:ind w:firstLine="480" w:firstLineChars="200"/>
              <w:rPr>
                <w:rFonts w:hint="eastAsia"/>
                <w:color w:val="auto"/>
                <w:sz w:val="24"/>
                <w:shd w:val="clear" w:color="auto" w:fill="FFFFFF"/>
                <w:lang w:val="en-US" w:eastAsia="zh-CN"/>
              </w:rPr>
            </w:pPr>
            <w:r>
              <w:rPr>
                <w:rFonts w:hint="eastAsia"/>
                <w:color w:val="auto"/>
                <w:sz w:val="24"/>
                <w:shd w:val="clear" w:color="auto" w:fill="FFFFFF"/>
                <w:lang w:eastAsia="zh-CN"/>
              </w:rPr>
              <w:t>本工程现有地形为东侧突起西侧低洼，充分利用该地形进行设计，西侧修建地下室使场地接平市政道路，东侧维持现状地形修建。</w:t>
            </w:r>
          </w:p>
          <w:p w14:paraId="18EAAF42">
            <w:pPr>
              <w:snapToGrid w:val="0"/>
              <w:spacing w:line="360" w:lineRule="auto"/>
              <w:ind w:firstLine="480" w:firstLineChars="200"/>
              <w:rPr>
                <w:rFonts w:hint="default" w:eastAsia="宋体"/>
                <w:color w:val="auto"/>
                <w:sz w:val="24"/>
                <w:shd w:val="clear" w:color="auto" w:fill="FFFFFF"/>
                <w:lang w:val="en-US" w:eastAsia="zh-CN"/>
              </w:rPr>
            </w:pPr>
            <w:r>
              <w:rPr>
                <w:rFonts w:hint="eastAsia"/>
                <w:color w:val="auto"/>
                <w:sz w:val="24"/>
                <w:shd w:val="clear" w:color="auto" w:fill="FFFFFF"/>
                <w:lang w:val="en-US" w:eastAsia="zh-CN"/>
              </w:rPr>
              <w:t>1、地下工程土石方</w:t>
            </w:r>
          </w:p>
          <w:p w14:paraId="6079B3E1">
            <w:pPr>
              <w:snapToGrid w:val="0"/>
              <w:spacing w:line="360" w:lineRule="auto"/>
              <w:ind w:firstLine="480" w:firstLineChars="200"/>
              <w:rPr>
                <w:color w:val="auto"/>
                <w:sz w:val="24"/>
                <w:highlight w:val="none"/>
                <w:shd w:val="clear" w:color="auto" w:fill="FFFFFF"/>
              </w:rPr>
            </w:pPr>
            <w:r>
              <w:rPr>
                <w:rFonts w:hint="eastAsia"/>
                <w:color w:val="auto"/>
                <w:sz w:val="24"/>
                <w:shd w:val="clear" w:color="auto" w:fill="FFFFFF"/>
              </w:rPr>
              <w:t>本项目地下工程涉及</w:t>
            </w:r>
            <w:r>
              <w:rPr>
                <w:rFonts w:hint="eastAsia"/>
                <w:color w:val="auto"/>
                <w:sz w:val="24"/>
                <w:shd w:val="clear" w:color="auto" w:fill="FFFFFF"/>
                <w:lang w:val="en-US" w:eastAsia="zh-CN"/>
              </w:rPr>
              <w:t>1</w:t>
            </w:r>
            <w:r>
              <w:rPr>
                <w:rFonts w:hint="eastAsia"/>
                <w:color w:val="auto"/>
                <w:sz w:val="24"/>
                <w:shd w:val="clear" w:color="auto" w:fill="FFFFFF"/>
              </w:rPr>
              <w:t>个基坑，基坑开挖面积为</w:t>
            </w:r>
            <w:r>
              <w:rPr>
                <w:rFonts w:hint="eastAsia"/>
                <w:color w:val="auto"/>
                <w:sz w:val="24"/>
                <w:shd w:val="clear" w:color="auto" w:fill="FFFFFF"/>
                <w:lang w:val="en-US" w:eastAsia="zh-CN"/>
              </w:rPr>
              <w:t>9714</w:t>
            </w:r>
            <w:r>
              <w:rPr>
                <w:rFonts w:hint="eastAsia"/>
                <w:color w:val="auto"/>
                <w:sz w:val="24"/>
                <w:shd w:val="clear" w:color="auto" w:fill="FFFFFF"/>
              </w:rPr>
              <w:t>m</w:t>
            </w:r>
            <w:r>
              <w:rPr>
                <w:rFonts w:hint="eastAsia"/>
                <w:color w:val="auto"/>
                <w:sz w:val="24"/>
                <w:shd w:val="clear" w:color="auto" w:fill="FFFFFF"/>
                <w:vertAlign w:val="superscript"/>
              </w:rPr>
              <w:t>2</w:t>
            </w:r>
            <w:r>
              <w:rPr>
                <w:rFonts w:hint="eastAsia"/>
                <w:color w:val="auto"/>
                <w:sz w:val="24"/>
                <w:shd w:val="clear" w:color="auto" w:fill="FFFFFF"/>
              </w:rPr>
              <w:t>，</w:t>
            </w:r>
            <w:r>
              <w:rPr>
                <w:rFonts w:hint="eastAsia"/>
                <w:color w:val="auto"/>
                <w:sz w:val="24"/>
                <w:shd w:val="clear" w:color="auto" w:fill="FFFFFF"/>
                <w:lang w:val="en-US" w:eastAsia="zh-CN"/>
              </w:rPr>
              <w:t>一般土石方</w:t>
            </w:r>
            <w:r>
              <w:rPr>
                <w:rFonts w:hint="eastAsia"/>
                <w:color w:val="auto"/>
                <w:sz w:val="24"/>
                <w:shd w:val="clear" w:color="auto" w:fill="FFFFFF"/>
              </w:rPr>
              <w:t>平均开挖深</w:t>
            </w:r>
            <w:r>
              <w:rPr>
                <w:rFonts w:hint="eastAsia"/>
                <w:color w:val="auto"/>
                <w:sz w:val="24"/>
                <w:shd w:val="clear" w:color="auto" w:fill="FFFFFF"/>
                <w:lang w:val="en-US" w:eastAsia="zh-CN"/>
              </w:rPr>
              <w:t>度</w:t>
            </w:r>
            <w:r>
              <w:rPr>
                <w:rFonts w:hint="eastAsia"/>
                <w:color w:val="auto"/>
                <w:sz w:val="24"/>
                <w:shd w:val="clear" w:color="auto" w:fill="FFFFFF"/>
              </w:rPr>
              <w:t>约</w:t>
            </w:r>
            <w:r>
              <w:rPr>
                <w:rFonts w:hint="eastAsia"/>
                <w:color w:val="auto"/>
                <w:sz w:val="24"/>
                <w:shd w:val="clear" w:color="auto" w:fill="FFFFFF"/>
                <w:lang w:val="en-US" w:eastAsia="zh-CN"/>
              </w:rPr>
              <w:t>1.5</w:t>
            </w:r>
            <w:r>
              <w:rPr>
                <w:rFonts w:hint="eastAsia"/>
                <w:color w:val="auto"/>
                <w:sz w:val="24"/>
                <w:shd w:val="clear" w:color="auto" w:fill="FFFFFF"/>
              </w:rPr>
              <w:t>m。根据</w:t>
            </w:r>
            <w:r>
              <w:rPr>
                <w:rFonts w:hint="eastAsia"/>
                <w:color w:val="auto"/>
                <w:sz w:val="24"/>
                <w:shd w:val="clear" w:color="auto" w:fill="FFFFFF"/>
                <w:lang w:eastAsia="zh-CN"/>
              </w:rPr>
              <w:t>设计</w:t>
            </w:r>
            <w:r>
              <w:rPr>
                <w:rFonts w:hint="eastAsia"/>
                <w:color w:val="auto"/>
                <w:sz w:val="24"/>
                <w:shd w:val="clear" w:color="auto" w:fill="FFFFFF"/>
              </w:rPr>
              <w:t>资料，</w:t>
            </w:r>
            <w:r>
              <w:rPr>
                <w:rFonts w:hint="eastAsia"/>
                <w:color w:val="auto"/>
                <w:sz w:val="24"/>
                <w:shd w:val="clear" w:color="auto" w:fill="FFFFFF"/>
                <w:lang w:val="en-US" w:eastAsia="zh-CN"/>
              </w:rPr>
              <w:t>地下室</w:t>
            </w:r>
            <w:r>
              <w:rPr>
                <w:rFonts w:hint="eastAsia"/>
                <w:color w:val="auto"/>
                <w:sz w:val="24"/>
                <w:shd w:val="clear" w:color="auto" w:fill="FFFFFF"/>
              </w:rPr>
              <w:t>基坑工程土石方开挖总量为</w:t>
            </w:r>
            <w:r>
              <w:rPr>
                <w:rFonts w:hint="eastAsia"/>
                <w:color w:val="auto"/>
                <w:sz w:val="24"/>
                <w:shd w:val="clear" w:color="auto" w:fill="FFFFFF"/>
                <w:lang w:val="en-US" w:eastAsia="zh-CN"/>
              </w:rPr>
              <w:t>1.46</w:t>
            </w:r>
            <w:r>
              <w:rPr>
                <w:rFonts w:hint="eastAsia"/>
                <w:color w:val="auto"/>
                <w:sz w:val="24"/>
                <w:shd w:val="clear" w:color="auto" w:fill="FFFFFF"/>
              </w:rPr>
              <w:t>万m</w:t>
            </w:r>
            <w:r>
              <w:rPr>
                <w:rFonts w:hint="eastAsia"/>
                <w:color w:val="auto"/>
                <w:sz w:val="24"/>
                <w:shd w:val="clear" w:color="auto" w:fill="FFFFFF"/>
                <w:vertAlign w:val="superscript"/>
              </w:rPr>
              <w:t>3</w:t>
            </w:r>
            <w:r>
              <w:rPr>
                <w:rFonts w:hint="eastAsia"/>
                <w:color w:val="auto"/>
                <w:sz w:val="24"/>
                <w:shd w:val="clear" w:color="auto" w:fill="FFFFFF"/>
              </w:rPr>
              <w:t>（</w:t>
            </w:r>
            <w:r>
              <w:rPr>
                <w:rFonts w:hint="eastAsia"/>
                <w:color w:val="auto"/>
                <w:sz w:val="24"/>
                <w:shd w:val="clear" w:color="auto" w:fill="FFFFFF"/>
                <w:lang w:val="en-US" w:eastAsia="zh-CN"/>
              </w:rPr>
              <w:t>普通土</w:t>
            </w:r>
            <w:r>
              <w:rPr>
                <w:rFonts w:hint="eastAsia"/>
                <w:color w:val="auto"/>
                <w:sz w:val="24"/>
                <w:shd w:val="clear" w:color="auto" w:fill="FFFFFF"/>
              </w:rPr>
              <w:t>），土石方回填总</w:t>
            </w:r>
            <w:r>
              <w:rPr>
                <w:rFonts w:hint="eastAsia"/>
                <w:color w:val="auto"/>
                <w:sz w:val="24"/>
                <w:highlight w:val="none"/>
                <w:shd w:val="clear" w:color="auto" w:fill="FFFFFF"/>
              </w:rPr>
              <w:t>量</w:t>
            </w:r>
            <w:r>
              <w:rPr>
                <w:rFonts w:hint="eastAsia"/>
                <w:color w:val="auto"/>
                <w:sz w:val="24"/>
                <w:highlight w:val="none"/>
                <w:shd w:val="clear" w:color="auto" w:fill="FFFFFF"/>
                <w:lang w:val="en-US" w:eastAsia="zh-CN"/>
              </w:rPr>
              <w:t>0.31</w:t>
            </w:r>
            <w:r>
              <w:rPr>
                <w:rFonts w:hint="eastAsia"/>
                <w:color w:val="auto"/>
                <w:sz w:val="24"/>
                <w:highlight w:val="none"/>
                <w:shd w:val="clear" w:color="auto" w:fill="FFFFFF"/>
              </w:rPr>
              <w:t>万m</w:t>
            </w:r>
            <w:r>
              <w:rPr>
                <w:rFonts w:hint="eastAsia"/>
                <w:color w:val="auto"/>
                <w:sz w:val="24"/>
                <w:highlight w:val="none"/>
                <w:shd w:val="clear" w:color="auto" w:fill="FFFFFF"/>
                <w:vertAlign w:val="superscript"/>
              </w:rPr>
              <w:t>3</w:t>
            </w:r>
            <w:r>
              <w:rPr>
                <w:rFonts w:hint="eastAsia"/>
                <w:color w:val="auto"/>
                <w:sz w:val="24"/>
                <w:highlight w:val="none"/>
                <w:shd w:val="clear" w:color="auto" w:fill="FFFFFF"/>
              </w:rPr>
              <w:t>（用地下工程回填），</w:t>
            </w:r>
            <w:r>
              <w:rPr>
                <w:rFonts w:hint="eastAsia"/>
                <w:color w:val="auto"/>
                <w:sz w:val="24"/>
                <w:highlight w:val="none"/>
                <w:shd w:val="clear" w:color="auto" w:fill="FFFFFF"/>
                <w:lang w:val="en-US" w:eastAsia="zh-CN"/>
              </w:rPr>
              <w:t>余方1.15</w:t>
            </w:r>
            <w:r>
              <w:rPr>
                <w:rFonts w:hint="eastAsia"/>
                <w:color w:val="auto"/>
                <w:sz w:val="24"/>
                <w:shd w:val="clear" w:color="auto" w:fill="FFFFFF"/>
              </w:rPr>
              <w:t>万m</w:t>
            </w:r>
            <w:r>
              <w:rPr>
                <w:rFonts w:hint="eastAsia"/>
                <w:color w:val="auto"/>
                <w:sz w:val="24"/>
                <w:shd w:val="clear" w:color="auto" w:fill="FFFFFF"/>
                <w:vertAlign w:val="superscript"/>
              </w:rPr>
              <w:t>3</w:t>
            </w:r>
            <w:r>
              <w:rPr>
                <w:rFonts w:hint="eastAsia"/>
                <w:color w:val="auto"/>
                <w:sz w:val="24"/>
                <w:highlight w:val="none"/>
                <w:shd w:val="clear" w:color="auto" w:fill="FFFFFF"/>
                <w:lang w:eastAsia="zh-CN"/>
              </w:rPr>
              <w:t>，</w:t>
            </w:r>
            <w:r>
              <w:rPr>
                <w:rFonts w:hint="eastAsia"/>
                <w:color w:val="auto"/>
                <w:sz w:val="24"/>
                <w:shd w:val="clear" w:color="auto" w:fill="FFFFFF"/>
                <w:lang w:val="en-US" w:eastAsia="zh-CN"/>
              </w:rPr>
              <w:t>暂存于一般土石方临时堆场，</w:t>
            </w:r>
            <w:r>
              <w:rPr>
                <w:rFonts w:hint="eastAsia" w:ascii="Times New Roman" w:eastAsia="宋体"/>
                <w:color w:val="auto"/>
                <w:sz w:val="24"/>
                <w:shd w:val="clear" w:color="auto" w:fill="FFFFFF"/>
                <w:lang w:val="en-US" w:eastAsia="zh-CN"/>
              </w:rPr>
              <w:t>运往政府指定弃土场进行处置。</w:t>
            </w:r>
          </w:p>
          <w:p w14:paraId="663EB0A8">
            <w:pPr>
              <w:snapToGrid w:val="0"/>
              <w:spacing w:line="360" w:lineRule="auto"/>
              <w:ind w:firstLine="480" w:firstLineChars="200"/>
              <w:rPr>
                <w:rFonts w:hint="default"/>
                <w:color w:val="auto"/>
                <w:sz w:val="24"/>
                <w:shd w:val="clear" w:color="auto" w:fill="FFFFFF"/>
                <w:lang w:val="en-US" w:eastAsia="zh-CN"/>
              </w:rPr>
            </w:pPr>
            <w:r>
              <w:rPr>
                <w:rFonts w:hint="eastAsia"/>
                <w:color w:val="auto"/>
                <w:sz w:val="24"/>
                <w:shd w:val="clear" w:color="auto" w:fill="FFFFFF"/>
                <w:lang w:val="en-US" w:eastAsia="zh-CN"/>
              </w:rPr>
              <w:t>2、地上工程土石方</w:t>
            </w:r>
          </w:p>
          <w:p w14:paraId="4AAFDA2B">
            <w:pPr>
              <w:snapToGrid w:val="0"/>
              <w:spacing w:line="360" w:lineRule="auto"/>
              <w:ind w:firstLine="480" w:firstLineChars="200"/>
              <w:rPr>
                <w:rFonts w:hint="eastAsia" w:eastAsia="宋体"/>
                <w:color w:val="auto"/>
                <w:sz w:val="24"/>
                <w:shd w:val="clear" w:color="auto" w:fill="FFFFFF"/>
                <w:lang w:val="en-US" w:eastAsia="zh-CN"/>
              </w:rPr>
            </w:pPr>
            <w:r>
              <w:rPr>
                <w:rFonts w:hint="eastAsia"/>
                <w:color w:val="auto"/>
                <w:sz w:val="24"/>
                <w:shd w:val="clear" w:color="auto" w:fill="FFFFFF"/>
                <w:lang w:val="en-US" w:eastAsia="zh-CN"/>
              </w:rPr>
              <w:t>地上</w:t>
            </w:r>
            <w:r>
              <w:rPr>
                <w:rFonts w:hint="eastAsia"/>
                <w:color w:val="auto"/>
                <w:sz w:val="24"/>
                <w:shd w:val="clear" w:color="auto" w:fill="FFFFFF"/>
              </w:rPr>
              <w:t>建筑工程土石方包括场地平整、建筑基础开挖回填</w:t>
            </w:r>
            <w:r>
              <w:rPr>
                <w:rFonts w:hint="eastAsia"/>
                <w:color w:val="auto"/>
                <w:sz w:val="24"/>
                <w:shd w:val="clear" w:color="auto" w:fill="FFFFFF"/>
                <w:lang w:eastAsia="zh-CN"/>
              </w:rPr>
              <w:t>、</w:t>
            </w:r>
            <w:r>
              <w:rPr>
                <w:rFonts w:hint="eastAsia"/>
                <w:color w:val="auto"/>
                <w:sz w:val="24"/>
                <w:shd w:val="clear" w:color="auto" w:fill="FFFFFF"/>
                <w:lang w:val="en-US" w:eastAsia="zh-CN"/>
              </w:rPr>
              <w:t>道路基础回填、绿化覆土回填</w:t>
            </w:r>
            <w:r>
              <w:rPr>
                <w:rFonts w:hint="eastAsia"/>
                <w:color w:val="auto"/>
                <w:sz w:val="24"/>
                <w:shd w:val="clear" w:color="auto" w:fill="FFFFFF"/>
              </w:rPr>
              <w:t>等。</w:t>
            </w:r>
            <w:r>
              <w:rPr>
                <w:rFonts w:hint="eastAsia"/>
                <w:color w:val="auto"/>
                <w:sz w:val="24"/>
                <w:shd w:val="clear" w:color="auto" w:fill="FFFFFF"/>
                <w:lang w:eastAsia="zh-CN"/>
              </w:rPr>
              <w:t>此部分基本按照现状地形修建，土方开挖量为</w:t>
            </w:r>
            <w:r>
              <w:rPr>
                <w:rFonts w:hint="eastAsia"/>
                <w:color w:val="auto"/>
                <w:sz w:val="24"/>
                <w:shd w:val="clear" w:color="auto" w:fill="FFFFFF"/>
                <w:lang w:val="en-US" w:eastAsia="zh-CN"/>
              </w:rPr>
              <w:t>0.2万m</w:t>
            </w:r>
            <w:r>
              <w:rPr>
                <w:rFonts w:hint="eastAsia"/>
                <w:color w:val="auto"/>
                <w:sz w:val="24"/>
                <w:shd w:val="clear" w:color="auto" w:fill="FFFFFF"/>
                <w:vertAlign w:val="superscript"/>
                <w:lang w:val="en-US" w:eastAsia="zh-CN"/>
              </w:rPr>
              <w:t>3</w:t>
            </w:r>
            <w:r>
              <w:rPr>
                <w:rFonts w:hint="eastAsia"/>
                <w:color w:val="auto"/>
                <w:sz w:val="24"/>
                <w:shd w:val="clear" w:color="auto" w:fill="FFFFFF"/>
                <w:vertAlign w:val="baseline"/>
                <w:lang w:val="en-US" w:eastAsia="zh-CN"/>
              </w:rPr>
              <w:t>，回填量为</w:t>
            </w:r>
            <w:r>
              <w:rPr>
                <w:rFonts w:hint="eastAsia"/>
                <w:color w:val="auto"/>
                <w:sz w:val="24"/>
                <w:shd w:val="clear" w:color="auto" w:fill="FFFFFF"/>
                <w:lang w:val="en-US" w:eastAsia="zh-CN"/>
              </w:rPr>
              <w:t>0.2万m</w:t>
            </w:r>
            <w:r>
              <w:rPr>
                <w:rFonts w:hint="eastAsia"/>
                <w:color w:val="auto"/>
                <w:sz w:val="24"/>
                <w:shd w:val="clear" w:color="auto" w:fill="FFFFFF"/>
                <w:vertAlign w:val="superscript"/>
                <w:lang w:val="en-US" w:eastAsia="zh-CN"/>
              </w:rPr>
              <w:t>3</w:t>
            </w:r>
            <w:r>
              <w:rPr>
                <w:rFonts w:hint="eastAsia"/>
                <w:color w:val="auto"/>
                <w:sz w:val="24"/>
                <w:shd w:val="clear" w:color="auto" w:fill="FFFFFF"/>
                <w:lang w:eastAsia="zh-CN"/>
              </w:rPr>
              <w:t>，开挖平衡。</w:t>
            </w:r>
          </w:p>
          <w:p w14:paraId="35C112FF">
            <w:pPr>
              <w:snapToGrid w:val="0"/>
              <w:spacing w:line="360" w:lineRule="auto"/>
              <w:ind w:firstLine="480" w:firstLineChars="200"/>
              <w:rPr>
                <w:rFonts w:hint="default"/>
                <w:color w:val="auto"/>
                <w:sz w:val="24"/>
                <w:shd w:val="clear" w:color="auto" w:fill="FFFFFF"/>
                <w:lang w:val="en-US" w:eastAsia="zh-CN"/>
              </w:rPr>
            </w:pPr>
            <w:r>
              <w:rPr>
                <w:rFonts w:hint="eastAsia"/>
                <w:color w:val="auto"/>
                <w:sz w:val="24"/>
                <w:shd w:val="clear" w:color="auto" w:fill="FFFFFF"/>
                <w:lang w:val="en-US" w:eastAsia="zh-CN"/>
              </w:rPr>
              <w:t>根据现场调查，项目区内现</w:t>
            </w:r>
            <w:r>
              <w:rPr>
                <w:rFonts w:hint="eastAsia" w:ascii="Times New Roman" w:hAnsi="Times New Roman" w:eastAsia="宋体" w:cs="Times New Roman"/>
                <w:color w:val="auto"/>
                <w:sz w:val="24"/>
                <w:shd w:val="clear" w:color="auto" w:fill="FFFFFF"/>
                <w:lang w:val="en-US" w:eastAsia="zh-CN"/>
              </w:rPr>
              <w:t>状为耕地和居住用地等，耕地有可剥离表土，可剥离厚度约20cm，耕地面积为14723.7</w:t>
            </w:r>
            <w:r>
              <w:rPr>
                <w:rFonts w:hint="eastAsia"/>
                <w:color w:val="auto"/>
                <w:sz w:val="24"/>
                <w:shd w:val="clear" w:color="auto" w:fill="FFFFFF"/>
              </w:rPr>
              <w:t>m</w:t>
            </w:r>
            <w:r>
              <w:rPr>
                <w:rFonts w:hint="eastAsia"/>
                <w:color w:val="auto"/>
                <w:sz w:val="24"/>
                <w:shd w:val="clear" w:color="auto" w:fill="FFFFFF"/>
                <w:vertAlign w:val="superscript"/>
              </w:rPr>
              <w:t>2</w:t>
            </w:r>
            <w:r>
              <w:rPr>
                <w:rFonts w:hint="eastAsia" w:ascii="Times New Roman" w:hAnsi="Times New Roman" w:eastAsia="宋体" w:cs="Times New Roman"/>
                <w:color w:val="auto"/>
                <w:sz w:val="24"/>
                <w:shd w:val="clear" w:color="auto" w:fill="FFFFFF"/>
                <w:lang w:val="en-US" w:eastAsia="zh-CN"/>
              </w:rPr>
              <w:t>，可</w:t>
            </w:r>
            <w:r>
              <w:rPr>
                <w:rFonts w:hint="eastAsia"/>
                <w:color w:val="auto"/>
                <w:sz w:val="24"/>
                <w:shd w:val="clear" w:color="auto" w:fill="FFFFFF"/>
                <w:lang w:val="en-US" w:eastAsia="zh-CN"/>
              </w:rPr>
              <w:t>剥离表土量约为0.29万m</w:t>
            </w:r>
            <w:r>
              <w:rPr>
                <w:rFonts w:hint="eastAsia"/>
                <w:color w:val="auto"/>
                <w:sz w:val="24"/>
                <w:shd w:val="clear" w:color="auto" w:fill="FFFFFF"/>
                <w:vertAlign w:val="superscript"/>
                <w:lang w:val="en-US" w:eastAsia="zh-CN"/>
              </w:rPr>
              <w:t>3</w:t>
            </w:r>
            <w:r>
              <w:rPr>
                <w:rFonts w:hint="eastAsia"/>
                <w:color w:val="auto"/>
                <w:sz w:val="24"/>
                <w:shd w:val="clear" w:color="auto" w:fill="FFFFFF"/>
                <w:lang w:val="en-US" w:eastAsia="zh-CN"/>
              </w:rPr>
              <w:t>，暂存于表土临时堆场，用于项目后期绿化回填利用。项目绿化面积为7248.81m</w:t>
            </w:r>
            <w:r>
              <w:rPr>
                <w:rFonts w:hint="eastAsia"/>
                <w:color w:val="auto"/>
                <w:sz w:val="24"/>
                <w:shd w:val="clear" w:color="auto" w:fill="FFFFFF"/>
                <w:vertAlign w:val="superscript"/>
                <w:lang w:val="en-US" w:eastAsia="zh-CN"/>
              </w:rPr>
              <w:t>2</w:t>
            </w:r>
            <w:r>
              <w:rPr>
                <w:rFonts w:hint="eastAsia"/>
                <w:color w:val="auto"/>
                <w:sz w:val="24"/>
                <w:shd w:val="clear" w:color="auto" w:fill="FFFFFF"/>
                <w:lang w:val="en-US" w:eastAsia="zh-CN"/>
              </w:rPr>
              <w:t>，表土回覆厚度约40cm，总表土回覆量为0.29万m</w:t>
            </w:r>
            <w:r>
              <w:rPr>
                <w:rFonts w:hint="eastAsia"/>
                <w:color w:val="auto"/>
                <w:sz w:val="24"/>
                <w:shd w:val="clear" w:color="auto" w:fill="FFFFFF"/>
                <w:vertAlign w:val="superscript"/>
                <w:lang w:val="en-US" w:eastAsia="zh-CN"/>
              </w:rPr>
              <w:t>3</w:t>
            </w:r>
            <w:r>
              <w:rPr>
                <w:rFonts w:hint="eastAsia"/>
                <w:color w:val="auto"/>
                <w:sz w:val="24"/>
                <w:shd w:val="clear" w:color="auto" w:fill="FFFFFF"/>
                <w:lang w:val="en-US" w:eastAsia="zh-CN"/>
              </w:rPr>
              <w:t>。</w:t>
            </w:r>
          </w:p>
          <w:p w14:paraId="72851C84">
            <w:pPr>
              <w:snapToGrid w:val="0"/>
              <w:spacing w:line="360" w:lineRule="auto"/>
              <w:ind w:firstLine="480" w:firstLineChars="200"/>
              <w:rPr>
                <w:rFonts w:hint="default" w:eastAsia="宋体"/>
                <w:color w:val="auto"/>
                <w:sz w:val="24"/>
                <w:shd w:val="clear" w:color="auto" w:fill="FFFFFF"/>
                <w:lang w:val="en-US" w:eastAsia="zh-CN"/>
              </w:rPr>
            </w:pPr>
            <w:r>
              <w:rPr>
                <w:rFonts w:hint="eastAsia"/>
                <w:color w:val="auto"/>
                <w:sz w:val="24"/>
                <w:shd w:val="clear" w:color="auto" w:fill="FFFFFF"/>
                <w:lang w:val="en-US" w:eastAsia="zh-CN"/>
              </w:rPr>
              <w:t>地上建筑</w:t>
            </w:r>
            <w:r>
              <w:rPr>
                <w:rFonts w:hint="eastAsia"/>
                <w:color w:val="auto"/>
                <w:sz w:val="24"/>
                <w:shd w:val="clear" w:color="auto" w:fill="FFFFFF"/>
              </w:rPr>
              <w:t>工程挖方共计</w:t>
            </w:r>
            <w:r>
              <w:rPr>
                <w:rFonts w:hint="eastAsia"/>
                <w:color w:val="auto"/>
                <w:sz w:val="24"/>
                <w:shd w:val="clear" w:color="auto" w:fill="FFFFFF"/>
                <w:lang w:val="en-US" w:eastAsia="zh-CN"/>
              </w:rPr>
              <w:t>0.49</w:t>
            </w:r>
            <w:r>
              <w:rPr>
                <w:rFonts w:hint="eastAsia"/>
                <w:color w:val="auto"/>
                <w:sz w:val="24"/>
                <w:shd w:val="clear" w:color="auto" w:fill="FFFFFF"/>
              </w:rPr>
              <w:t>万m</w:t>
            </w:r>
            <w:r>
              <w:rPr>
                <w:rFonts w:hint="eastAsia"/>
                <w:color w:val="auto"/>
                <w:sz w:val="24"/>
                <w:shd w:val="clear" w:color="auto" w:fill="FFFFFF"/>
                <w:vertAlign w:val="superscript"/>
              </w:rPr>
              <w:t>3</w:t>
            </w:r>
            <w:r>
              <w:rPr>
                <w:rFonts w:hint="eastAsia"/>
                <w:color w:val="auto"/>
                <w:sz w:val="24"/>
                <w:shd w:val="clear" w:color="auto" w:fill="FFFFFF"/>
              </w:rPr>
              <w:t>（含表土0</w:t>
            </w:r>
            <w:r>
              <w:rPr>
                <w:rFonts w:hint="eastAsia"/>
                <w:color w:val="auto"/>
                <w:sz w:val="24"/>
                <w:shd w:val="clear" w:color="auto" w:fill="FFFFFF"/>
                <w:lang w:val="en-US" w:eastAsia="zh-CN"/>
              </w:rPr>
              <w:t>.29</w:t>
            </w:r>
            <w:r>
              <w:rPr>
                <w:rFonts w:hint="eastAsia"/>
                <w:color w:val="auto"/>
                <w:sz w:val="24"/>
                <w:shd w:val="clear" w:color="auto" w:fill="FFFFFF"/>
              </w:rPr>
              <w:t>万m</w:t>
            </w:r>
            <w:r>
              <w:rPr>
                <w:rFonts w:hint="eastAsia"/>
                <w:color w:val="auto"/>
                <w:sz w:val="24"/>
                <w:shd w:val="clear" w:color="auto" w:fill="FFFFFF"/>
                <w:vertAlign w:val="superscript"/>
              </w:rPr>
              <w:t>3</w:t>
            </w:r>
            <w:r>
              <w:rPr>
                <w:rFonts w:hint="eastAsia"/>
                <w:color w:val="auto"/>
                <w:sz w:val="24"/>
                <w:shd w:val="clear" w:color="auto" w:fill="FFFFFF"/>
              </w:rPr>
              <w:t>），土石方回填总量</w:t>
            </w:r>
            <w:r>
              <w:rPr>
                <w:rFonts w:hint="eastAsia"/>
                <w:color w:val="auto"/>
                <w:sz w:val="24"/>
                <w:shd w:val="clear" w:color="auto" w:fill="FFFFFF"/>
                <w:lang w:val="en-US" w:eastAsia="zh-CN"/>
              </w:rPr>
              <w:t>0.49</w:t>
            </w:r>
            <w:r>
              <w:rPr>
                <w:rFonts w:hint="eastAsia"/>
                <w:color w:val="auto"/>
                <w:sz w:val="24"/>
                <w:shd w:val="clear" w:color="auto" w:fill="FFFFFF"/>
              </w:rPr>
              <w:t>万m³（含普通土</w:t>
            </w:r>
            <w:r>
              <w:rPr>
                <w:rFonts w:hint="eastAsia"/>
                <w:color w:val="auto"/>
                <w:sz w:val="24"/>
                <w:shd w:val="clear" w:color="auto" w:fill="FFFFFF"/>
                <w:lang w:val="en-US" w:eastAsia="zh-CN"/>
              </w:rPr>
              <w:t>0.2</w:t>
            </w:r>
            <w:r>
              <w:rPr>
                <w:rFonts w:hint="eastAsia"/>
                <w:color w:val="auto"/>
                <w:sz w:val="24"/>
                <w:shd w:val="clear" w:color="auto" w:fill="FFFFFF"/>
              </w:rPr>
              <w:t>万m</w:t>
            </w:r>
            <w:r>
              <w:rPr>
                <w:rFonts w:hint="eastAsia"/>
                <w:color w:val="auto"/>
                <w:sz w:val="24"/>
                <w:shd w:val="clear" w:color="auto" w:fill="FFFFFF"/>
                <w:vertAlign w:val="superscript"/>
              </w:rPr>
              <w:t>3</w:t>
            </w:r>
            <w:r>
              <w:rPr>
                <w:rFonts w:hint="eastAsia"/>
                <w:color w:val="auto"/>
                <w:sz w:val="24"/>
                <w:shd w:val="clear" w:color="auto" w:fill="FFFFFF"/>
              </w:rPr>
              <w:t>、绿化覆土0</w:t>
            </w:r>
            <w:r>
              <w:rPr>
                <w:rFonts w:hint="eastAsia"/>
                <w:color w:val="auto"/>
                <w:sz w:val="24"/>
                <w:shd w:val="clear" w:color="auto" w:fill="FFFFFF"/>
                <w:lang w:val="en-US" w:eastAsia="zh-CN"/>
              </w:rPr>
              <w:t>.29</w:t>
            </w:r>
            <w:r>
              <w:rPr>
                <w:rFonts w:hint="eastAsia"/>
                <w:color w:val="auto"/>
                <w:sz w:val="24"/>
                <w:shd w:val="clear" w:color="auto" w:fill="FFFFFF"/>
              </w:rPr>
              <w:t>万m³），无借方，填方来源于</w:t>
            </w:r>
            <w:r>
              <w:rPr>
                <w:rFonts w:hint="eastAsia"/>
                <w:color w:val="auto"/>
                <w:sz w:val="24"/>
                <w:shd w:val="clear" w:color="auto" w:fill="FFFFFF"/>
                <w:lang w:eastAsia="zh-CN"/>
              </w:rPr>
              <w:t>土地平整</w:t>
            </w:r>
            <w:r>
              <w:rPr>
                <w:rFonts w:hint="eastAsia"/>
                <w:color w:val="auto"/>
                <w:sz w:val="24"/>
                <w:shd w:val="clear" w:color="auto" w:fill="FFFFFF"/>
              </w:rPr>
              <w:t>开挖</w:t>
            </w:r>
            <w:r>
              <w:rPr>
                <w:rFonts w:hint="eastAsia"/>
                <w:color w:val="auto"/>
                <w:sz w:val="24"/>
                <w:shd w:val="clear" w:color="auto" w:fill="FFFFFF"/>
                <w:lang w:eastAsia="zh-CN"/>
              </w:rPr>
              <w:t>的</w:t>
            </w:r>
            <w:r>
              <w:rPr>
                <w:rFonts w:hint="eastAsia"/>
                <w:color w:val="auto"/>
                <w:sz w:val="24"/>
                <w:shd w:val="clear" w:color="auto" w:fill="FFFFFF"/>
                <w:lang w:val="en-US" w:eastAsia="zh-CN"/>
              </w:rPr>
              <w:t>一般</w:t>
            </w:r>
            <w:r>
              <w:rPr>
                <w:rFonts w:hint="eastAsia"/>
                <w:color w:val="auto"/>
                <w:sz w:val="24"/>
                <w:shd w:val="clear" w:color="auto" w:fill="FFFFFF"/>
              </w:rPr>
              <w:t>土石方</w:t>
            </w:r>
            <w:r>
              <w:rPr>
                <w:rFonts w:hint="eastAsia"/>
                <w:color w:val="auto"/>
                <w:sz w:val="24"/>
                <w:shd w:val="clear" w:color="auto" w:fill="FFFFFF"/>
                <w:lang w:eastAsia="zh-CN"/>
              </w:rPr>
              <w:t>，</w:t>
            </w:r>
            <w:r>
              <w:rPr>
                <w:rFonts w:hint="eastAsia"/>
                <w:color w:val="auto"/>
                <w:sz w:val="24"/>
                <w:shd w:val="clear" w:color="auto" w:fill="FFFFFF"/>
                <w:lang w:val="en-US" w:eastAsia="zh-CN"/>
              </w:rPr>
              <w:t>绿化覆土均来源于前期剥离表土</w:t>
            </w:r>
            <w:r>
              <w:rPr>
                <w:rFonts w:hint="eastAsia"/>
                <w:color w:val="auto"/>
                <w:sz w:val="24"/>
                <w:shd w:val="clear" w:color="auto" w:fill="FFFFFF"/>
              </w:rPr>
              <w:t>。</w:t>
            </w:r>
          </w:p>
          <w:p w14:paraId="43E8777B">
            <w:pPr>
              <w:snapToGrid w:val="0"/>
              <w:spacing w:line="360" w:lineRule="auto"/>
              <w:ind w:firstLine="480" w:firstLineChars="200"/>
              <w:rPr>
                <w:color w:val="auto"/>
                <w:sz w:val="24"/>
                <w:shd w:val="clear" w:color="auto" w:fill="FFFFFF"/>
              </w:rPr>
            </w:pPr>
            <w:r>
              <w:rPr>
                <w:rFonts w:hint="eastAsia"/>
                <w:color w:val="auto"/>
                <w:sz w:val="24"/>
                <w:shd w:val="clear" w:color="auto" w:fill="FFFFFF"/>
                <w:lang w:val="en-US" w:eastAsia="zh-CN"/>
              </w:rPr>
              <w:t>3、</w:t>
            </w:r>
            <w:r>
              <w:rPr>
                <w:rFonts w:hint="eastAsia"/>
                <w:color w:val="auto"/>
                <w:sz w:val="24"/>
                <w:shd w:val="clear" w:color="auto" w:fill="FFFFFF"/>
              </w:rPr>
              <w:t>土石方汇总</w:t>
            </w:r>
          </w:p>
          <w:p w14:paraId="737DFCC9">
            <w:pPr>
              <w:snapToGrid w:val="0"/>
              <w:spacing w:line="360" w:lineRule="auto"/>
              <w:ind w:firstLine="480" w:firstLineChars="200"/>
              <w:rPr>
                <w:color w:val="auto"/>
                <w:sz w:val="24"/>
                <w:highlight w:val="none"/>
                <w:shd w:val="clear" w:color="auto" w:fill="FFFFFF"/>
              </w:rPr>
            </w:pPr>
            <w:r>
              <w:rPr>
                <w:rFonts w:hint="eastAsia"/>
                <w:color w:val="auto"/>
                <w:sz w:val="24"/>
                <w:shd w:val="clear" w:color="auto" w:fill="FFFFFF"/>
              </w:rPr>
              <w:t>本工程土石方开挖总量</w:t>
            </w:r>
            <w:r>
              <w:rPr>
                <w:rFonts w:hint="eastAsia"/>
                <w:color w:val="auto"/>
                <w:sz w:val="24"/>
                <w:shd w:val="clear" w:color="auto" w:fill="FFFFFF"/>
                <w:lang w:val="en-US" w:eastAsia="zh-CN"/>
              </w:rPr>
              <w:t>1.95</w:t>
            </w:r>
            <w:r>
              <w:rPr>
                <w:rFonts w:hint="eastAsia"/>
                <w:color w:val="auto"/>
                <w:sz w:val="24"/>
                <w:shd w:val="clear" w:color="auto" w:fill="FFFFFF"/>
              </w:rPr>
              <w:t>万m³（含表土0.</w:t>
            </w:r>
            <w:r>
              <w:rPr>
                <w:rFonts w:hint="eastAsia"/>
                <w:color w:val="auto"/>
                <w:sz w:val="24"/>
                <w:shd w:val="clear" w:color="auto" w:fill="FFFFFF"/>
                <w:lang w:val="en-US" w:eastAsia="zh-CN"/>
              </w:rPr>
              <w:t>29</w:t>
            </w:r>
            <w:r>
              <w:rPr>
                <w:rFonts w:hint="eastAsia"/>
                <w:color w:val="auto"/>
                <w:sz w:val="24"/>
                <w:shd w:val="clear" w:color="auto" w:fill="FFFFFF"/>
              </w:rPr>
              <w:t>万m</w:t>
            </w:r>
            <w:r>
              <w:rPr>
                <w:rFonts w:hint="eastAsia"/>
                <w:color w:val="auto"/>
                <w:sz w:val="24"/>
                <w:shd w:val="clear" w:color="auto" w:fill="FFFFFF"/>
                <w:vertAlign w:val="superscript"/>
              </w:rPr>
              <w:t>3</w:t>
            </w:r>
            <w:r>
              <w:rPr>
                <w:rFonts w:hint="eastAsia"/>
                <w:color w:val="auto"/>
                <w:sz w:val="24"/>
                <w:shd w:val="clear" w:color="auto" w:fill="FFFFFF"/>
              </w:rPr>
              <w:t>），土石方回填总量</w:t>
            </w:r>
            <w:r>
              <w:rPr>
                <w:rFonts w:hint="eastAsia"/>
                <w:color w:val="auto"/>
                <w:sz w:val="24"/>
                <w:shd w:val="clear" w:color="auto" w:fill="FFFFFF"/>
                <w:lang w:val="en-US" w:eastAsia="zh-CN"/>
              </w:rPr>
              <w:t>0.8</w:t>
            </w:r>
            <w:r>
              <w:rPr>
                <w:rFonts w:hint="eastAsia"/>
                <w:color w:val="auto"/>
                <w:sz w:val="24"/>
                <w:shd w:val="clear" w:color="auto" w:fill="FFFFFF"/>
              </w:rPr>
              <w:t>万m³（含绿化覆土0.</w:t>
            </w:r>
            <w:r>
              <w:rPr>
                <w:rFonts w:hint="eastAsia"/>
                <w:color w:val="auto"/>
                <w:sz w:val="24"/>
                <w:shd w:val="clear" w:color="auto" w:fill="FFFFFF"/>
                <w:lang w:val="en-US" w:eastAsia="zh-CN"/>
              </w:rPr>
              <w:t>29</w:t>
            </w:r>
            <w:r>
              <w:rPr>
                <w:rFonts w:hint="eastAsia"/>
                <w:color w:val="auto"/>
                <w:sz w:val="24"/>
                <w:shd w:val="clear" w:color="auto" w:fill="FFFFFF"/>
              </w:rPr>
              <w:t>万m³），无借方，</w:t>
            </w:r>
            <w:r>
              <w:rPr>
                <w:rFonts w:hint="eastAsia"/>
                <w:color w:val="auto"/>
                <w:sz w:val="24"/>
                <w:highlight w:val="none"/>
                <w:shd w:val="clear" w:color="auto" w:fill="FFFFFF"/>
                <w:lang w:val="en-US" w:eastAsia="zh-CN"/>
              </w:rPr>
              <w:t>弃方1.15万m</w:t>
            </w:r>
            <w:r>
              <w:rPr>
                <w:rFonts w:hint="eastAsia"/>
                <w:color w:val="auto"/>
                <w:sz w:val="24"/>
                <w:highlight w:val="none"/>
                <w:shd w:val="clear" w:color="auto" w:fill="FFFFFF"/>
                <w:vertAlign w:val="superscript"/>
                <w:lang w:val="en-US" w:eastAsia="zh-CN"/>
              </w:rPr>
              <w:t>3</w:t>
            </w:r>
            <w:r>
              <w:rPr>
                <w:rFonts w:hint="eastAsia"/>
                <w:color w:val="auto"/>
                <w:sz w:val="24"/>
                <w:highlight w:val="none"/>
                <w:shd w:val="clear" w:color="auto" w:fill="FFFFFF"/>
                <w:lang w:val="en-US" w:eastAsia="zh-CN"/>
              </w:rPr>
              <w:t>，运至政府指定场所堆放处置</w:t>
            </w:r>
            <w:r>
              <w:rPr>
                <w:rFonts w:hint="eastAsia"/>
                <w:color w:val="auto"/>
                <w:sz w:val="24"/>
                <w:highlight w:val="none"/>
                <w:shd w:val="clear" w:color="auto" w:fill="FFFFFF"/>
              </w:rPr>
              <w:t>。</w:t>
            </w:r>
          </w:p>
          <w:p w14:paraId="5C329D21">
            <w:pPr>
              <w:adjustRightInd w:val="0"/>
              <w:snapToGrid w:val="0"/>
              <w:spacing w:line="360" w:lineRule="auto"/>
              <w:ind w:firstLine="480" w:firstLineChars="200"/>
              <w:rPr>
                <w:color w:val="auto"/>
                <w:sz w:val="24"/>
                <w:highlight w:val="yellow"/>
              </w:rPr>
            </w:pPr>
            <w:r>
              <w:rPr>
                <w:color w:val="auto"/>
                <w:sz w:val="24"/>
              </w:rPr>
              <w:t>建设单位施工过程中应控制</w:t>
            </w:r>
            <w:r>
              <w:rPr>
                <w:rFonts w:hint="eastAsia"/>
                <w:color w:val="auto"/>
                <w:sz w:val="24"/>
                <w:lang w:eastAsia="zh-CN"/>
              </w:rPr>
              <w:t>一般土石方</w:t>
            </w:r>
            <w:r>
              <w:rPr>
                <w:color w:val="auto"/>
                <w:sz w:val="24"/>
              </w:rPr>
              <w:t>临时堆场</w:t>
            </w:r>
            <w:r>
              <w:rPr>
                <w:rFonts w:hint="eastAsia"/>
                <w:color w:val="auto"/>
                <w:sz w:val="24"/>
              </w:rPr>
              <w:t>、表土</w:t>
            </w:r>
            <w:r>
              <w:rPr>
                <w:rFonts w:hint="eastAsia"/>
                <w:color w:val="auto"/>
                <w:sz w:val="24"/>
                <w:lang w:eastAsia="zh-CN"/>
              </w:rPr>
              <w:t>临时</w:t>
            </w:r>
            <w:r>
              <w:rPr>
                <w:rFonts w:hint="eastAsia"/>
                <w:color w:val="auto"/>
                <w:sz w:val="24"/>
              </w:rPr>
              <w:t>堆场</w:t>
            </w:r>
            <w:r>
              <w:rPr>
                <w:color w:val="auto"/>
                <w:sz w:val="24"/>
              </w:rPr>
              <w:t>占地面积和堆放量，及时用于回填，并在临时堆场周围设置</w:t>
            </w:r>
            <w:r>
              <w:rPr>
                <w:rFonts w:hint="eastAsia"/>
                <w:color w:val="auto"/>
                <w:sz w:val="24"/>
                <w:lang w:eastAsia="zh-CN"/>
              </w:rPr>
              <w:t>拦挡</w:t>
            </w:r>
            <w:r>
              <w:rPr>
                <w:rFonts w:hint="eastAsia"/>
                <w:color w:val="auto"/>
                <w:sz w:val="24"/>
              </w:rPr>
              <w:t>及截排水沟</w:t>
            </w:r>
            <w:r>
              <w:rPr>
                <w:rFonts w:hint="eastAsia"/>
                <w:color w:val="auto"/>
                <w:sz w:val="24"/>
                <w:lang w:val="en-US" w:eastAsia="zh-CN"/>
              </w:rPr>
              <w:t>。</w:t>
            </w:r>
            <w:r>
              <w:rPr>
                <w:b/>
                <w:bCs/>
                <w:color w:val="auto"/>
                <w:sz w:val="24"/>
                <w:u w:val="single"/>
              </w:rPr>
              <w:t>本项目不设置渣场，严禁土石方及建筑垃圾倾倒至项目周边地表水体内。</w:t>
            </w:r>
          </w:p>
          <w:p w14:paraId="3CFE2BB8">
            <w:pPr>
              <w:adjustRightInd w:val="0"/>
              <w:snapToGrid w:val="0"/>
              <w:spacing w:line="360" w:lineRule="auto"/>
              <w:ind w:firstLine="482" w:firstLineChars="200"/>
              <w:rPr>
                <w:b/>
                <w:bCs/>
                <w:color w:val="auto"/>
                <w:sz w:val="24"/>
              </w:rPr>
            </w:pPr>
            <w:r>
              <w:rPr>
                <w:rFonts w:hint="eastAsia"/>
                <w:b/>
                <w:bCs/>
                <w:color w:val="auto"/>
                <w:sz w:val="24"/>
              </w:rPr>
              <w:t>七</w:t>
            </w:r>
            <w:r>
              <w:rPr>
                <w:b/>
                <w:bCs/>
                <w:color w:val="auto"/>
                <w:sz w:val="24"/>
              </w:rPr>
              <w:t>、公用工程</w:t>
            </w:r>
          </w:p>
          <w:p w14:paraId="2DD84521">
            <w:pPr>
              <w:adjustRightInd w:val="0"/>
              <w:snapToGrid w:val="0"/>
              <w:spacing w:line="360" w:lineRule="auto"/>
              <w:ind w:firstLine="480" w:firstLineChars="200"/>
              <w:jc w:val="left"/>
              <w:rPr>
                <w:color w:val="auto"/>
                <w:kern w:val="0"/>
                <w:sz w:val="24"/>
                <w:highlight w:val="none"/>
              </w:rPr>
            </w:pPr>
            <w:r>
              <w:rPr>
                <w:color w:val="auto"/>
                <w:kern w:val="0"/>
                <w:sz w:val="24"/>
                <w:highlight w:val="none"/>
              </w:rPr>
              <w:t>1、供电</w:t>
            </w:r>
          </w:p>
          <w:p w14:paraId="1DAD5574">
            <w:pPr>
              <w:adjustRightInd w:val="0"/>
              <w:snapToGrid w:val="0"/>
              <w:spacing w:line="360" w:lineRule="auto"/>
              <w:ind w:firstLine="480" w:firstLineChars="200"/>
              <w:jc w:val="left"/>
              <w:rPr>
                <w:color w:val="auto"/>
                <w:kern w:val="0"/>
                <w:sz w:val="24"/>
                <w:highlight w:val="none"/>
              </w:rPr>
            </w:pPr>
            <w:r>
              <w:rPr>
                <w:rFonts w:hint="eastAsia"/>
                <w:color w:val="auto"/>
                <w:kern w:val="0"/>
                <w:sz w:val="24"/>
                <w:highlight w:val="none"/>
              </w:rPr>
              <w:t>本项目建设用地紧邻市政道路，10KV高压线，本项目用电由该方向高压线接入。由市政引入1路10KV电源至配电房，另外地下室自启动柴油发电机组作为自备电源在市电停电时确保重要负荷用电。</w:t>
            </w:r>
          </w:p>
          <w:p w14:paraId="557E9A27">
            <w:pPr>
              <w:adjustRightInd w:val="0"/>
              <w:snapToGrid w:val="0"/>
              <w:spacing w:line="360" w:lineRule="auto"/>
              <w:ind w:firstLine="480" w:firstLineChars="200"/>
              <w:jc w:val="left"/>
              <w:rPr>
                <w:color w:val="auto"/>
                <w:kern w:val="0"/>
                <w:sz w:val="24"/>
                <w:highlight w:val="none"/>
              </w:rPr>
            </w:pPr>
            <w:r>
              <w:rPr>
                <w:color w:val="auto"/>
                <w:kern w:val="0"/>
                <w:sz w:val="24"/>
                <w:highlight w:val="none"/>
              </w:rPr>
              <w:t>2、给排水系统</w:t>
            </w:r>
          </w:p>
          <w:p w14:paraId="59A50D97">
            <w:pPr>
              <w:adjustRightInd w:val="0"/>
              <w:snapToGrid w:val="0"/>
              <w:spacing w:line="360" w:lineRule="auto"/>
              <w:ind w:firstLine="480" w:firstLineChars="200"/>
              <w:jc w:val="left"/>
              <w:rPr>
                <w:rFonts w:hint="eastAsia"/>
                <w:color w:val="auto"/>
                <w:kern w:val="0"/>
                <w:sz w:val="24"/>
                <w:highlight w:val="none"/>
              </w:rPr>
            </w:pPr>
            <w:r>
              <w:rPr>
                <w:color w:val="auto"/>
                <w:kern w:val="0"/>
                <w:sz w:val="24"/>
                <w:highlight w:val="none"/>
              </w:rPr>
              <w:t>给水系统：</w:t>
            </w:r>
            <w:r>
              <w:rPr>
                <w:rFonts w:hint="eastAsia"/>
                <w:color w:val="auto"/>
                <w:kern w:val="0"/>
                <w:sz w:val="24"/>
                <w:highlight w:val="none"/>
              </w:rPr>
              <w:t>本工程水源为市政自来水，市政给水管道能提供的供水压力为0.35MPa。为了使本工程的用水安全可靠，由市政给水管网不同方向引入1根DN</w:t>
            </w:r>
            <w:r>
              <w:rPr>
                <w:rFonts w:hint="eastAsia"/>
                <w:color w:val="auto"/>
                <w:kern w:val="0"/>
                <w:sz w:val="24"/>
                <w:highlight w:val="none"/>
                <w:lang w:val="en-US" w:eastAsia="zh-CN"/>
              </w:rPr>
              <w:t>150</w:t>
            </w:r>
            <w:r>
              <w:rPr>
                <w:rFonts w:hint="eastAsia"/>
                <w:color w:val="auto"/>
                <w:kern w:val="0"/>
                <w:sz w:val="24"/>
                <w:highlight w:val="none"/>
              </w:rPr>
              <w:t>城市自来水管道，在用地红线范围内形成DN150的环网，该环网为各单体提供低区生活用水，并与室外消防用水管网合用。在引入管上设水表和倒流防止器。</w:t>
            </w:r>
          </w:p>
          <w:p w14:paraId="6B771D8B">
            <w:pPr>
              <w:autoSpaceDE w:val="0"/>
              <w:autoSpaceDN w:val="0"/>
              <w:spacing w:line="360" w:lineRule="auto"/>
              <w:ind w:firstLine="480" w:firstLineChars="200"/>
              <w:rPr>
                <w:b/>
                <w:color w:val="auto"/>
                <w:sz w:val="24"/>
                <w:highlight w:val="none"/>
              </w:rPr>
            </w:pPr>
            <w:r>
              <w:rPr>
                <w:color w:val="auto"/>
                <w:kern w:val="0"/>
                <w:sz w:val="24"/>
                <w:highlight w:val="none"/>
              </w:rPr>
              <w:t>排水系统：本项目采用雨、污分流排水体制。营运期</w:t>
            </w:r>
            <w:r>
              <w:rPr>
                <w:rFonts w:hint="eastAsia"/>
                <w:color w:val="auto"/>
                <w:kern w:val="0"/>
                <w:sz w:val="24"/>
                <w:highlight w:val="none"/>
              </w:rPr>
              <w:t>废水</w:t>
            </w:r>
            <w:r>
              <w:rPr>
                <w:color w:val="auto"/>
                <w:kern w:val="0"/>
                <w:sz w:val="24"/>
                <w:highlight w:val="none"/>
              </w:rPr>
              <w:t>经</w:t>
            </w:r>
            <w:r>
              <w:rPr>
                <w:rFonts w:hint="eastAsia"/>
                <w:color w:val="auto"/>
                <w:kern w:val="0"/>
                <w:sz w:val="24"/>
                <w:highlight w:val="none"/>
                <w:lang w:eastAsia="zh-CN"/>
              </w:rPr>
              <w:t>预处理池处理</w:t>
            </w:r>
            <w:r>
              <w:rPr>
                <w:color w:val="auto"/>
                <w:kern w:val="0"/>
                <w:sz w:val="24"/>
                <w:highlight w:val="none"/>
              </w:rPr>
              <w:t>达到《污水综合排放标准》三级标准后</w:t>
            </w:r>
            <w:r>
              <w:rPr>
                <w:rFonts w:hint="eastAsia" w:ascii="宋体" w:hAnsi="宋体" w:cs="宋体"/>
                <w:color w:val="auto"/>
                <w:sz w:val="24"/>
                <w:highlight w:val="none"/>
              </w:rPr>
              <w:t>通过市政污水管网排放至南江县关坝镇污水处理站</w:t>
            </w:r>
            <w:r>
              <w:rPr>
                <w:color w:val="auto"/>
                <w:kern w:val="0"/>
                <w:sz w:val="24"/>
                <w:highlight w:val="none"/>
              </w:rPr>
              <w:t>，经</w:t>
            </w:r>
            <w:r>
              <w:rPr>
                <w:rFonts w:hint="eastAsia" w:ascii="宋体" w:hAnsi="宋体" w:cs="宋体"/>
                <w:color w:val="auto"/>
                <w:sz w:val="24"/>
                <w:highlight w:val="none"/>
              </w:rPr>
              <w:t>南江县关坝镇污水处理站</w:t>
            </w:r>
            <w:r>
              <w:rPr>
                <w:color w:val="auto"/>
                <w:kern w:val="0"/>
                <w:sz w:val="24"/>
                <w:highlight w:val="none"/>
              </w:rPr>
              <w:t>处理达到《城镇污水处理厂污染物排放标准》（GB18918-2002）中一级A标准后排放至</w:t>
            </w:r>
            <w:r>
              <w:rPr>
                <w:rFonts w:hint="eastAsia"/>
                <w:color w:val="auto"/>
                <w:kern w:val="0"/>
                <w:sz w:val="24"/>
                <w:highlight w:val="none"/>
              </w:rPr>
              <w:t>南江河</w:t>
            </w:r>
            <w:r>
              <w:rPr>
                <w:color w:val="auto"/>
                <w:kern w:val="0"/>
                <w:sz w:val="24"/>
                <w:highlight w:val="none"/>
              </w:rPr>
              <w:t>。</w:t>
            </w:r>
          </w:p>
          <w:p w14:paraId="5C515468">
            <w:pPr>
              <w:autoSpaceDE w:val="0"/>
              <w:autoSpaceDN w:val="0"/>
              <w:spacing w:line="360" w:lineRule="auto"/>
              <w:ind w:firstLine="482" w:firstLineChars="200"/>
              <w:rPr>
                <w:b/>
                <w:color w:val="auto"/>
                <w:sz w:val="24"/>
              </w:rPr>
            </w:pPr>
            <w:r>
              <w:rPr>
                <w:rFonts w:hint="eastAsia"/>
                <w:b/>
                <w:color w:val="auto"/>
                <w:sz w:val="24"/>
              </w:rPr>
              <w:t>项目水平衡：</w:t>
            </w:r>
          </w:p>
          <w:p w14:paraId="0AE044A7">
            <w:pPr>
              <w:autoSpaceDE w:val="0"/>
              <w:autoSpaceDN w:val="0"/>
              <w:spacing w:line="360" w:lineRule="auto"/>
              <w:ind w:firstLine="480" w:firstLineChars="200"/>
              <w:rPr>
                <w:bCs/>
                <w:color w:val="auto"/>
                <w:sz w:val="24"/>
              </w:rPr>
            </w:pPr>
            <w:r>
              <w:rPr>
                <w:rFonts w:hint="eastAsia"/>
                <w:bCs/>
                <w:color w:val="auto"/>
                <w:sz w:val="24"/>
              </w:rPr>
              <w:t>（1）住宅生活用水</w:t>
            </w:r>
          </w:p>
          <w:p w14:paraId="58EDA735">
            <w:pPr>
              <w:autoSpaceDE w:val="0"/>
              <w:autoSpaceDN w:val="0"/>
              <w:spacing w:line="360" w:lineRule="auto"/>
              <w:ind w:firstLine="480" w:firstLineChars="200"/>
              <w:rPr>
                <w:color w:val="auto"/>
                <w:sz w:val="24"/>
                <w:lang w:bidi="ar"/>
              </w:rPr>
            </w:pPr>
            <w:r>
              <w:rPr>
                <w:rFonts w:hint="eastAsia"/>
                <w:color w:val="auto"/>
                <w:sz w:val="24"/>
                <w:lang w:bidi="ar"/>
              </w:rPr>
              <w:t>根据项目设计资料，</w:t>
            </w:r>
            <w:r>
              <w:rPr>
                <w:color w:val="auto"/>
                <w:sz w:val="24"/>
                <w:lang w:bidi="ar"/>
              </w:rPr>
              <w:t>本项目运行后，预计</w:t>
            </w:r>
            <w:r>
              <w:rPr>
                <w:rFonts w:hint="eastAsia"/>
                <w:color w:val="auto"/>
                <w:sz w:val="24"/>
                <w:lang w:eastAsia="zh-CN" w:bidi="ar"/>
              </w:rPr>
              <w:t>租户</w:t>
            </w:r>
            <w:r>
              <w:rPr>
                <w:rFonts w:hint="eastAsia"/>
                <w:color w:val="auto"/>
                <w:sz w:val="24"/>
                <w:lang w:bidi="ar"/>
              </w:rPr>
              <w:t>人数最大为</w:t>
            </w:r>
            <w:r>
              <w:rPr>
                <w:rFonts w:hint="eastAsia"/>
                <w:color w:val="auto"/>
                <w:sz w:val="24"/>
                <w:lang w:val="en-US" w:eastAsia="zh-CN" w:bidi="ar"/>
              </w:rPr>
              <w:t>500</w:t>
            </w:r>
            <w:r>
              <w:rPr>
                <w:rFonts w:hint="eastAsia"/>
                <w:color w:val="auto"/>
                <w:sz w:val="24"/>
                <w:lang w:bidi="ar"/>
              </w:rPr>
              <w:t>人。根据</w:t>
            </w:r>
            <w:r>
              <w:rPr>
                <w:color w:val="auto"/>
                <w:sz w:val="24"/>
                <w:lang w:bidi="ar"/>
              </w:rPr>
              <w:t>《四川省用水定额》（川府函【2021】8号）</w:t>
            </w:r>
            <w:r>
              <w:rPr>
                <w:rFonts w:hint="eastAsia"/>
                <w:color w:val="auto"/>
                <w:sz w:val="24"/>
                <w:lang w:bidi="ar"/>
              </w:rPr>
              <w:t>，</w:t>
            </w:r>
            <w:r>
              <w:rPr>
                <w:rFonts w:hint="eastAsia"/>
                <w:color w:val="auto"/>
                <w:sz w:val="24"/>
                <w:lang w:eastAsia="zh-CN" w:bidi="ar"/>
              </w:rPr>
              <w:t>项目位于南江县关坝镇，属于</w:t>
            </w:r>
            <w:r>
              <w:rPr>
                <w:rFonts w:hint="eastAsia"/>
                <w:color w:val="auto"/>
                <w:sz w:val="24"/>
                <w:lang w:bidi="ar"/>
              </w:rPr>
              <w:t>小城市城镇</w:t>
            </w:r>
            <w:r>
              <w:rPr>
                <w:rFonts w:hint="eastAsia"/>
                <w:color w:val="auto"/>
                <w:sz w:val="24"/>
                <w:lang w:eastAsia="zh-CN" w:bidi="ar"/>
              </w:rPr>
              <w:t>，</w:t>
            </w:r>
            <w:r>
              <w:rPr>
                <w:rFonts w:hint="eastAsia"/>
                <w:color w:val="auto"/>
                <w:sz w:val="24"/>
                <w:lang w:bidi="ar"/>
              </w:rPr>
              <w:t>居民</w:t>
            </w:r>
            <w:r>
              <w:rPr>
                <w:color w:val="auto"/>
                <w:sz w:val="24"/>
                <w:lang w:bidi="ar"/>
              </w:rPr>
              <w:t>生活用水</w:t>
            </w:r>
            <w:r>
              <w:rPr>
                <w:rFonts w:hint="eastAsia"/>
                <w:color w:val="auto"/>
                <w:sz w:val="24"/>
                <w:lang w:bidi="ar"/>
              </w:rPr>
              <w:t>按160</w:t>
            </w:r>
            <w:r>
              <w:rPr>
                <w:color w:val="auto"/>
                <w:sz w:val="24"/>
                <w:lang w:bidi="ar"/>
              </w:rPr>
              <w:t>L/（人·d）</w:t>
            </w:r>
            <w:r>
              <w:rPr>
                <w:rFonts w:hint="eastAsia"/>
                <w:color w:val="auto"/>
                <w:sz w:val="24"/>
                <w:lang w:bidi="ar"/>
              </w:rPr>
              <w:t>计</w:t>
            </w:r>
            <w:r>
              <w:rPr>
                <w:color w:val="auto"/>
                <w:sz w:val="24"/>
                <w:lang w:bidi="ar"/>
              </w:rPr>
              <w:t>，则</w:t>
            </w:r>
            <w:r>
              <w:rPr>
                <w:rFonts w:hint="eastAsia"/>
                <w:color w:val="auto"/>
                <w:sz w:val="24"/>
                <w:lang w:bidi="ar"/>
              </w:rPr>
              <w:t>项目用水量为</w:t>
            </w:r>
            <w:r>
              <w:rPr>
                <w:rFonts w:hint="eastAsia"/>
                <w:color w:val="auto"/>
                <w:sz w:val="24"/>
                <w:lang w:val="en-US" w:eastAsia="zh-CN" w:bidi="ar"/>
              </w:rPr>
              <w:t>80</w:t>
            </w:r>
            <w:r>
              <w:rPr>
                <w:rFonts w:hint="eastAsia"/>
                <w:color w:val="auto"/>
                <w:sz w:val="24"/>
                <w:lang w:bidi="ar"/>
              </w:rPr>
              <w:t>m</w:t>
            </w:r>
            <w:r>
              <w:rPr>
                <w:rFonts w:hint="eastAsia"/>
                <w:color w:val="auto"/>
                <w:sz w:val="24"/>
                <w:vertAlign w:val="superscript"/>
                <w:lang w:bidi="ar"/>
              </w:rPr>
              <w:t>3</w:t>
            </w:r>
            <w:r>
              <w:rPr>
                <w:rFonts w:hint="eastAsia"/>
                <w:color w:val="auto"/>
                <w:sz w:val="24"/>
                <w:lang w:bidi="ar"/>
              </w:rPr>
              <w:t>/d，</w:t>
            </w:r>
            <w:r>
              <w:rPr>
                <w:rFonts w:hint="eastAsia"/>
                <w:color w:val="auto"/>
                <w:sz w:val="24"/>
                <w:lang w:val="en-US" w:eastAsia="zh-CN" w:bidi="ar"/>
              </w:rPr>
              <w:t>29200</w:t>
            </w:r>
            <w:r>
              <w:rPr>
                <w:color w:val="auto"/>
                <w:sz w:val="24"/>
                <w:lang w:bidi="ar"/>
              </w:rPr>
              <w:t>m</w:t>
            </w:r>
            <w:r>
              <w:rPr>
                <w:color w:val="auto"/>
                <w:sz w:val="24"/>
                <w:vertAlign w:val="superscript"/>
                <w:lang w:bidi="ar"/>
              </w:rPr>
              <w:t>3</w:t>
            </w:r>
            <w:r>
              <w:rPr>
                <w:color w:val="auto"/>
                <w:sz w:val="24"/>
                <w:lang w:bidi="ar"/>
              </w:rPr>
              <w:t>/a</w:t>
            </w:r>
            <w:r>
              <w:rPr>
                <w:rFonts w:hint="eastAsia"/>
                <w:color w:val="auto"/>
                <w:sz w:val="24"/>
                <w:lang w:bidi="ar"/>
              </w:rPr>
              <w:t>。</w:t>
            </w:r>
            <w:r>
              <w:rPr>
                <w:color w:val="auto"/>
                <w:sz w:val="24"/>
                <w:lang w:bidi="ar"/>
              </w:rPr>
              <w:t>排水按用水量的8</w:t>
            </w:r>
            <w:r>
              <w:rPr>
                <w:rFonts w:hint="eastAsia"/>
                <w:color w:val="auto"/>
                <w:sz w:val="24"/>
                <w:lang w:val="en-US" w:eastAsia="zh-CN" w:bidi="ar"/>
              </w:rPr>
              <w:t>5</w:t>
            </w:r>
            <w:r>
              <w:rPr>
                <w:color w:val="auto"/>
                <w:sz w:val="24"/>
                <w:lang w:bidi="ar"/>
              </w:rPr>
              <w:t>%计，则本项目</w:t>
            </w:r>
            <w:r>
              <w:rPr>
                <w:rFonts w:hint="eastAsia"/>
                <w:color w:val="auto"/>
                <w:sz w:val="24"/>
                <w:lang w:bidi="ar"/>
              </w:rPr>
              <w:t>住宅</w:t>
            </w:r>
            <w:r>
              <w:rPr>
                <w:color w:val="auto"/>
                <w:sz w:val="24"/>
                <w:lang w:bidi="ar"/>
              </w:rPr>
              <w:t>生活污水排放量为</w:t>
            </w:r>
            <w:r>
              <w:rPr>
                <w:rFonts w:hint="eastAsia"/>
                <w:color w:val="auto"/>
                <w:sz w:val="24"/>
                <w:lang w:val="en-US" w:eastAsia="zh-CN" w:bidi="ar"/>
              </w:rPr>
              <w:t>68</w:t>
            </w:r>
            <w:r>
              <w:rPr>
                <w:rFonts w:hint="eastAsia"/>
                <w:color w:val="auto"/>
                <w:sz w:val="24"/>
                <w:lang w:bidi="ar"/>
              </w:rPr>
              <w:t>m</w:t>
            </w:r>
            <w:r>
              <w:rPr>
                <w:rFonts w:hint="eastAsia"/>
                <w:color w:val="auto"/>
                <w:sz w:val="24"/>
                <w:vertAlign w:val="superscript"/>
                <w:lang w:bidi="ar"/>
              </w:rPr>
              <w:t>3</w:t>
            </w:r>
            <w:r>
              <w:rPr>
                <w:rFonts w:hint="eastAsia"/>
                <w:color w:val="auto"/>
                <w:sz w:val="24"/>
                <w:lang w:bidi="ar"/>
              </w:rPr>
              <w:t>/d，</w:t>
            </w:r>
            <w:r>
              <w:rPr>
                <w:rFonts w:hint="eastAsia"/>
                <w:color w:val="auto"/>
                <w:sz w:val="24"/>
                <w:lang w:val="en-US" w:eastAsia="zh-CN" w:bidi="ar"/>
              </w:rPr>
              <w:t>24820</w:t>
            </w:r>
            <w:r>
              <w:rPr>
                <w:color w:val="auto"/>
                <w:sz w:val="24"/>
                <w:lang w:bidi="ar"/>
              </w:rPr>
              <w:t>m</w:t>
            </w:r>
            <w:r>
              <w:rPr>
                <w:color w:val="auto"/>
                <w:sz w:val="24"/>
                <w:vertAlign w:val="superscript"/>
                <w:lang w:bidi="ar"/>
              </w:rPr>
              <w:t>3</w:t>
            </w:r>
            <w:r>
              <w:rPr>
                <w:color w:val="auto"/>
                <w:sz w:val="24"/>
                <w:lang w:bidi="ar"/>
              </w:rPr>
              <w:t>/a</w:t>
            </w:r>
            <w:r>
              <w:rPr>
                <w:rFonts w:hint="eastAsia"/>
                <w:color w:val="auto"/>
                <w:sz w:val="24"/>
                <w:lang w:bidi="ar"/>
              </w:rPr>
              <w:t>。</w:t>
            </w:r>
          </w:p>
          <w:p w14:paraId="19C348F8">
            <w:pPr>
              <w:autoSpaceDE w:val="0"/>
              <w:autoSpaceDN w:val="0"/>
              <w:spacing w:line="360" w:lineRule="auto"/>
              <w:ind w:firstLine="480" w:firstLineChars="200"/>
              <w:rPr>
                <w:bCs/>
                <w:color w:val="auto"/>
                <w:sz w:val="24"/>
              </w:rPr>
            </w:pPr>
            <w:r>
              <w:rPr>
                <w:rFonts w:hint="eastAsia"/>
                <w:color w:val="auto"/>
                <w:sz w:val="24"/>
                <w:lang w:bidi="ar"/>
              </w:rPr>
              <w:t>（2）</w:t>
            </w:r>
            <w:r>
              <w:rPr>
                <w:rFonts w:hint="eastAsia"/>
                <w:bCs/>
                <w:color w:val="auto"/>
                <w:sz w:val="24"/>
              </w:rPr>
              <w:t>绿化用水</w:t>
            </w:r>
          </w:p>
          <w:p w14:paraId="40E7903B">
            <w:pPr>
              <w:autoSpaceDE w:val="0"/>
              <w:autoSpaceDN w:val="0"/>
              <w:spacing w:line="360" w:lineRule="auto"/>
              <w:ind w:firstLine="480" w:firstLineChars="200"/>
              <w:rPr>
                <w:bCs/>
                <w:color w:val="auto"/>
                <w:sz w:val="24"/>
              </w:rPr>
            </w:pPr>
            <w:r>
              <w:rPr>
                <w:rFonts w:hint="eastAsia"/>
                <w:bCs/>
                <w:color w:val="auto"/>
                <w:sz w:val="24"/>
              </w:rPr>
              <w:t>根据</w:t>
            </w:r>
            <w:r>
              <w:rPr>
                <w:rFonts w:hint="eastAsia"/>
                <w:color w:val="auto"/>
                <w:sz w:val="24"/>
                <w:lang w:bidi="ar"/>
              </w:rPr>
              <w:t>项目设计</w:t>
            </w:r>
            <w:r>
              <w:rPr>
                <w:rFonts w:hint="eastAsia"/>
                <w:bCs/>
                <w:color w:val="auto"/>
                <w:sz w:val="24"/>
              </w:rPr>
              <w:t>资料，项目占地面积为</w:t>
            </w:r>
            <w:r>
              <w:rPr>
                <w:rFonts w:hint="eastAsia"/>
                <w:bCs/>
                <w:color w:val="auto"/>
                <w:sz w:val="24"/>
                <w:lang w:val="en-US" w:eastAsia="zh-CN"/>
              </w:rPr>
              <w:t>20710.88</w:t>
            </w:r>
            <w:r>
              <w:rPr>
                <w:rFonts w:hint="eastAsia"/>
                <w:color w:val="auto"/>
                <w:sz w:val="24"/>
                <w:lang w:bidi="ar"/>
              </w:rPr>
              <w:t>m</w:t>
            </w:r>
            <w:r>
              <w:rPr>
                <w:rFonts w:hint="eastAsia"/>
                <w:color w:val="auto"/>
                <w:sz w:val="24"/>
                <w:vertAlign w:val="superscript"/>
                <w:lang w:bidi="ar"/>
              </w:rPr>
              <w:t>2</w:t>
            </w:r>
            <w:r>
              <w:rPr>
                <w:rFonts w:hint="eastAsia"/>
                <w:color w:val="auto"/>
                <w:sz w:val="24"/>
                <w:lang w:bidi="ar"/>
              </w:rPr>
              <w:t>，绿地率为3</w:t>
            </w:r>
            <w:r>
              <w:rPr>
                <w:rFonts w:hint="eastAsia"/>
                <w:color w:val="auto"/>
                <w:sz w:val="24"/>
                <w:lang w:val="en-US" w:eastAsia="zh-CN" w:bidi="ar"/>
              </w:rPr>
              <w:t>5</w:t>
            </w:r>
            <w:r>
              <w:rPr>
                <w:rFonts w:hint="eastAsia"/>
                <w:color w:val="auto"/>
                <w:sz w:val="24"/>
                <w:lang w:bidi="ar"/>
              </w:rPr>
              <w:t>%，则绿化面积为</w:t>
            </w:r>
            <w:r>
              <w:rPr>
                <w:rFonts w:hint="eastAsia"/>
                <w:color w:val="auto"/>
                <w:sz w:val="24"/>
                <w:lang w:val="en-US" w:eastAsia="zh-CN" w:bidi="ar"/>
              </w:rPr>
              <w:t>7248.81</w:t>
            </w:r>
            <w:r>
              <w:rPr>
                <w:rFonts w:hint="eastAsia"/>
                <w:color w:val="auto"/>
                <w:sz w:val="24"/>
                <w:lang w:bidi="ar"/>
              </w:rPr>
              <w:t>m</w:t>
            </w:r>
            <w:r>
              <w:rPr>
                <w:rFonts w:hint="eastAsia"/>
                <w:color w:val="auto"/>
                <w:sz w:val="24"/>
                <w:vertAlign w:val="superscript"/>
                <w:lang w:bidi="ar"/>
              </w:rPr>
              <w:t>2</w:t>
            </w:r>
            <w:r>
              <w:rPr>
                <w:rFonts w:hint="eastAsia"/>
                <w:color w:val="auto"/>
                <w:sz w:val="24"/>
                <w:lang w:bidi="ar"/>
              </w:rPr>
              <w:t>，根据</w:t>
            </w:r>
            <w:r>
              <w:rPr>
                <w:color w:val="auto"/>
                <w:sz w:val="24"/>
                <w:lang w:bidi="ar"/>
              </w:rPr>
              <w:t>《四川省用水定额》（川府函【2021】8号）</w:t>
            </w:r>
            <w:r>
              <w:rPr>
                <w:rFonts w:hint="eastAsia"/>
                <w:color w:val="auto"/>
                <w:sz w:val="24"/>
                <w:lang w:bidi="ar"/>
              </w:rPr>
              <w:t>，绿化管理用水为0.55m</w:t>
            </w:r>
            <w:r>
              <w:rPr>
                <w:rFonts w:hint="eastAsia"/>
                <w:color w:val="auto"/>
                <w:sz w:val="24"/>
                <w:vertAlign w:val="superscript"/>
                <w:lang w:bidi="ar"/>
              </w:rPr>
              <w:t>3</w:t>
            </w:r>
            <w:r>
              <w:rPr>
                <w:rFonts w:hint="eastAsia"/>
                <w:color w:val="auto"/>
                <w:sz w:val="24"/>
                <w:lang w:bidi="ar"/>
              </w:rPr>
              <w:t>/m</w:t>
            </w:r>
            <w:r>
              <w:rPr>
                <w:rFonts w:hint="eastAsia"/>
                <w:color w:val="auto"/>
                <w:sz w:val="24"/>
                <w:vertAlign w:val="superscript"/>
                <w:lang w:bidi="ar"/>
              </w:rPr>
              <w:t>2</w:t>
            </w:r>
            <w:r>
              <w:rPr>
                <w:color w:val="auto"/>
                <w:sz w:val="24"/>
                <w:lang w:bidi="ar"/>
              </w:rPr>
              <w:t>·</w:t>
            </w:r>
            <w:r>
              <w:rPr>
                <w:rFonts w:hint="eastAsia"/>
                <w:color w:val="auto"/>
                <w:sz w:val="24"/>
                <w:lang w:bidi="ar"/>
              </w:rPr>
              <w:t>a，则本项目绿化用水量为</w:t>
            </w:r>
            <w:r>
              <w:rPr>
                <w:rFonts w:hint="eastAsia"/>
                <w:color w:val="auto"/>
                <w:sz w:val="24"/>
                <w:lang w:val="en-US" w:eastAsia="zh-CN" w:bidi="ar"/>
              </w:rPr>
              <w:t>3986.85</w:t>
            </w:r>
            <w:r>
              <w:rPr>
                <w:rFonts w:hint="eastAsia"/>
                <w:color w:val="auto"/>
                <w:sz w:val="24"/>
                <w:lang w:bidi="ar"/>
              </w:rPr>
              <w:t>m</w:t>
            </w:r>
            <w:r>
              <w:rPr>
                <w:rFonts w:hint="eastAsia"/>
                <w:color w:val="auto"/>
                <w:sz w:val="24"/>
                <w:vertAlign w:val="superscript"/>
                <w:lang w:bidi="ar"/>
              </w:rPr>
              <w:t>3</w:t>
            </w:r>
            <w:r>
              <w:rPr>
                <w:rFonts w:hint="eastAsia"/>
                <w:color w:val="auto"/>
                <w:sz w:val="24"/>
                <w:lang w:bidi="ar"/>
              </w:rPr>
              <w:t>/a，</w:t>
            </w:r>
            <w:r>
              <w:rPr>
                <w:rFonts w:hint="eastAsia"/>
                <w:color w:val="auto"/>
                <w:sz w:val="24"/>
                <w:lang w:val="en-US" w:eastAsia="zh-CN" w:bidi="ar"/>
              </w:rPr>
              <w:t>10.92</w:t>
            </w:r>
            <w:r>
              <w:rPr>
                <w:rFonts w:hint="eastAsia"/>
                <w:color w:val="auto"/>
                <w:sz w:val="24"/>
                <w:lang w:bidi="ar"/>
              </w:rPr>
              <w:t>m</w:t>
            </w:r>
            <w:r>
              <w:rPr>
                <w:rFonts w:hint="eastAsia"/>
                <w:color w:val="auto"/>
                <w:sz w:val="24"/>
                <w:vertAlign w:val="superscript"/>
                <w:lang w:bidi="ar"/>
              </w:rPr>
              <w:t>3</w:t>
            </w:r>
            <w:r>
              <w:rPr>
                <w:rFonts w:hint="eastAsia"/>
                <w:color w:val="auto"/>
                <w:sz w:val="24"/>
                <w:lang w:bidi="ar"/>
              </w:rPr>
              <w:t>/d。绿化用水全部蒸发。</w:t>
            </w:r>
          </w:p>
          <w:p w14:paraId="10791B3C">
            <w:pPr>
              <w:autoSpaceDE w:val="0"/>
              <w:autoSpaceDN w:val="0"/>
              <w:spacing w:line="360" w:lineRule="auto"/>
              <w:ind w:firstLine="480" w:firstLineChars="200"/>
              <w:rPr>
                <w:bCs/>
                <w:color w:val="auto"/>
                <w:sz w:val="24"/>
              </w:rPr>
            </w:pPr>
            <w:r>
              <w:rPr>
                <w:rFonts w:hint="eastAsia"/>
                <w:bCs/>
                <w:color w:val="auto"/>
                <w:sz w:val="24"/>
              </w:rPr>
              <w:t>（</w:t>
            </w:r>
            <w:r>
              <w:rPr>
                <w:rFonts w:hint="eastAsia"/>
                <w:bCs/>
                <w:color w:val="auto"/>
                <w:sz w:val="24"/>
                <w:lang w:val="en-US" w:eastAsia="zh-CN"/>
              </w:rPr>
              <w:t>3</w:t>
            </w:r>
            <w:r>
              <w:rPr>
                <w:rFonts w:hint="eastAsia"/>
                <w:bCs/>
                <w:color w:val="auto"/>
                <w:sz w:val="24"/>
              </w:rPr>
              <w:t>）不可预见用水</w:t>
            </w:r>
          </w:p>
          <w:p w14:paraId="0AF04D51">
            <w:pPr>
              <w:autoSpaceDE w:val="0"/>
              <w:autoSpaceDN w:val="0"/>
              <w:spacing w:line="360" w:lineRule="auto"/>
              <w:ind w:firstLine="480" w:firstLineChars="200"/>
              <w:rPr>
                <w:bCs/>
                <w:color w:val="auto"/>
                <w:sz w:val="24"/>
              </w:rPr>
            </w:pPr>
            <w:r>
              <w:rPr>
                <w:rFonts w:hint="eastAsia"/>
                <w:bCs/>
                <w:color w:val="auto"/>
                <w:sz w:val="24"/>
              </w:rPr>
              <w:t>本项目不可预见用水按总用水量1%计，则不可预计用水量为</w:t>
            </w:r>
            <w:r>
              <w:rPr>
                <w:rFonts w:hint="eastAsia"/>
                <w:bCs/>
                <w:color w:val="auto"/>
                <w:sz w:val="24"/>
                <w:lang w:val="en-US" w:eastAsia="zh-CN"/>
              </w:rPr>
              <w:t>0.91</w:t>
            </w:r>
            <w:r>
              <w:rPr>
                <w:color w:val="auto"/>
                <w:sz w:val="24"/>
                <w:lang w:bidi="ar"/>
              </w:rPr>
              <w:t>m</w:t>
            </w:r>
            <w:r>
              <w:rPr>
                <w:color w:val="auto"/>
                <w:sz w:val="24"/>
                <w:vertAlign w:val="superscript"/>
                <w:lang w:bidi="ar"/>
              </w:rPr>
              <w:t>3</w:t>
            </w:r>
            <w:r>
              <w:rPr>
                <w:bCs/>
                <w:color w:val="auto"/>
                <w:sz w:val="24"/>
              </w:rPr>
              <w:t>/d</w:t>
            </w:r>
            <w:r>
              <w:rPr>
                <w:rFonts w:hint="eastAsia"/>
                <w:bCs/>
                <w:color w:val="auto"/>
                <w:sz w:val="24"/>
              </w:rPr>
              <w:t>，</w:t>
            </w:r>
            <w:r>
              <w:rPr>
                <w:rFonts w:hint="eastAsia"/>
                <w:bCs/>
                <w:color w:val="auto"/>
                <w:sz w:val="24"/>
                <w:lang w:val="en-US" w:eastAsia="zh-CN"/>
              </w:rPr>
              <w:t>332.15</w:t>
            </w:r>
            <w:r>
              <w:rPr>
                <w:rFonts w:hint="eastAsia"/>
                <w:bCs/>
                <w:color w:val="auto"/>
                <w:sz w:val="24"/>
              </w:rPr>
              <w:t>m</w:t>
            </w:r>
            <w:r>
              <w:rPr>
                <w:rFonts w:hint="eastAsia"/>
                <w:bCs/>
                <w:color w:val="auto"/>
                <w:sz w:val="24"/>
                <w:vertAlign w:val="superscript"/>
              </w:rPr>
              <w:t>3</w:t>
            </w:r>
            <w:r>
              <w:rPr>
                <w:rFonts w:hint="eastAsia"/>
                <w:bCs/>
                <w:color w:val="auto"/>
                <w:sz w:val="24"/>
              </w:rPr>
              <w:t>/a，以全部蒸发计。</w:t>
            </w:r>
          </w:p>
          <w:p w14:paraId="1D35C4B5">
            <w:pPr>
              <w:autoSpaceDE w:val="0"/>
              <w:autoSpaceDN w:val="0"/>
              <w:spacing w:line="360" w:lineRule="auto"/>
              <w:ind w:firstLine="480" w:firstLineChars="200"/>
              <w:rPr>
                <w:bCs/>
                <w:color w:val="auto"/>
                <w:sz w:val="24"/>
              </w:rPr>
            </w:pPr>
            <w:r>
              <w:rPr>
                <w:rFonts w:hint="eastAsia"/>
                <w:bCs/>
                <w:color w:val="auto"/>
                <w:sz w:val="24"/>
              </w:rPr>
              <w:t>项目水平衡图：</w:t>
            </w:r>
          </w:p>
          <w:p w14:paraId="6035E40F">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color w:val="auto"/>
                <w:kern w:val="0"/>
                <w:sz w:val="24"/>
              </w:rPr>
            </w:pPr>
            <w:r>
              <w:rPr>
                <w:color w:val="auto"/>
                <w:kern w:val="0"/>
                <w:sz w:val="24"/>
              </w:rPr>
              <w:object>
                <v:shape id="_x0000_i1026" o:spt="75" type="#_x0000_t75" style="height:177pt;width:360.9pt;" o:ole="t" filled="f" o:preferrelative="t" stroked="f" coordsize="21600,21600">
                  <v:path/>
                  <v:fill on="f" focussize="0,0"/>
                  <v:stroke on="f"/>
                  <v:imagedata r:id="rId13" o:title=""/>
                  <o:lock v:ext="edit" aspectratio="f"/>
                  <w10:wrap type="none"/>
                  <w10:anchorlock/>
                </v:shape>
                <o:OLEObject Type="Embed" ProgID="Visio.Drawing.15" ShapeID="_x0000_i1026" DrawAspect="Content" ObjectID="_1468075726" r:id="rId12">
                  <o:LockedField>false</o:LockedField>
                </o:OLEObject>
              </w:object>
            </w:r>
          </w:p>
          <w:p w14:paraId="265EC72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color w:val="auto"/>
                <w:kern w:val="0"/>
                <w:sz w:val="24"/>
              </w:rPr>
            </w:pPr>
            <w:r>
              <w:rPr>
                <w:b/>
                <w:bCs/>
                <w:color w:val="auto"/>
                <w:szCs w:val="21"/>
              </w:rPr>
              <w:t>图</w:t>
            </w:r>
            <w:r>
              <w:rPr>
                <w:rFonts w:hint="eastAsia"/>
                <w:b/>
                <w:bCs/>
                <w:color w:val="auto"/>
                <w:szCs w:val="21"/>
              </w:rPr>
              <w:t>2-</w:t>
            </w:r>
            <w:r>
              <w:rPr>
                <w:rFonts w:hint="eastAsia"/>
                <w:b/>
                <w:bCs/>
                <w:color w:val="auto"/>
                <w:szCs w:val="21"/>
                <w:lang w:val="en-US" w:eastAsia="zh-CN"/>
              </w:rPr>
              <w:t>1</w:t>
            </w:r>
            <w:r>
              <w:rPr>
                <w:b/>
                <w:bCs/>
                <w:color w:val="auto"/>
                <w:szCs w:val="21"/>
              </w:rPr>
              <w:t>项目水平衡图（单位：m</w:t>
            </w:r>
            <w:r>
              <w:rPr>
                <w:b/>
                <w:bCs/>
                <w:color w:val="auto"/>
                <w:szCs w:val="21"/>
                <w:vertAlign w:val="superscript"/>
              </w:rPr>
              <w:t>3</w:t>
            </w:r>
            <w:r>
              <w:rPr>
                <w:rFonts w:hint="eastAsia"/>
                <w:b/>
                <w:bCs/>
                <w:color w:val="auto"/>
                <w:szCs w:val="21"/>
                <w:vertAlign w:val="baseline"/>
                <w:lang w:val="en-US" w:eastAsia="zh-CN"/>
              </w:rPr>
              <w:t>/</w:t>
            </w:r>
            <w:r>
              <w:rPr>
                <w:rFonts w:hint="eastAsia"/>
                <w:b/>
                <w:bCs/>
                <w:color w:val="auto"/>
                <w:szCs w:val="21"/>
              </w:rPr>
              <w:t>d</w:t>
            </w:r>
            <w:r>
              <w:rPr>
                <w:b/>
                <w:bCs/>
                <w:color w:val="auto"/>
                <w:szCs w:val="21"/>
              </w:rPr>
              <w:t>）</w:t>
            </w:r>
          </w:p>
          <w:p w14:paraId="48569DF8">
            <w:pPr>
              <w:adjustRightInd w:val="0"/>
              <w:snapToGrid w:val="0"/>
              <w:spacing w:line="360" w:lineRule="auto"/>
              <w:ind w:firstLine="480" w:firstLineChars="200"/>
              <w:jc w:val="left"/>
              <w:rPr>
                <w:color w:val="auto"/>
                <w:kern w:val="0"/>
                <w:sz w:val="24"/>
              </w:rPr>
            </w:pPr>
            <w:r>
              <w:rPr>
                <w:color w:val="auto"/>
                <w:kern w:val="0"/>
                <w:sz w:val="24"/>
              </w:rPr>
              <w:t>3、暖通</w:t>
            </w:r>
          </w:p>
          <w:p w14:paraId="207D5F5D">
            <w:pPr>
              <w:adjustRightInd w:val="0"/>
              <w:snapToGrid w:val="0"/>
              <w:spacing w:line="360" w:lineRule="auto"/>
              <w:ind w:firstLine="480" w:firstLineChars="200"/>
              <w:rPr>
                <w:color w:val="auto"/>
                <w:kern w:val="0"/>
                <w:sz w:val="24"/>
              </w:rPr>
            </w:pPr>
            <w:r>
              <w:rPr>
                <w:rFonts w:hint="eastAsia"/>
                <w:color w:val="auto"/>
                <w:kern w:val="0"/>
                <w:sz w:val="24"/>
              </w:rPr>
              <w:t>（1）空调</w:t>
            </w:r>
          </w:p>
          <w:p w14:paraId="270CB7AD">
            <w:pPr>
              <w:adjustRightInd w:val="0"/>
              <w:snapToGrid w:val="0"/>
              <w:spacing w:line="360" w:lineRule="auto"/>
              <w:ind w:firstLine="480" w:firstLineChars="200"/>
              <w:rPr>
                <w:color w:val="auto"/>
                <w:kern w:val="0"/>
                <w:sz w:val="24"/>
              </w:rPr>
            </w:pPr>
            <w:r>
              <w:rPr>
                <w:rFonts w:hint="eastAsia"/>
                <w:color w:val="auto"/>
                <w:kern w:val="0"/>
                <w:sz w:val="24"/>
              </w:rPr>
              <w:t>项目</w:t>
            </w:r>
            <w:r>
              <w:rPr>
                <w:color w:val="auto"/>
                <w:kern w:val="0"/>
                <w:sz w:val="24"/>
              </w:rPr>
              <w:t>住宅客厅、主卧均预留分体空调，由业主自行安装，采用环保冷媒。分体空调器符合国家现行标准《房间空气调节器能效限定值及能效等级》GB21445-2019中规定的</w:t>
            </w:r>
            <w:bookmarkStart w:id="11" w:name="_GoBack"/>
            <w:bookmarkEnd w:id="11"/>
            <w:r>
              <w:rPr>
                <w:color w:val="auto"/>
                <w:kern w:val="0"/>
                <w:sz w:val="24"/>
              </w:rPr>
              <w:t>二级能效标准。</w:t>
            </w:r>
          </w:p>
          <w:p w14:paraId="2775E310">
            <w:pPr>
              <w:adjustRightInd w:val="0"/>
              <w:snapToGrid w:val="0"/>
              <w:spacing w:line="360" w:lineRule="auto"/>
              <w:ind w:firstLine="480" w:firstLineChars="200"/>
              <w:rPr>
                <w:color w:val="auto"/>
                <w:kern w:val="0"/>
                <w:sz w:val="24"/>
              </w:rPr>
            </w:pPr>
            <w:r>
              <w:rPr>
                <w:rFonts w:hint="eastAsia"/>
                <w:color w:val="auto"/>
                <w:kern w:val="0"/>
                <w:sz w:val="24"/>
              </w:rPr>
              <w:t>（2）通风</w:t>
            </w:r>
          </w:p>
          <w:p w14:paraId="587CE3C3">
            <w:pPr>
              <w:adjustRightInd w:val="0"/>
              <w:snapToGrid w:val="0"/>
              <w:spacing w:line="360" w:lineRule="auto"/>
              <w:ind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kern w:val="0"/>
                <w:sz w:val="24"/>
              </w:rPr>
              <w:t>①地下汽车库设置通风及排烟系统，平时排风，火灾时排烟，排风量均按</w:t>
            </w:r>
            <w:r>
              <w:rPr>
                <w:rFonts w:hint="eastAsia" w:ascii="Times New Roman" w:hAnsi="Times New Roman" w:cs="Times New Roman"/>
                <w:color w:val="auto"/>
                <w:kern w:val="0"/>
                <w:sz w:val="24"/>
                <w:lang w:val="en-US" w:eastAsia="zh-CN"/>
              </w:rPr>
              <w:t>4</w:t>
            </w:r>
            <w:r>
              <w:rPr>
                <w:rFonts w:hint="default" w:ascii="Times New Roman" w:hAnsi="Times New Roman" w:cs="Times New Roman"/>
                <w:color w:val="auto"/>
                <w:kern w:val="0"/>
                <w:sz w:val="24"/>
              </w:rPr>
              <w:t>次/h换气次数计算。利用车道自然进风(没有条件的采用机械补风，补风量大于排风量的50%)</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排烟风机入口设280</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排烟阀，联锁风机停运。</w:t>
            </w:r>
          </w:p>
          <w:p w14:paraId="790F381A">
            <w:pPr>
              <w:adjustRightInd w:val="0"/>
              <w:snapToGrid w:val="0"/>
              <w:spacing w:line="360" w:lineRule="auto"/>
              <w:ind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kern w:val="0"/>
                <w:sz w:val="24"/>
              </w:rPr>
              <w:t>②变配电室通风按排风量</w:t>
            </w:r>
            <w:r>
              <w:rPr>
                <w:rFonts w:hint="eastAsia" w:ascii="Times New Roman" w:hAnsi="Times New Roman" w:cs="Times New Roman"/>
                <w:color w:val="auto"/>
                <w:kern w:val="0"/>
                <w:sz w:val="24"/>
                <w:lang w:val="en-US" w:eastAsia="zh-CN"/>
              </w:rPr>
              <w:t>12</w:t>
            </w:r>
            <w:r>
              <w:rPr>
                <w:rFonts w:hint="default" w:ascii="Times New Roman" w:hAnsi="Times New Roman" w:cs="Times New Roman"/>
                <w:color w:val="auto"/>
                <w:kern w:val="0"/>
                <w:sz w:val="24"/>
              </w:rPr>
              <w:t>次/h换气次数设置机械通风系统。进出口均设70</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电动防火阀，火灾时关闭，并启动气体灭火系统</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灭火后开启70</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电动防火阀和风机，向外排出灭火气体。</w:t>
            </w:r>
          </w:p>
          <w:p w14:paraId="2043301A">
            <w:pPr>
              <w:adjustRightInd w:val="0"/>
              <w:snapToGrid w:val="0"/>
              <w:spacing w:line="360" w:lineRule="auto"/>
              <w:ind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kern w:val="0"/>
                <w:sz w:val="24"/>
              </w:rPr>
              <w:t>③泵房按排风量6次/h换气次数设置机械进、排风系统。</w:t>
            </w:r>
          </w:p>
          <w:p w14:paraId="3D413756">
            <w:pPr>
              <w:adjustRightInd w:val="0"/>
              <w:snapToGrid w:val="0"/>
              <w:spacing w:line="360" w:lineRule="auto"/>
              <w:ind w:firstLine="480" w:firstLineChars="200"/>
              <w:rPr>
                <w:rFonts w:hint="default" w:ascii="Times New Roman" w:hAnsi="Times New Roman" w:cs="Times New Roman"/>
                <w:color w:val="auto"/>
                <w:kern w:val="0"/>
                <w:sz w:val="24"/>
              </w:rPr>
            </w:pPr>
            <w:r>
              <w:rPr>
                <w:rFonts w:hint="eastAsia" w:ascii="宋体" w:hAnsi="宋体" w:cs="宋体"/>
                <w:color w:val="auto"/>
                <w:kern w:val="0"/>
                <w:sz w:val="24"/>
              </w:rPr>
              <w:t>④</w:t>
            </w:r>
            <w:r>
              <w:rPr>
                <w:rFonts w:hint="default" w:ascii="Times New Roman" w:hAnsi="Times New Roman" w:cs="Times New Roman"/>
                <w:color w:val="auto"/>
                <w:kern w:val="0"/>
                <w:sz w:val="24"/>
              </w:rPr>
              <w:t>柴油发电机排烟高空排放，送风量为排风量和燃烧空气量之和，进出口均设70</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电动防火阀，火灾时关闭，启动气体灭火:灭火后开启70℃电动防火阀和风机，向外排出灭火气体。储油间设防爆风机排风。</w:t>
            </w:r>
          </w:p>
          <w:p w14:paraId="43A7E29A">
            <w:pPr>
              <w:adjustRightInd w:val="0"/>
              <w:snapToGrid w:val="0"/>
              <w:spacing w:line="360" w:lineRule="auto"/>
              <w:ind w:firstLine="480" w:firstLineChars="200"/>
              <w:rPr>
                <w:rFonts w:hint="default" w:ascii="Times New Roman" w:hAnsi="Times New Roman" w:cs="Times New Roman"/>
                <w:color w:val="auto"/>
                <w:kern w:val="0"/>
                <w:sz w:val="24"/>
              </w:rPr>
            </w:pPr>
            <w:r>
              <w:rPr>
                <w:rFonts w:hint="eastAsia" w:ascii="宋体" w:hAnsi="宋体" w:cs="宋体"/>
                <w:color w:val="auto"/>
                <w:kern w:val="0"/>
                <w:sz w:val="24"/>
              </w:rPr>
              <w:t>⑤</w:t>
            </w:r>
            <w:r>
              <w:rPr>
                <w:rFonts w:hint="default" w:ascii="Times New Roman" w:hAnsi="Times New Roman" w:cs="Times New Roman"/>
                <w:color w:val="auto"/>
                <w:kern w:val="0"/>
                <w:sz w:val="24"/>
              </w:rPr>
              <w:t>地下室长度超过20m的内走道设机械排烟系统排烟量按排烟分区60</w:t>
            </w:r>
            <w:r>
              <w:rPr>
                <w:rFonts w:hint="eastAsia" w:ascii="Times New Roman" w:hAnsi="Times New Roman" w:cs="Times New Roman"/>
                <w:color w:val="auto"/>
                <w:kern w:val="0"/>
                <w:sz w:val="24"/>
                <w:lang w:val="en-US" w:eastAsia="zh-CN"/>
              </w:rPr>
              <w:t>m</w:t>
            </w:r>
            <w:r>
              <w:rPr>
                <w:rFonts w:hint="eastAsia" w:ascii="Times New Roman" w:hAnsi="Times New Roman" w:cs="Times New Roman"/>
                <w:color w:val="auto"/>
                <w:kern w:val="0"/>
                <w:sz w:val="24"/>
                <w:vertAlign w:val="superscript"/>
                <w:lang w:val="en-US" w:eastAsia="zh-CN"/>
              </w:rPr>
              <w:t>3</w:t>
            </w:r>
            <w:r>
              <w:rPr>
                <w:rFonts w:hint="default" w:ascii="Times New Roman" w:hAnsi="Times New Roman" w:cs="Times New Roman"/>
                <w:color w:val="auto"/>
                <w:kern w:val="0"/>
                <w:sz w:val="24"/>
              </w:rPr>
              <w:t>/</w:t>
            </w:r>
            <w:r>
              <w:rPr>
                <w:rFonts w:hint="eastAsia" w:ascii="Times New Roman" w:hAnsi="Times New Roman" w:cs="Times New Roman"/>
                <w:color w:val="auto"/>
                <w:kern w:val="0"/>
                <w:sz w:val="24"/>
                <w:lang w:val="en-US" w:eastAsia="zh-CN"/>
              </w:rPr>
              <w:t>m</w:t>
            </w:r>
            <w:r>
              <w:rPr>
                <w:rFonts w:hint="eastAsia" w:ascii="Times New Roman" w:hAnsi="Times New Roman" w:cs="Times New Roman"/>
                <w:color w:val="auto"/>
                <w:kern w:val="0"/>
                <w:sz w:val="24"/>
                <w:vertAlign w:val="superscript"/>
                <w:lang w:val="en-US" w:eastAsia="zh-CN"/>
              </w:rPr>
              <w:t>2</w:t>
            </w:r>
            <w:r>
              <w:rPr>
                <w:rFonts w:hint="default" w:ascii="Times New Roman" w:hAnsi="Times New Roman" w:cs="Times New Roman"/>
                <w:color w:val="auto"/>
                <w:kern w:val="0"/>
                <w:sz w:val="24"/>
              </w:rPr>
              <w:t>·</w:t>
            </w:r>
            <w:r>
              <w:rPr>
                <w:rFonts w:hint="eastAsia" w:ascii="Times New Roman" w:hAnsi="Times New Roman" w:cs="Times New Roman"/>
                <w:color w:val="auto"/>
                <w:kern w:val="0"/>
                <w:sz w:val="24"/>
                <w:lang w:val="en-US" w:eastAsia="zh-CN"/>
              </w:rPr>
              <w:t>h</w:t>
            </w:r>
            <w:r>
              <w:rPr>
                <w:rFonts w:hint="default" w:ascii="Times New Roman" w:hAnsi="Times New Roman" w:cs="Times New Roman"/>
                <w:color w:val="auto"/>
                <w:kern w:val="0"/>
                <w:sz w:val="24"/>
              </w:rPr>
              <w:t>计算。其系统与设备房排风系统合用，平时排风、火灾时关闭所有70</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电动防火阀同时开启相应排烟分区的电动多叶排烟阀排烟，风机入口设280</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排烟防火阀</w:t>
            </w:r>
            <w:r>
              <w:rPr>
                <w:rFonts w:hint="eastAsia" w:cs="Times New Roman"/>
                <w:color w:val="auto"/>
                <w:kern w:val="0"/>
                <w:sz w:val="24"/>
                <w:lang w:eastAsia="zh-CN"/>
              </w:rPr>
              <w:t>联锁</w:t>
            </w:r>
            <w:r>
              <w:rPr>
                <w:rFonts w:hint="default" w:ascii="Times New Roman" w:hAnsi="Times New Roman" w:cs="Times New Roman"/>
                <w:color w:val="auto"/>
                <w:kern w:val="0"/>
                <w:sz w:val="24"/>
              </w:rPr>
              <w:t>风机。补风为机械补风，补风量大于排烟量的50%。</w:t>
            </w:r>
          </w:p>
          <w:p w14:paraId="24D969D3">
            <w:pPr>
              <w:adjustRightInd w:val="0"/>
              <w:snapToGrid w:val="0"/>
              <w:spacing w:line="360" w:lineRule="auto"/>
              <w:ind w:firstLine="480" w:firstLineChars="200"/>
              <w:rPr>
                <w:color w:val="auto"/>
                <w:kern w:val="0"/>
                <w:sz w:val="24"/>
              </w:rPr>
            </w:pPr>
            <w:r>
              <w:rPr>
                <w:rFonts w:hint="eastAsia" w:ascii="宋体" w:hAnsi="宋体" w:cs="宋体"/>
                <w:color w:val="auto"/>
                <w:kern w:val="0"/>
                <w:sz w:val="24"/>
              </w:rPr>
              <w:t>⑥</w:t>
            </w:r>
            <w:r>
              <w:rPr>
                <w:rFonts w:hint="eastAsia"/>
                <w:color w:val="auto"/>
                <w:kern w:val="0"/>
                <w:sz w:val="24"/>
              </w:rPr>
              <w:t>公共卫生间设机械排风系统，各卫生间设天花板管道式换气扇。</w:t>
            </w:r>
          </w:p>
          <w:p w14:paraId="01B52F04">
            <w:pPr>
              <w:adjustRightInd w:val="0"/>
              <w:snapToGrid w:val="0"/>
              <w:spacing w:line="360" w:lineRule="auto"/>
              <w:ind w:firstLine="480" w:firstLineChars="200"/>
              <w:rPr>
                <w:color w:val="auto"/>
                <w:kern w:val="0"/>
                <w:sz w:val="24"/>
              </w:rPr>
            </w:pPr>
            <w:r>
              <w:rPr>
                <w:rFonts w:hint="eastAsia" w:ascii="宋体" w:hAnsi="宋体" w:cs="宋体"/>
                <w:color w:val="auto"/>
                <w:kern w:val="0"/>
                <w:sz w:val="24"/>
              </w:rPr>
              <w:t>⑦</w:t>
            </w:r>
            <w:r>
              <w:rPr>
                <w:rFonts w:hint="eastAsia"/>
                <w:color w:val="auto"/>
                <w:kern w:val="0"/>
                <w:sz w:val="24"/>
              </w:rPr>
              <w:t>屋面电梯机房设机械排风系统，采用壁式工业换气扇，其通风量按换气次数不小于12次/</w:t>
            </w:r>
            <w:r>
              <w:rPr>
                <w:rFonts w:hint="eastAsia"/>
                <w:color w:val="auto"/>
                <w:kern w:val="0"/>
                <w:sz w:val="24"/>
                <w:lang w:val="en-US" w:eastAsia="zh-CN"/>
              </w:rPr>
              <w:t>h</w:t>
            </w:r>
            <w:r>
              <w:rPr>
                <w:rFonts w:hint="eastAsia"/>
                <w:color w:val="auto"/>
                <w:kern w:val="0"/>
                <w:sz w:val="24"/>
              </w:rPr>
              <w:t>计算。</w:t>
            </w:r>
          </w:p>
          <w:p w14:paraId="7EA65F70">
            <w:pPr>
              <w:adjustRightInd w:val="0"/>
              <w:snapToGrid w:val="0"/>
              <w:spacing w:line="360" w:lineRule="auto"/>
              <w:ind w:firstLine="480" w:firstLineChars="200"/>
              <w:rPr>
                <w:color w:val="auto"/>
                <w:kern w:val="0"/>
                <w:sz w:val="24"/>
              </w:rPr>
            </w:pPr>
            <w:r>
              <w:rPr>
                <w:rFonts w:hint="eastAsia"/>
                <w:color w:val="auto"/>
                <w:kern w:val="0"/>
                <w:sz w:val="24"/>
              </w:rPr>
              <w:t>4、供气</w:t>
            </w:r>
          </w:p>
          <w:p w14:paraId="02A4CD06">
            <w:pPr>
              <w:adjustRightInd w:val="0"/>
              <w:snapToGrid w:val="0"/>
              <w:spacing w:line="360" w:lineRule="auto"/>
              <w:ind w:firstLine="480" w:firstLineChars="200"/>
              <w:rPr>
                <w:color w:val="auto"/>
                <w:kern w:val="0"/>
                <w:sz w:val="24"/>
              </w:rPr>
            </w:pPr>
            <w:r>
              <w:rPr>
                <w:color w:val="auto"/>
                <w:kern w:val="0"/>
                <w:sz w:val="24"/>
              </w:rPr>
              <w:t>根据项目要求和本地燃料供应情况，采用管道天然气。每栋住宅和</w:t>
            </w:r>
            <w:r>
              <w:rPr>
                <w:rFonts w:hint="eastAsia"/>
                <w:color w:val="auto"/>
                <w:kern w:val="0"/>
                <w:sz w:val="24"/>
              </w:rPr>
              <w:t>商业楼</w:t>
            </w:r>
            <w:r>
              <w:rPr>
                <w:color w:val="auto"/>
                <w:kern w:val="0"/>
                <w:sz w:val="24"/>
              </w:rPr>
              <w:t>都统一安装天然气管道，小区主管道由天然气公司统一埋设，在埋设时要适当与道路、其他管道保持距离，每户设一天然气计量表。采用环状与枝状相结合的中压管网，实行中压入户，入户后调至低压后供居民使用。</w:t>
            </w:r>
          </w:p>
          <w:p w14:paraId="0843EFAA">
            <w:pPr>
              <w:adjustRightInd w:val="0"/>
              <w:snapToGrid w:val="0"/>
              <w:spacing w:line="360" w:lineRule="auto"/>
              <w:ind w:firstLine="480" w:firstLineChars="200"/>
              <w:rPr>
                <w:color w:val="auto"/>
                <w:kern w:val="0"/>
                <w:sz w:val="24"/>
              </w:rPr>
            </w:pPr>
            <w:r>
              <w:rPr>
                <w:rFonts w:hint="eastAsia"/>
                <w:color w:val="auto"/>
                <w:kern w:val="0"/>
                <w:sz w:val="24"/>
              </w:rPr>
              <w:t>5</w:t>
            </w:r>
            <w:r>
              <w:rPr>
                <w:color w:val="auto"/>
                <w:kern w:val="0"/>
                <w:sz w:val="24"/>
              </w:rPr>
              <w:t>、</w:t>
            </w:r>
            <w:r>
              <w:rPr>
                <w:rFonts w:hint="eastAsia"/>
                <w:color w:val="auto"/>
                <w:kern w:val="0"/>
                <w:sz w:val="24"/>
              </w:rPr>
              <w:t>消防</w:t>
            </w:r>
          </w:p>
          <w:p w14:paraId="4AB01AF8">
            <w:pPr>
              <w:adjustRightInd w:val="0"/>
              <w:snapToGrid w:val="0"/>
              <w:spacing w:line="360" w:lineRule="auto"/>
              <w:ind w:firstLine="480" w:firstLineChars="200"/>
              <w:rPr>
                <w:color w:val="auto"/>
                <w:kern w:val="0"/>
                <w:sz w:val="24"/>
              </w:rPr>
            </w:pPr>
            <w:r>
              <w:rPr>
                <w:rFonts w:hint="eastAsia"/>
                <w:color w:val="auto"/>
                <w:kern w:val="0"/>
                <w:sz w:val="24"/>
              </w:rPr>
              <w:t>项目内沿建筑用地四周设有环形消防车道，道路宽度大于4米，转弯半径大于9米。</w:t>
            </w:r>
            <w:r>
              <w:rPr>
                <w:color w:val="auto"/>
                <w:kern w:val="0"/>
                <w:sz w:val="24"/>
              </w:rPr>
              <w:t>消防控制室设在地下室负一层，且通过走道连通疏散出口，直通室外。</w:t>
            </w:r>
          </w:p>
          <w:p w14:paraId="58A382E9">
            <w:pPr>
              <w:adjustRightInd w:val="0"/>
              <w:snapToGrid w:val="0"/>
              <w:spacing w:line="360" w:lineRule="auto"/>
              <w:ind w:firstLine="480" w:firstLineChars="200"/>
              <w:rPr>
                <w:color w:val="auto"/>
                <w:kern w:val="0"/>
                <w:sz w:val="24"/>
              </w:rPr>
            </w:pPr>
            <w:r>
              <w:rPr>
                <w:color w:val="auto"/>
                <w:kern w:val="0"/>
                <w:sz w:val="24"/>
              </w:rPr>
              <w:t>沿多层住宅设置消防车道。</w:t>
            </w:r>
            <w:r>
              <w:rPr>
                <w:rFonts w:hint="eastAsia"/>
                <w:color w:val="auto"/>
                <w:kern w:val="0"/>
                <w:sz w:val="24"/>
              </w:rPr>
              <w:t>防火类别与耐火等级：地上住宅建筑均为二类高层民用建筑，建筑耐火等级为</w:t>
            </w:r>
            <w:r>
              <w:rPr>
                <w:rFonts w:hint="eastAsia"/>
                <w:color w:val="auto"/>
                <w:kern w:val="0"/>
                <w:sz w:val="24"/>
                <w:lang w:val="en-US" w:eastAsia="zh-CN"/>
              </w:rPr>
              <w:t>二</w:t>
            </w:r>
            <w:r>
              <w:rPr>
                <w:rFonts w:hint="eastAsia"/>
                <w:color w:val="auto"/>
                <w:kern w:val="0"/>
                <w:sz w:val="24"/>
              </w:rPr>
              <w:t>级；地下汽车库为I类车库，建筑耐火等级为一级，设自动喷水灭火系统。每个防火分区至少设有一个消防电梯；工程采用集中报警控制系统，实现对整个建筑的火灾自动报警及消防联动控制。消防控制室设在地面一层。</w:t>
            </w:r>
          </w:p>
          <w:p w14:paraId="0034184B">
            <w:pPr>
              <w:adjustRightInd w:val="0"/>
              <w:snapToGrid w:val="0"/>
              <w:spacing w:line="360" w:lineRule="auto"/>
              <w:ind w:firstLine="480" w:firstLineChars="200"/>
              <w:rPr>
                <w:rFonts w:hint="eastAsia"/>
                <w:color w:val="auto"/>
                <w:kern w:val="0"/>
                <w:sz w:val="24"/>
              </w:rPr>
            </w:pPr>
            <w:r>
              <w:rPr>
                <w:color w:val="auto"/>
                <w:kern w:val="0"/>
                <w:sz w:val="24"/>
              </w:rPr>
              <w:t>项目各建筑每层设室内消火栓，保证同层有两股水枪充实水柱同时到达任一部位</w:t>
            </w:r>
            <w:r>
              <w:rPr>
                <w:rFonts w:hint="eastAsia"/>
                <w:color w:val="auto"/>
                <w:kern w:val="0"/>
                <w:sz w:val="24"/>
              </w:rPr>
              <w:t>，</w:t>
            </w:r>
            <w:r>
              <w:rPr>
                <w:color w:val="auto"/>
                <w:kern w:val="0"/>
                <w:sz w:val="24"/>
              </w:rPr>
              <w:t>每个消火栓箱内设消防按钮远距离</w:t>
            </w:r>
            <w:r>
              <w:rPr>
                <w:rFonts w:hint="eastAsia"/>
                <w:color w:val="auto"/>
                <w:kern w:val="0"/>
                <w:sz w:val="24"/>
                <w:lang w:eastAsia="zh-CN"/>
              </w:rPr>
              <w:t>启动</w:t>
            </w:r>
            <w:r>
              <w:rPr>
                <w:color w:val="auto"/>
                <w:kern w:val="0"/>
                <w:sz w:val="24"/>
              </w:rPr>
              <w:t>消火栓水泵。室内消火栓管道</w:t>
            </w:r>
            <w:r>
              <w:rPr>
                <w:rFonts w:hint="eastAsia"/>
                <w:color w:val="auto"/>
                <w:kern w:val="0"/>
                <w:sz w:val="24"/>
                <w:lang w:eastAsia="zh-CN"/>
              </w:rPr>
              <w:t>呈</w:t>
            </w:r>
            <w:r>
              <w:rPr>
                <w:color w:val="auto"/>
                <w:kern w:val="0"/>
                <w:sz w:val="24"/>
              </w:rPr>
              <w:t>环状布置，消火栓泵出水管分两路接入环状管网。本建筑每层设手提式</w:t>
            </w:r>
            <w:r>
              <w:rPr>
                <w:rFonts w:hint="eastAsia"/>
                <w:color w:val="auto"/>
                <w:kern w:val="0"/>
                <w:sz w:val="24"/>
                <w:lang w:eastAsia="zh-CN"/>
              </w:rPr>
              <w:t>磷酸铵</w:t>
            </w:r>
            <w:r>
              <w:rPr>
                <w:color w:val="auto"/>
                <w:kern w:val="0"/>
                <w:sz w:val="24"/>
              </w:rPr>
              <w:t>盐干粉灭火器。</w:t>
            </w:r>
            <w:r>
              <w:rPr>
                <w:rFonts w:hint="eastAsia"/>
                <w:color w:val="auto"/>
                <w:kern w:val="0"/>
                <w:sz w:val="24"/>
              </w:rPr>
              <w:t>地下室设置自动喷淋灭火装置。</w:t>
            </w:r>
          </w:p>
          <w:p w14:paraId="64FB5D44">
            <w:pPr>
              <w:adjustRightInd w:val="0"/>
              <w:snapToGrid w:val="0"/>
              <w:spacing w:line="360" w:lineRule="auto"/>
              <w:ind w:firstLine="480" w:firstLineChars="200"/>
              <w:rPr>
                <w:rFonts w:hint="eastAsia" w:eastAsia="宋体"/>
                <w:b/>
                <w:bCs/>
                <w:color w:val="auto"/>
                <w:sz w:val="24"/>
                <w:lang w:val="en-US" w:eastAsia="zh-CN"/>
              </w:rPr>
            </w:pPr>
            <w:r>
              <w:rPr>
                <w:rFonts w:hint="eastAsia"/>
                <w:color w:val="auto"/>
                <w:kern w:val="0"/>
                <w:sz w:val="24"/>
                <w:lang w:val="en-US" w:eastAsia="zh-CN"/>
              </w:rPr>
              <w:t>防火隔墙采用200厚页岩空心砖，耐火极限2小时，相邻的防火分区在防火隔墙上联系处采用甲级防火门或特级防火卷帘门(耐火极限≥3小时)。防烟楼梯间及前室门设乙级防火门。水泵房、风机房、柴油发电机房、配电房等位于地下室的设备用房和消防控制室设甲级防火门。所有管道井的隔墙耐火等级不低于1小时，管道井门为丙级防火门。位于前室的管并门采用乙级防火门;各层门窗洞口的窗槛墙高度均不小于1.2米高满足防火隔断要求。</w:t>
            </w:r>
          </w:p>
          <w:p w14:paraId="14B6B153">
            <w:pPr>
              <w:adjustRightInd w:val="0"/>
              <w:snapToGrid w:val="0"/>
              <w:spacing w:line="360" w:lineRule="auto"/>
              <w:ind w:firstLine="482" w:firstLineChars="200"/>
              <w:rPr>
                <w:b/>
                <w:bCs/>
                <w:color w:val="auto"/>
                <w:sz w:val="24"/>
              </w:rPr>
            </w:pPr>
            <w:r>
              <w:rPr>
                <w:rFonts w:hint="eastAsia"/>
                <w:b/>
                <w:bCs/>
                <w:color w:val="auto"/>
                <w:sz w:val="24"/>
              </w:rPr>
              <w:t>八</w:t>
            </w:r>
            <w:r>
              <w:rPr>
                <w:b/>
                <w:bCs/>
                <w:color w:val="auto"/>
                <w:sz w:val="24"/>
              </w:rPr>
              <w:t>、项目主要设备</w:t>
            </w:r>
          </w:p>
          <w:p w14:paraId="10111CAB">
            <w:pPr>
              <w:pStyle w:val="19"/>
              <w:adjustRightInd w:val="0"/>
              <w:snapToGrid w:val="0"/>
              <w:spacing w:line="360" w:lineRule="auto"/>
              <w:ind w:firstLine="480"/>
              <w:rPr>
                <w:color w:val="auto"/>
                <w:sz w:val="24"/>
              </w:rPr>
            </w:pPr>
            <w:r>
              <w:rPr>
                <w:color w:val="auto"/>
                <w:sz w:val="24"/>
              </w:rPr>
              <w:t>本项目主要设备详见下表</w:t>
            </w:r>
            <w:r>
              <w:rPr>
                <w:rFonts w:hint="eastAsia"/>
                <w:color w:val="auto"/>
                <w:sz w:val="24"/>
              </w:rPr>
              <w:t>。</w:t>
            </w:r>
          </w:p>
          <w:p w14:paraId="1165F464">
            <w:pPr>
              <w:adjustRightInd w:val="0"/>
              <w:snapToGrid w:val="0"/>
              <w:jc w:val="center"/>
              <w:rPr>
                <w:b/>
                <w:bCs/>
                <w:color w:val="auto"/>
                <w:szCs w:val="21"/>
              </w:rPr>
            </w:pPr>
            <w:r>
              <w:rPr>
                <w:b/>
                <w:bCs/>
                <w:color w:val="auto"/>
                <w:szCs w:val="21"/>
              </w:rPr>
              <w:t>表2-</w:t>
            </w:r>
            <w:r>
              <w:rPr>
                <w:rFonts w:hint="eastAsia"/>
                <w:b/>
                <w:bCs/>
                <w:color w:val="auto"/>
                <w:szCs w:val="21"/>
              </w:rPr>
              <w:t>5</w:t>
            </w:r>
            <w:r>
              <w:rPr>
                <w:b/>
                <w:bCs/>
                <w:color w:val="auto"/>
                <w:szCs w:val="21"/>
              </w:rPr>
              <w:t xml:space="preserve">  主要设备一览表</w:t>
            </w:r>
          </w:p>
          <w:tbl>
            <w:tblPr>
              <w:tblStyle w:val="34"/>
              <w:tblW w:w="5003" w:type="pct"/>
              <w:tblInd w:w="17"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11"/>
              <w:gridCol w:w="1885"/>
              <w:gridCol w:w="2133"/>
              <w:gridCol w:w="812"/>
              <w:gridCol w:w="1493"/>
              <w:gridCol w:w="1081"/>
            </w:tblGrid>
            <w:tr w14:paraId="5D9431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078EC10A">
                  <w:pPr>
                    <w:pStyle w:val="62"/>
                    <w:adjustRightInd w:val="0"/>
                    <w:spacing w:line="240" w:lineRule="auto"/>
                    <w:rPr>
                      <w:rFonts w:ascii="Times New Roman" w:hAnsi="Times New Roman" w:cs="Times New Roman"/>
                      <w:color w:val="auto"/>
                      <w:szCs w:val="21"/>
                    </w:rPr>
                  </w:pPr>
                  <w:r>
                    <w:rPr>
                      <w:rFonts w:ascii="Times New Roman" w:hAnsi="Times New Roman" w:cs="Times New Roman"/>
                      <w:color w:val="auto"/>
                      <w:szCs w:val="21"/>
                    </w:rPr>
                    <w:t>序号</w:t>
                  </w:r>
                </w:p>
              </w:tc>
              <w:tc>
                <w:tcPr>
                  <w:tcW w:w="1147" w:type="pct"/>
                  <w:tcBorders>
                    <w:tl2br w:val="nil"/>
                    <w:tr2bl w:val="nil"/>
                  </w:tcBorders>
                  <w:vAlign w:val="center"/>
                </w:tcPr>
                <w:p w14:paraId="5D74B22A">
                  <w:pPr>
                    <w:pStyle w:val="62"/>
                    <w:adjustRightInd w:val="0"/>
                    <w:spacing w:line="240" w:lineRule="auto"/>
                    <w:rPr>
                      <w:rFonts w:ascii="Times New Roman" w:hAnsi="Times New Roman" w:cs="Times New Roman"/>
                      <w:color w:val="auto"/>
                      <w:szCs w:val="21"/>
                    </w:rPr>
                  </w:pPr>
                  <w:r>
                    <w:rPr>
                      <w:rFonts w:ascii="Times New Roman" w:hAnsi="Times New Roman" w:cs="Times New Roman"/>
                      <w:color w:val="auto"/>
                      <w:szCs w:val="21"/>
                    </w:rPr>
                    <w:t>机械名称</w:t>
                  </w:r>
                </w:p>
              </w:tc>
              <w:tc>
                <w:tcPr>
                  <w:tcW w:w="1298" w:type="pct"/>
                  <w:tcBorders>
                    <w:tl2br w:val="nil"/>
                    <w:tr2bl w:val="nil"/>
                  </w:tcBorders>
                  <w:vAlign w:val="center"/>
                </w:tcPr>
                <w:p w14:paraId="6EEE29F9">
                  <w:pPr>
                    <w:pStyle w:val="62"/>
                    <w:adjustRightInd w:val="0"/>
                    <w:spacing w:line="240" w:lineRule="auto"/>
                    <w:rPr>
                      <w:rFonts w:ascii="Times New Roman" w:hAnsi="Times New Roman" w:cs="Times New Roman"/>
                      <w:color w:val="auto"/>
                      <w:szCs w:val="21"/>
                    </w:rPr>
                  </w:pPr>
                  <w:r>
                    <w:rPr>
                      <w:rFonts w:ascii="Times New Roman" w:hAnsi="Times New Roman" w:cs="Times New Roman"/>
                      <w:color w:val="auto"/>
                      <w:szCs w:val="21"/>
                    </w:rPr>
                    <w:t>型号</w:t>
                  </w:r>
                </w:p>
              </w:tc>
              <w:tc>
                <w:tcPr>
                  <w:tcW w:w="494" w:type="pct"/>
                  <w:tcBorders>
                    <w:tl2br w:val="nil"/>
                    <w:tr2bl w:val="nil"/>
                  </w:tcBorders>
                  <w:vAlign w:val="center"/>
                </w:tcPr>
                <w:p w14:paraId="108A3E63">
                  <w:pPr>
                    <w:pStyle w:val="62"/>
                    <w:adjustRightInd w:val="0"/>
                    <w:spacing w:line="240" w:lineRule="auto"/>
                    <w:rPr>
                      <w:rFonts w:ascii="Times New Roman" w:hAnsi="Times New Roman" w:cs="Times New Roman"/>
                      <w:color w:val="auto"/>
                      <w:szCs w:val="21"/>
                    </w:rPr>
                  </w:pPr>
                  <w:r>
                    <w:rPr>
                      <w:rFonts w:ascii="Times New Roman" w:hAnsi="Times New Roman" w:cs="Times New Roman"/>
                      <w:color w:val="auto"/>
                      <w:szCs w:val="21"/>
                    </w:rPr>
                    <w:t>单位</w:t>
                  </w:r>
                </w:p>
              </w:tc>
              <w:tc>
                <w:tcPr>
                  <w:tcW w:w="908" w:type="pct"/>
                  <w:tcBorders>
                    <w:tl2br w:val="nil"/>
                    <w:tr2bl w:val="nil"/>
                  </w:tcBorders>
                  <w:vAlign w:val="center"/>
                </w:tcPr>
                <w:p w14:paraId="7075F8E1">
                  <w:pPr>
                    <w:pStyle w:val="62"/>
                    <w:adjustRightInd w:val="0"/>
                    <w:spacing w:line="240" w:lineRule="auto"/>
                    <w:rPr>
                      <w:rFonts w:ascii="Times New Roman" w:hAnsi="Times New Roman" w:cs="Times New Roman"/>
                      <w:color w:val="auto"/>
                      <w:szCs w:val="21"/>
                    </w:rPr>
                  </w:pPr>
                  <w:r>
                    <w:rPr>
                      <w:rFonts w:ascii="Times New Roman" w:hAnsi="Times New Roman" w:cs="Times New Roman"/>
                      <w:color w:val="auto"/>
                      <w:szCs w:val="21"/>
                    </w:rPr>
                    <w:t>功率（kw</w:t>
                  </w:r>
                  <w:r>
                    <w:rPr>
                      <w:rFonts w:hint="eastAsia" w:ascii="Times New Roman" w:hAnsi="Times New Roman" w:cs="Times New Roman"/>
                      <w:color w:val="auto"/>
                      <w:szCs w:val="21"/>
                    </w:rPr>
                    <w:t>）</w:t>
                  </w:r>
                </w:p>
              </w:tc>
              <w:tc>
                <w:tcPr>
                  <w:tcW w:w="657" w:type="pct"/>
                  <w:tcBorders>
                    <w:tl2br w:val="nil"/>
                    <w:tr2bl w:val="nil"/>
                  </w:tcBorders>
                  <w:vAlign w:val="center"/>
                </w:tcPr>
                <w:p w14:paraId="60132FDA">
                  <w:pPr>
                    <w:pStyle w:val="62"/>
                    <w:adjustRightInd w:val="0"/>
                    <w:spacing w:line="240" w:lineRule="auto"/>
                    <w:rPr>
                      <w:rFonts w:ascii="Times New Roman" w:hAnsi="Times New Roman" w:cs="Times New Roman"/>
                      <w:color w:val="auto"/>
                      <w:szCs w:val="21"/>
                    </w:rPr>
                  </w:pPr>
                  <w:r>
                    <w:rPr>
                      <w:rFonts w:ascii="Times New Roman" w:hAnsi="Times New Roman" w:cs="Times New Roman"/>
                      <w:color w:val="auto"/>
                      <w:szCs w:val="21"/>
                    </w:rPr>
                    <w:t>选用量</w:t>
                  </w:r>
                </w:p>
              </w:tc>
            </w:tr>
            <w:tr w14:paraId="40CD0F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506B4001">
                  <w:pPr>
                    <w:pStyle w:val="62"/>
                    <w:adjustRightInd w:val="0"/>
                    <w:spacing w:line="240" w:lineRule="auto"/>
                    <w:rPr>
                      <w:rFonts w:ascii="Times New Roman" w:hAnsi="Times New Roman" w:cs="Times New Roman"/>
                      <w:color w:val="auto"/>
                      <w:szCs w:val="21"/>
                    </w:rPr>
                  </w:pPr>
                  <w:r>
                    <w:rPr>
                      <w:rFonts w:hint="eastAsia" w:ascii="Times New Roman" w:hAnsi="Times New Roman" w:cs="Times New Roman"/>
                      <w:color w:val="auto"/>
                      <w:szCs w:val="21"/>
                    </w:rPr>
                    <w:t>一、</w:t>
                  </w:r>
                </w:p>
              </w:tc>
              <w:tc>
                <w:tcPr>
                  <w:tcW w:w="4506" w:type="pct"/>
                  <w:gridSpan w:val="5"/>
                  <w:tcBorders>
                    <w:tl2br w:val="nil"/>
                    <w:tr2bl w:val="nil"/>
                  </w:tcBorders>
                  <w:vAlign w:val="center"/>
                </w:tcPr>
                <w:p w14:paraId="07D22DC4">
                  <w:pPr>
                    <w:pStyle w:val="62"/>
                    <w:adjustRightInd w:val="0"/>
                    <w:spacing w:line="240" w:lineRule="auto"/>
                    <w:rPr>
                      <w:rFonts w:ascii="Times New Roman" w:hAnsi="Times New Roman" w:cs="Times New Roman"/>
                      <w:color w:val="auto"/>
                      <w:szCs w:val="21"/>
                    </w:rPr>
                  </w:pPr>
                  <w:r>
                    <w:rPr>
                      <w:rFonts w:hint="eastAsia" w:ascii="Times New Roman" w:hAnsi="Times New Roman" w:cs="Times New Roman"/>
                      <w:color w:val="auto"/>
                      <w:szCs w:val="21"/>
                    </w:rPr>
                    <w:t>施工设备</w:t>
                  </w:r>
                </w:p>
              </w:tc>
            </w:tr>
            <w:tr w14:paraId="071A36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7451D04C">
                  <w:pPr>
                    <w:pStyle w:val="88"/>
                    <w:rPr>
                      <w:rFonts w:hint="default" w:ascii="Times New Roman"/>
                      <w:color w:val="auto"/>
                      <w:szCs w:val="21"/>
                    </w:rPr>
                  </w:pPr>
                  <w:r>
                    <w:rPr>
                      <w:rFonts w:hint="default" w:ascii="Times New Roman"/>
                      <w:color w:val="auto"/>
                      <w:szCs w:val="21"/>
                    </w:rPr>
                    <w:t>1</w:t>
                  </w:r>
                </w:p>
              </w:tc>
              <w:tc>
                <w:tcPr>
                  <w:tcW w:w="1147" w:type="pct"/>
                  <w:tcBorders>
                    <w:tl2br w:val="nil"/>
                    <w:tr2bl w:val="nil"/>
                  </w:tcBorders>
                  <w:vAlign w:val="center"/>
                </w:tcPr>
                <w:p w14:paraId="75341712">
                  <w:pPr>
                    <w:pStyle w:val="88"/>
                    <w:rPr>
                      <w:rFonts w:hint="default" w:ascii="Times New Roman"/>
                      <w:color w:val="auto"/>
                      <w:szCs w:val="21"/>
                    </w:rPr>
                  </w:pPr>
                  <w:r>
                    <w:rPr>
                      <w:rFonts w:hint="default" w:ascii="Times New Roman"/>
                      <w:color w:val="auto"/>
                      <w:szCs w:val="21"/>
                    </w:rPr>
                    <w:t>装载机</w:t>
                  </w:r>
                </w:p>
              </w:tc>
              <w:tc>
                <w:tcPr>
                  <w:tcW w:w="1298" w:type="pct"/>
                  <w:tcBorders>
                    <w:tl2br w:val="nil"/>
                    <w:tr2bl w:val="nil"/>
                  </w:tcBorders>
                  <w:vAlign w:val="center"/>
                </w:tcPr>
                <w:p w14:paraId="25DBCE3F">
                  <w:pPr>
                    <w:pStyle w:val="88"/>
                    <w:rPr>
                      <w:rFonts w:hint="default" w:ascii="Times New Roman"/>
                      <w:color w:val="auto"/>
                      <w:szCs w:val="21"/>
                    </w:rPr>
                  </w:pPr>
                  <w:r>
                    <w:rPr>
                      <w:rFonts w:hint="default" w:ascii="Times New Roman"/>
                      <w:color w:val="auto"/>
                      <w:szCs w:val="21"/>
                    </w:rPr>
                    <w:t>1.5m</w:t>
                  </w:r>
                  <w:r>
                    <w:rPr>
                      <w:rFonts w:hint="default" w:ascii="Times New Roman"/>
                      <w:color w:val="auto"/>
                      <w:szCs w:val="21"/>
                      <w:vertAlign w:val="superscript"/>
                    </w:rPr>
                    <w:t>3</w:t>
                  </w:r>
                </w:p>
              </w:tc>
              <w:tc>
                <w:tcPr>
                  <w:tcW w:w="494" w:type="pct"/>
                  <w:tcBorders>
                    <w:tl2br w:val="nil"/>
                    <w:tr2bl w:val="nil"/>
                  </w:tcBorders>
                  <w:vAlign w:val="center"/>
                </w:tcPr>
                <w:p w14:paraId="06322155">
                  <w:pPr>
                    <w:pStyle w:val="88"/>
                    <w:rPr>
                      <w:rFonts w:hint="default" w:ascii="Times New Roman"/>
                      <w:color w:val="auto"/>
                      <w:szCs w:val="21"/>
                    </w:rPr>
                  </w:pPr>
                  <w:r>
                    <w:rPr>
                      <w:rFonts w:hint="default" w:ascii="Times New Roman"/>
                      <w:color w:val="auto"/>
                      <w:szCs w:val="21"/>
                    </w:rPr>
                    <w:t>台</w:t>
                  </w:r>
                </w:p>
              </w:tc>
              <w:tc>
                <w:tcPr>
                  <w:tcW w:w="908" w:type="pct"/>
                  <w:tcBorders>
                    <w:tl2br w:val="nil"/>
                    <w:tr2bl w:val="nil"/>
                  </w:tcBorders>
                  <w:vAlign w:val="center"/>
                </w:tcPr>
                <w:p w14:paraId="7C4041C1">
                  <w:pPr>
                    <w:pStyle w:val="88"/>
                    <w:rPr>
                      <w:rFonts w:hint="default" w:ascii="Times New Roman"/>
                      <w:color w:val="auto"/>
                      <w:szCs w:val="21"/>
                    </w:rPr>
                  </w:pPr>
                  <w:r>
                    <w:rPr>
                      <w:rFonts w:hint="default" w:ascii="Times New Roman"/>
                      <w:color w:val="auto"/>
                      <w:szCs w:val="21"/>
                    </w:rPr>
                    <w:t>/</w:t>
                  </w:r>
                </w:p>
              </w:tc>
              <w:tc>
                <w:tcPr>
                  <w:tcW w:w="657" w:type="pct"/>
                  <w:tcBorders>
                    <w:tl2br w:val="nil"/>
                    <w:tr2bl w:val="nil"/>
                  </w:tcBorders>
                  <w:vAlign w:val="center"/>
                </w:tcPr>
                <w:p w14:paraId="3F27DE04">
                  <w:pPr>
                    <w:pStyle w:val="88"/>
                    <w:rPr>
                      <w:rFonts w:hint="default" w:ascii="Times New Roman"/>
                      <w:color w:val="auto"/>
                      <w:szCs w:val="21"/>
                    </w:rPr>
                  </w:pPr>
                  <w:r>
                    <w:rPr>
                      <w:rFonts w:hint="default" w:ascii="Times New Roman"/>
                      <w:color w:val="auto"/>
                      <w:szCs w:val="21"/>
                    </w:rPr>
                    <w:t>2</w:t>
                  </w:r>
                </w:p>
              </w:tc>
            </w:tr>
            <w:tr w14:paraId="5BBC1D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6180B63F">
                  <w:pPr>
                    <w:pStyle w:val="88"/>
                    <w:rPr>
                      <w:rFonts w:hint="default" w:ascii="Times New Roman"/>
                      <w:color w:val="auto"/>
                      <w:szCs w:val="21"/>
                    </w:rPr>
                  </w:pPr>
                  <w:r>
                    <w:rPr>
                      <w:rFonts w:hint="default" w:ascii="Times New Roman"/>
                      <w:color w:val="auto"/>
                      <w:szCs w:val="21"/>
                    </w:rPr>
                    <w:t>2</w:t>
                  </w:r>
                </w:p>
              </w:tc>
              <w:tc>
                <w:tcPr>
                  <w:tcW w:w="1147" w:type="pct"/>
                  <w:tcBorders>
                    <w:tl2br w:val="nil"/>
                    <w:tr2bl w:val="nil"/>
                  </w:tcBorders>
                  <w:vAlign w:val="center"/>
                </w:tcPr>
                <w:p w14:paraId="268179DE">
                  <w:pPr>
                    <w:pStyle w:val="88"/>
                    <w:rPr>
                      <w:rFonts w:hint="default" w:ascii="Times New Roman"/>
                      <w:color w:val="auto"/>
                      <w:szCs w:val="21"/>
                    </w:rPr>
                  </w:pPr>
                  <w:r>
                    <w:rPr>
                      <w:rFonts w:hint="default" w:ascii="Times New Roman"/>
                      <w:color w:val="auto"/>
                      <w:szCs w:val="21"/>
                    </w:rPr>
                    <w:t>挖掘机</w:t>
                  </w:r>
                </w:p>
              </w:tc>
              <w:tc>
                <w:tcPr>
                  <w:tcW w:w="1298" w:type="pct"/>
                  <w:tcBorders>
                    <w:tl2br w:val="nil"/>
                    <w:tr2bl w:val="nil"/>
                  </w:tcBorders>
                  <w:vAlign w:val="center"/>
                </w:tcPr>
                <w:p w14:paraId="0473E41F">
                  <w:pPr>
                    <w:pStyle w:val="88"/>
                    <w:rPr>
                      <w:rFonts w:hint="default" w:ascii="Times New Roman"/>
                      <w:color w:val="auto"/>
                      <w:szCs w:val="21"/>
                    </w:rPr>
                  </w:pPr>
                  <w:r>
                    <w:rPr>
                      <w:rFonts w:hint="default" w:ascii="Times New Roman"/>
                      <w:color w:val="auto"/>
                      <w:szCs w:val="21"/>
                    </w:rPr>
                    <w:t>2.0m</w:t>
                  </w:r>
                  <w:r>
                    <w:rPr>
                      <w:rFonts w:hint="default" w:ascii="Times New Roman"/>
                      <w:color w:val="auto"/>
                      <w:szCs w:val="21"/>
                      <w:vertAlign w:val="superscript"/>
                    </w:rPr>
                    <w:t>3</w:t>
                  </w:r>
                </w:p>
              </w:tc>
              <w:tc>
                <w:tcPr>
                  <w:tcW w:w="494" w:type="pct"/>
                  <w:tcBorders>
                    <w:tl2br w:val="nil"/>
                    <w:tr2bl w:val="nil"/>
                  </w:tcBorders>
                  <w:vAlign w:val="center"/>
                </w:tcPr>
                <w:p w14:paraId="020AB800">
                  <w:pPr>
                    <w:pStyle w:val="88"/>
                    <w:rPr>
                      <w:rFonts w:hint="default" w:ascii="Times New Roman"/>
                      <w:color w:val="auto"/>
                      <w:szCs w:val="21"/>
                    </w:rPr>
                  </w:pPr>
                  <w:r>
                    <w:rPr>
                      <w:rFonts w:hint="default" w:ascii="Times New Roman"/>
                      <w:color w:val="auto"/>
                      <w:szCs w:val="21"/>
                    </w:rPr>
                    <w:t>台</w:t>
                  </w:r>
                </w:p>
              </w:tc>
              <w:tc>
                <w:tcPr>
                  <w:tcW w:w="908" w:type="pct"/>
                  <w:tcBorders>
                    <w:tl2br w:val="nil"/>
                    <w:tr2bl w:val="nil"/>
                  </w:tcBorders>
                  <w:vAlign w:val="center"/>
                </w:tcPr>
                <w:p w14:paraId="584BD750">
                  <w:pPr>
                    <w:pStyle w:val="88"/>
                    <w:rPr>
                      <w:rFonts w:hint="default" w:ascii="Times New Roman"/>
                      <w:color w:val="auto"/>
                      <w:szCs w:val="21"/>
                    </w:rPr>
                  </w:pPr>
                  <w:r>
                    <w:rPr>
                      <w:rFonts w:hint="default" w:ascii="Times New Roman"/>
                      <w:color w:val="auto"/>
                      <w:szCs w:val="21"/>
                    </w:rPr>
                    <w:t>/</w:t>
                  </w:r>
                </w:p>
              </w:tc>
              <w:tc>
                <w:tcPr>
                  <w:tcW w:w="657" w:type="pct"/>
                  <w:tcBorders>
                    <w:tl2br w:val="nil"/>
                    <w:tr2bl w:val="nil"/>
                  </w:tcBorders>
                  <w:vAlign w:val="center"/>
                </w:tcPr>
                <w:p w14:paraId="57D154FB">
                  <w:pPr>
                    <w:pStyle w:val="88"/>
                    <w:rPr>
                      <w:rFonts w:hint="eastAsia" w:ascii="Times New Roman" w:eastAsia="宋体"/>
                      <w:color w:val="auto"/>
                      <w:szCs w:val="21"/>
                      <w:lang w:eastAsia="zh-CN"/>
                    </w:rPr>
                  </w:pPr>
                  <w:r>
                    <w:rPr>
                      <w:rFonts w:hint="eastAsia" w:ascii="Times New Roman"/>
                      <w:color w:val="auto"/>
                      <w:szCs w:val="21"/>
                      <w:lang w:val="en-US" w:eastAsia="zh-CN"/>
                    </w:rPr>
                    <w:t>2</w:t>
                  </w:r>
                </w:p>
              </w:tc>
            </w:tr>
            <w:tr w14:paraId="34313C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34F880C8">
                  <w:pPr>
                    <w:pStyle w:val="88"/>
                    <w:rPr>
                      <w:rFonts w:hint="default" w:ascii="Times New Roman"/>
                      <w:color w:val="auto"/>
                      <w:szCs w:val="21"/>
                    </w:rPr>
                  </w:pPr>
                  <w:r>
                    <w:rPr>
                      <w:rFonts w:hint="default" w:ascii="Times New Roman"/>
                      <w:color w:val="auto"/>
                      <w:szCs w:val="21"/>
                    </w:rPr>
                    <w:t>3</w:t>
                  </w:r>
                </w:p>
              </w:tc>
              <w:tc>
                <w:tcPr>
                  <w:tcW w:w="1147" w:type="pct"/>
                  <w:tcBorders>
                    <w:tl2br w:val="nil"/>
                    <w:tr2bl w:val="nil"/>
                  </w:tcBorders>
                  <w:vAlign w:val="center"/>
                </w:tcPr>
                <w:p w14:paraId="5CFAFAB3">
                  <w:pPr>
                    <w:pStyle w:val="88"/>
                    <w:rPr>
                      <w:rFonts w:hint="default" w:ascii="Times New Roman"/>
                      <w:color w:val="auto"/>
                      <w:szCs w:val="21"/>
                    </w:rPr>
                  </w:pPr>
                  <w:r>
                    <w:rPr>
                      <w:rFonts w:hint="default" w:ascii="Times New Roman"/>
                      <w:color w:val="auto"/>
                      <w:szCs w:val="21"/>
                    </w:rPr>
                    <w:t>挖掘机</w:t>
                  </w:r>
                </w:p>
              </w:tc>
              <w:tc>
                <w:tcPr>
                  <w:tcW w:w="1298" w:type="pct"/>
                  <w:tcBorders>
                    <w:tl2br w:val="nil"/>
                    <w:tr2bl w:val="nil"/>
                  </w:tcBorders>
                  <w:vAlign w:val="center"/>
                </w:tcPr>
                <w:p w14:paraId="6F62D8C6">
                  <w:pPr>
                    <w:pStyle w:val="88"/>
                    <w:rPr>
                      <w:rFonts w:hint="default" w:ascii="Times New Roman"/>
                      <w:color w:val="auto"/>
                      <w:szCs w:val="21"/>
                    </w:rPr>
                  </w:pPr>
                  <w:r>
                    <w:rPr>
                      <w:rFonts w:hint="default" w:ascii="Times New Roman"/>
                      <w:color w:val="auto"/>
                      <w:szCs w:val="21"/>
                    </w:rPr>
                    <w:t>1.0m</w:t>
                  </w:r>
                  <w:r>
                    <w:rPr>
                      <w:rFonts w:hint="default" w:ascii="Times New Roman"/>
                      <w:color w:val="auto"/>
                      <w:szCs w:val="21"/>
                      <w:vertAlign w:val="superscript"/>
                    </w:rPr>
                    <w:t>3</w:t>
                  </w:r>
                </w:p>
              </w:tc>
              <w:tc>
                <w:tcPr>
                  <w:tcW w:w="494" w:type="pct"/>
                  <w:tcBorders>
                    <w:tl2br w:val="nil"/>
                    <w:tr2bl w:val="nil"/>
                  </w:tcBorders>
                  <w:vAlign w:val="center"/>
                </w:tcPr>
                <w:p w14:paraId="170A01B6">
                  <w:pPr>
                    <w:pStyle w:val="88"/>
                    <w:rPr>
                      <w:rFonts w:hint="default" w:ascii="Times New Roman"/>
                      <w:color w:val="auto"/>
                      <w:szCs w:val="21"/>
                    </w:rPr>
                  </w:pPr>
                  <w:r>
                    <w:rPr>
                      <w:rFonts w:hint="default" w:ascii="Times New Roman"/>
                      <w:color w:val="auto"/>
                      <w:szCs w:val="21"/>
                    </w:rPr>
                    <w:t>台</w:t>
                  </w:r>
                </w:p>
              </w:tc>
              <w:tc>
                <w:tcPr>
                  <w:tcW w:w="908" w:type="pct"/>
                  <w:tcBorders>
                    <w:tl2br w:val="nil"/>
                    <w:tr2bl w:val="nil"/>
                  </w:tcBorders>
                  <w:vAlign w:val="center"/>
                </w:tcPr>
                <w:p w14:paraId="1497F430">
                  <w:pPr>
                    <w:pStyle w:val="88"/>
                    <w:rPr>
                      <w:rFonts w:hint="default" w:ascii="Times New Roman"/>
                      <w:color w:val="auto"/>
                      <w:szCs w:val="21"/>
                    </w:rPr>
                  </w:pPr>
                  <w:r>
                    <w:rPr>
                      <w:rFonts w:hint="default" w:ascii="Times New Roman"/>
                      <w:color w:val="auto"/>
                      <w:szCs w:val="21"/>
                    </w:rPr>
                    <w:t>/</w:t>
                  </w:r>
                </w:p>
              </w:tc>
              <w:tc>
                <w:tcPr>
                  <w:tcW w:w="657" w:type="pct"/>
                  <w:tcBorders>
                    <w:tl2br w:val="nil"/>
                    <w:tr2bl w:val="nil"/>
                  </w:tcBorders>
                  <w:vAlign w:val="center"/>
                </w:tcPr>
                <w:p w14:paraId="28B1A287">
                  <w:pPr>
                    <w:pStyle w:val="88"/>
                    <w:rPr>
                      <w:rFonts w:hint="eastAsia" w:ascii="Times New Roman" w:eastAsia="宋体"/>
                      <w:color w:val="auto"/>
                      <w:szCs w:val="21"/>
                      <w:lang w:eastAsia="zh-CN"/>
                    </w:rPr>
                  </w:pPr>
                  <w:r>
                    <w:rPr>
                      <w:rFonts w:hint="eastAsia" w:ascii="Times New Roman"/>
                      <w:color w:val="auto"/>
                      <w:szCs w:val="21"/>
                      <w:lang w:val="en-US" w:eastAsia="zh-CN"/>
                    </w:rPr>
                    <w:t>1</w:t>
                  </w:r>
                </w:p>
              </w:tc>
            </w:tr>
            <w:tr w14:paraId="45FF23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2D946692">
                  <w:pPr>
                    <w:pStyle w:val="88"/>
                    <w:rPr>
                      <w:rFonts w:hint="default" w:ascii="Times New Roman"/>
                      <w:color w:val="auto"/>
                      <w:szCs w:val="21"/>
                    </w:rPr>
                  </w:pPr>
                  <w:r>
                    <w:rPr>
                      <w:rFonts w:hint="default" w:ascii="Times New Roman"/>
                      <w:color w:val="auto"/>
                      <w:szCs w:val="21"/>
                    </w:rPr>
                    <w:t>5</w:t>
                  </w:r>
                </w:p>
              </w:tc>
              <w:tc>
                <w:tcPr>
                  <w:tcW w:w="1147" w:type="pct"/>
                  <w:tcBorders>
                    <w:tl2br w:val="nil"/>
                    <w:tr2bl w:val="nil"/>
                  </w:tcBorders>
                  <w:vAlign w:val="center"/>
                </w:tcPr>
                <w:p w14:paraId="4B295296">
                  <w:pPr>
                    <w:pStyle w:val="88"/>
                    <w:rPr>
                      <w:rFonts w:hint="default" w:ascii="Times New Roman"/>
                      <w:color w:val="auto"/>
                      <w:szCs w:val="21"/>
                    </w:rPr>
                  </w:pPr>
                  <w:r>
                    <w:rPr>
                      <w:rFonts w:hint="default" w:ascii="Times New Roman"/>
                      <w:color w:val="auto"/>
                      <w:szCs w:val="21"/>
                    </w:rPr>
                    <w:t>推土机</w:t>
                  </w:r>
                </w:p>
              </w:tc>
              <w:tc>
                <w:tcPr>
                  <w:tcW w:w="1298" w:type="pct"/>
                  <w:tcBorders>
                    <w:tl2br w:val="nil"/>
                    <w:tr2bl w:val="nil"/>
                  </w:tcBorders>
                  <w:vAlign w:val="center"/>
                </w:tcPr>
                <w:p w14:paraId="3CE216BE">
                  <w:pPr>
                    <w:pStyle w:val="88"/>
                    <w:rPr>
                      <w:rFonts w:hint="default" w:ascii="Times New Roman"/>
                      <w:color w:val="auto"/>
                      <w:szCs w:val="21"/>
                    </w:rPr>
                  </w:pPr>
                  <w:r>
                    <w:rPr>
                      <w:rFonts w:hint="default" w:ascii="Times New Roman"/>
                      <w:color w:val="auto"/>
                      <w:szCs w:val="21"/>
                    </w:rPr>
                    <w:t>59-88kw</w:t>
                  </w:r>
                </w:p>
              </w:tc>
              <w:tc>
                <w:tcPr>
                  <w:tcW w:w="494" w:type="pct"/>
                  <w:tcBorders>
                    <w:tl2br w:val="nil"/>
                    <w:tr2bl w:val="nil"/>
                  </w:tcBorders>
                  <w:vAlign w:val="center"/>
                </w:tcPr>
                <w:p w14:paraId="4A137C99">
                  <w:pPr>
                    <w:pStyle w:val="88"/>
                    <w:rPr>
                      <w:rFonts w:hint="default" w:ascii="Times New Roman"/>
                      <w:color w:val="auto"/>
                      <w:szCs w:val="21"/>
                    </w:rPr>
                  </w:pPr>
                  <w:r>
                    <w:rPr>
                      <w:rFonts w:hint="default" w:ascii="Times New Roman"/>
                      <w:color w:val="auto"/>
                      <w:szCs w:val="21"/>
                    </w:rPr>
                    <w:t>台</w:t>
                  </w:r>
                </w:p>
              </w:tc>
              <w:tc>
                <w:tcPr>
                  <w:tcW w:w="908" w:type="pct"/>
                  <w:tcBorders>
                    <w:tl2br w:val="nil"/>
                    <w:tr2bl w:val="nil"/>
                  </w:tcBorders>
                  <w:vAlign w:val="center"/>
                </w:tcPr>
                <w:p w14:paraId="26BE1418">
                  <w:pPr>
                    <w:pStyle w:val="88"/>
                    <w:rPr>
                      <w:rFonts w:hint="default" w:ascii="Times New Roman"/>
                      <w:color w:val="auto"/>
                      <w:szCs w:val="21"/>
                    </w:rPr>
                  </w:pPr>
                  <w:r>
                    <w:rPr>
                      <w:rFonts w:hint="default" w:ascii="Times New Roman"/>
                      <w:color w:val="auto"/>
                      <w:szCs w:val="21"/>
                    </w:rPr>
                    <w:t>/</w:t>
                  </w:r>
                </w:p>
              </w:tc>
              <w:tc>
                <w:tcPr>
                  <w:tcW w:w="657" w:type="pct"/>
                  <w:tcBorders>
                    <w:tl2br w:val="nil"/>
                    <w:tr2bl w:val="nil"/>
                  </w:tcBorders>
                  <w:vAlign w:val="center"/>
                </w:tcPr>
                <w:p w14:paraId="61FD067A">
                  <w:pPr>
                    <w:pStyle w:val="88"/>
                    <w:rPr>
                      <w:rFonts w:hint="default" w:ascii="Times New Roman"/>
                      <w:color w:val="auto"/>
                      <w:szCs w:val="21"/>
                    </w:rPr>
                  </w:pPr>
                  <w:r>
                    <w:rPr>
                      <w:rFonts w:hint="default" w:ascii="Times New Roman"/>
                      <w:color w:val="auto"/>
                      <w:szCs w:val="21"/>
                    </w:rPr>
                    <w:t>1</w:t>
                  </w:r>
                </w:p>
              </w:tc>
            </w:tr>
            <w:tr w14:paraId="5620B7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478AEBED">
                  <w:pPr>
                    <w:pStyle w:val="88"/>
                    <w:rPr>
                      <w:rFonts w:hint="default" w:ascii="Times New Roman"/>
                      <w:color w:val="auto"/>
                      <w:szCs w:val="21"/>
                    </w:rPr>
                  </w:pPr>
                  <w:r>
                    <w:rPr>
                      <w:rFonts w:hint="default" w:ascii="Times New Roman"/>
                      <w:color w:val="auto"/>
                      <w:szCs w:val="21"/>
                    </w:rPr>
                    <w:t>6</w:t>
                  </w:r>
                </w:p>
              </w:tc>
              <w:tc>
                <w:tcPr>
                  <w:tcW w:w="1147" w:type="pct"/>
                  <w:tcBorders>
                    <w:tl2br w:val="nil"/>
                    <w:tr2bl w:val="nil"/>
                  </w:tcBorders>
                  <w:vAlign w:val="center"/>
                </w:tcPr>
                <w:p w14:paraId="5FA3BE09">
                  <w:pPr>
                    <w:pStyle w:val="88"/>
                    <w:rPr>
                      <w:rFonts w:hint="default" w:ascii="Times New Roman"/>
                      <w:color w:val="auto"/>
                      <w:szCs w:val="21"/>
                    </w:rPr>
                  </w:pPr>
                  <w:r>
                    <w:rPr>
                      <w:rFonts w:hint="default" w:ascii="Times New Roman"/>
                      <w:color w:val="auto"/>
                      <w:szCs w:val="21"/>
                    </w:rPr>
                    <w:t>载重汽车</w:t>
                  </w:r>
                </w:p>
              </w:tc>
              <w:tc>
                <w:tcPr>
                  <w:tcW w:w="1298" w:type="pct"/>
                  <w:tcBorders>
                    <w:tl2br w:val="nil"/>
                    <w:tr2bl w:val="nil"/>
                  </w:tcBorders>
                  <w:vAlign w:val="center"/>
                </w:tcPr>
                <w:p w14:paraId="443454B8">
                  <w:pPr>
                    <w:pStyle w:val="88"/>
                    <w:rPr>
                      <w:rFonts w:hint="default" w:ascii="Times New Roman"/>
                      <w:color w:val="auto"/>
                      <w:szCs w:val="21"/>
                    </w:rPr>
                  </w:pPr>
                  <w:r>
                    <w:rPr>
                      <w:rFonts w:hint="default" w:ascii="Times New Roman"/>
                      <w:color w:val="auto"/>
                      <w:szCs w:val="21"/>
                    </w:rPr>
                    <w:t>15t</w:t>
                  </w:r>
                </w:p>
              </w:tc>
              <w:tc>
                <w:tcPr>
                  <w:tcW w:w="494" w:type="pct"/>
                  <w:tcBorders>
                    <w:tl2br w:val="nil"/>
                    <w:tr2bl w:val="nil"/>
                  </w:tcBorders>
                  <w:vAlign w:val="center"/>
                </w:tcPr>
                <w:p w14:paraId="3882577D">
                  <w:pPr>
                    <w:pStyle w:val="88"/>
                    <w:rPr>
                      <w:rFonts w:hint="default" w:ascii="Times New Roman"/>
                      <w:color w:val="auto"/>
                      <w:szCs w:val="21"/>
                    </w:rPr>
                  </w:pPr>
                  <w:r>
                    <w:rPr>
                      <w:rFonts w:hint="default" w:ascii="Times New Roman"/>
                      <w:color w:val="auto"/>
                      <w:szCs w:val="21"/>
                    </w:rPr>
                    <w:t>辆</w:t>
                  </w:r>
                </w:p>
              </w:tc>
              <w:tc>
                <w:tcPr>
                  <w:tcW w:w="908" w:type="pct"/>
                  <w:tcBorders>
                    <w:tl2br w:val="nil"/>
                    <w:tr2bl w:val="nil"/>
                  </w:tcBorders>
                  <w:vAlign w:val="center"/>
                </w:tcPr>
                <w:p w14:paraId="418E63CD">
                  <w:pPr>
                    <w:pStyle w:val="88"/>
                    <w:rPr>
                      <w:rFonts w:hint="default" w:ascii="Times New Roman"/>
                      <w:color w:val="auto"/>
                      <w:szCs w:val="21"/>
                    </w:rPr>
                  </w:pPr>
                  <w:r>
                    <w:rPr>
                      <w:rFonts w:hint="default" w:ascii="Times New Roman"/>
                      <w:color w:val="auto"/>
                      <w:szCs w:val="21"/>
                    </w:rPr>
                    <w:t>/</w:t>
                  </w:r>
                </w:p>
              </w:tc>
              <w:tc>
                <w:tcPr>
                  <w:tcW w:w="657" w:type="pct"/>
                  <w:tcBorders>
                    <w:tl2br w:val="nil"/>
                    <w:tr2bl w:val="nil"/>
                  </w:tcBorders>
                  <w:vAlign w:val="center"/>
                </w:tcPr>
                <w:p w14:paraId="39BFAF1D">
                  <w:pPr>
                    <w:pStyle w:val="88"/>
                    <w:rPr>
                      <w:rFonts w:hint="eastAsia" w:ascii="Times New Roman" w:eastAsia="宋体"/>
                      <w:color w:val="auto"/>
                      <w:szCs w:val="21"/>
                      <w:lang w:eastAsia="zh-CN"/>
                    </w:rPr>
                  </w:pPr>
                  <w:r>
                    <w:rPr>
                      <w:rFonts w:hint="eastAsia" w:ascii="Times New Roman"/>
                      <w:color w:val="auto"/>
                      <w:szCs w:val="21"/>
                      <w:lang w:val="en-US" w:eastAsia="zh-CN"/>
                    </w:rPr>
                    <w:t>2</w:t>
                  </w:r>
                </w:p>
              </w:tc>
            </w:tr>
            <w:tr w14:paraId="1553C0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77B98E93">
                  <w:pPr>
                    <w:pStyle w:val="88"/>
                    <w:rPr>
                      <w:rFonts w:hint="default" w:ascii="Times New Roman"/>
                      <w:color w:val="auto"/>
                      <w:szCs w:val="21"/>
                    </w:rPr>
                  </w:pPr>
                  <w:r>
                    <w:rPr>
                      <w:rFonts w:hint="default" w:ascii="Times New Roman"/>
                      <w:color w:val="auto"/>
                      <w:szCs w:val="21"/>
                    </w:rPr>
                    <w:t>7</w:t>
                  </w:r>
                </w:p>
              </w:tc>
              <w:tc>
                <w:tcPr>
                  <w:tcW w:w="1147" w:type="pct"/>
                  <w:tcBorders>
                    <w:tl2br w:val="nil"/>
                    <w:tr2bl w:val="nil"/>
                  </w:tcBorders>
                  <w:vAlign w:val="center"/>
                </w:tcPr>
                <w:p w14:paraId="48A6351D">
                  <w:pPr>
                    <w:pStyle w:val="88"/>
                    <w:rPr>
                      <w:rFonts w:hint="default" w:ascii="Times New Roman"/>
                      <w:color w:val="auto"/>
                      <w:szCs w:val="21"/>
                    </w:rPr>
                  </w:pPr>
                  <w:r>
                    <w:rPr>
                      <w:rFonts w:hint="default" w:ascii="Times New Roman"/>
                      <w:color w:val="auto"/>
                      <w:szCs w:val="21"/>
                    </w:rPr>
                    <w:t>载重汽车</w:t>
                  </w:r>
                </w:p>
              </w:tc>
              <w:tc>
                <w:tcPr>
                  <w:tcW w:w="1298" w:type="pct"/>
                  <w:tcBorders>
                    <w:tl2br w:val="nil"/>
                    <w:tr2bl w:val="nil"/>
                  </w:tcBorders>
                  <w:vAlign w:val="center"/>
                </w:tcPr>
                <w:p w14:paraId="566BA862">
                  <w:pPr>
                    <w:pStyle w:val="88"/>
                    <w:rPr>
                      <w:rFonts w:hint="default" w:ascii="Times New Roman"/>
                      <w:color w:val="auto"/>
                      <w:szCs w:val="21"/>
                    </w:rPr>
                  </w:pPr>
                  <w:r>
                    <w:rPr>
                      <w:rFonts w:hint="default" w:ascii="Times New Roman"/>
                      <w:color w:val="auto"/>
                      <w:szCs w:val="21"/>
                    </w:rPr>
                    <w:t>5t</w:t>
                  </w:r>
                </w:p>
              </w:tc>
              <w:tc>
                <w:tcPr>
                  <w:tcW w:w="494" w:type="pct"/>
                  <w:tcBorders>
                    <w:tl2br w:val="nil"/>
                    <w:tr2bl w:val="nil"/>
                  </w:tcBorders>
                  <w:vAlign w:val="center"/>
                </w:tcPr>
                <w:p w14:paraId="6218A884">
                  <w:pPr>
                    <w:pStyle w:val="88"/>
                    <w:rPr>
                      <w:rFonts w:hint="default" w:ascii="Times New Roman"/>
                      <w:color w:val="auto"/>
                      <w:szCs w:val="21"/>
                    </w:rPr>
                  </w:pPr>
                  <w:r>
                    <w:rPr>
                      <w:rFonts w:hint="default" w:ascii="Times New Roman"/>
                      <w:color w:val="auto"/>
                      <w:szCs w:val="21"/>
                    </w:rPr>
                    <w:t>辆</w:t>
                  </w:r>
                </w:p>
              </w:tc>
              <w:tc>
                <w:tcPr>
                  <w:tcW w:w="908" w:type="pct"/>
                  <w:tcBorders>
                    <w:tl2br w:val="nil"/>
                    <w:tr2bl w:val="nil"/>
                  </w:tcBorders>
                  <w:vAlign w:val="center"/>
                </w:tcPr>
                <w:p w14:paraId="0BACA5AF">
                  <w:pPr>
                    <w:pStyle w:val="88"/>
                    <w:rPr>
                      <w:rFonts w:hint="default" w:ascii="Times New Roman"/>
                      <w:color w:val="auto"/>
                      <w:szCs w:val="21"/>
                    </w:rPr>
                  </w:pPr>
                  <w:r>
                    <w:rPr>
                      <w:rFonts w:hint="default" w:ascii="Times New Roman"/>
                      <w:color w:val="auto"/>
                      <w:szCs w:val="21"/>
                    </w:rPr>
                    <w:t>/</w:t>
                  </w:r>
                </w:p>
              </w:tc>
              <w:tc>
                <w:tcPr>
                  <w:tcW w:w="657" w:type="pct"/>
                  <w:tcBorders>
                    <w:tl2br w:val="nil"/>
                    <w:tr2bl w:val="nil"/>
                  </w:tcBorders>
                  <w:vAlign w:val="center"/>
                </w:tcPr>
                <w:p w14:paraId="13E1628B">
                  <w:pPr>
                    <w:pStyle w:val="88"/>
                    <w:rPr>
                      <w:rFonts w:hint="eastAsia" w:ascii="Times New Roman" w:eastAsia="宋体"/>
                      <w:color w:val="auto"/>
                      <w:szCs w:val="21"/>
                      <w:lang w:eastAsia="zh-CN"/>
                    </w:rPr>
                  </w:pPr>
                  <w:r>
                    <w:rPr>
                      <w:rFonts w:hint="eastAsia" w:ascii="Times New Roman"/>
                      <w:color w:val="auto"/>
                      <w:szCs w:val="21"/>
                      <w:lang w:val="en-US" w:eastAsia="zh-CN"/>
                    </w:rPr>
                    <w:t>2</w:t>
                  </w:r>
                </w:p>
              </w:tc>
            </w:tr>
            <w:tr w14:paraId="4D967D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4636B31B">
                  <w:pPr>
                    <w:pStyle w:val="88"/>
                    <w:rPr>
                      <w:rFonts w:hint="default" w:ascii="Times New Roman"/>
                      <w:color w:val="auto"/>
                      <w:szCs w:val="21"/>
                    </w:rPr>
                  </w:pPr>
                  <w:r>
                    <w:rPr>
                      <w:rFonts w:hint="default" w:ascii="Times New Roman"/>
                      <w:color w:val="auto"/>
                      <w:szCs w:val="21"/>
                    </w:rPr>
                    <w:t>8</w:t>
                  </w:r>
                </w:p>
              </w:tc>
              <w:tc>
                <w:tcPr>
                  <w:tcW w:w="1147" w:type="pct"/>
                  <w:tcBorders>
                    <w:tl2br w:val="nil"/>
                    <w:tr2bl w:val="nil"/>
                  </w:tcBorders>
                  <w:vAlign w:val="center"/>
                </w:tcPr>
                <w:p w14:paraId="0D2B7E7A">
                  <w:pPr>
                    <w:pStyle w:val="88"/>
                    <w:rPr>
                      <w:rFonts w:hint="default" w:ascii="Times New Roman"/>
                      <w:color w:val="auto"/>
                      <w:szCs w:val="21"/>
                    </w:rPr>
                  </w:pPr>
                  <w:r>
                    <w:rPr>
                      <w:rFonts w:hint="default" w:ascii="Times New Roman"/>
                      <w:color w:val="auto"/>
                      <w:szCs w:val="21"/>
                    </w:rPr>
                    <w:t>自卸汽车</w:t>
                  </w:r>
                </w:p>
              </w:tc>
              <w:tc>
                <w:tcPr>
                  <w:tcW w:w="1298" w:type="pct"/>
                  <w:tcBorders>
                    <w:tl2br w:val="nil"/>
                    <w:tr2bl w:val="nil"/>
                  </w:tcBorders>
                  <w:vAlign w:val="center"/>
                </w:tcPr>
                <w:p w14:paraId="11AB6122">
                  <w:pPr>
                    <w:pStyle w:val="88"/>
                    <w:rPr>
                      <w:rFonts w:hint="default" w:ascii="Times New Roman"/>
                      <w:color w:val="auto"/>
                      <w:szCs w:val="21"/>
                    </w:rPr>
                  </w:pPr>
                  <w:r>
                    <w:rPr>
                      <w:rFonts w:hint="default" w:ascii="Times New Roman"/>
                      <w:color w:val="auto"/>
                      <w:szCs w:val="21"/>
                    </w:rPr>
                    <w:t>8t</w:t>
                  </w:r>
                </w:p>
              </w:tc>
              <w:tc>
                <w:tcPr>
                  <w:tcW w:w="494" w:type="pct"/>
                  <w:tcBorders>
                    <w:tl2br w:val="nil"/>
                    <w:tr2bl w:val="nil"/>
                  </w:tcBorders>
                  <w:vAlign w:val="center"/>
                </w:tcPr>
                <w:p w14:paraId="469C1D92">
                  <w:pPr>
                    <w:pStyle w:val="88"/>
                    <w:rPr>
                      <w:rFonts w:hint="default" w:ascii="Times New Roman"/>
                      <w:color w:val="auto"/>
                      <w:szCs w:val="21"/>
                    </w:rPr>
                  </w:pPr>
                  <w:r>
                    <w:rPr>
                      <w:rFonts w:hint="default" w:ascii="Times New Roman"/>
                      <w:color w:val="auto"/>
                      <w:szCs w:val="21"/>
                    </w:rPr>
                    <w:t>辆</w:t>
                  </w:r>
                </w:p>
              </w:tc>
              <w:tc>
                <w:tcPr>
                  <w:tcW w:w="908" w:type="pct"/>
                  <w:tcBorders>
                    <w:tl2br w:val="nil"/>
                    <w:tr2bl w:val="nil"/>
                  </w:tcBorders>
                  <w:vAlign w:val="center"/>
                </w:tcPr>
                <w:p w14:paraId="76F5D0D2">
                  <w:pPr>
                    <w:pStyle w:val="88"/>
                    <w:rPr>
                      <w:rFonts w:hint="default" w:ascii="Times New Roman"/>
                      <w:color w:val="auto"/>
                      <w:szCs w:val="21"/>
                    </w:rPr>
                  </w:pPr>
                  <w:r>
                    <w:rPr>
                      <w:rFonts w:hint="default" w:ascii="Times New Roman"/>
                      <w:color w:val="auto"/>
                      <w:szCs w:val="21"/>
                    </w:rPr>
                    <w:t>/</w:t>
                  </w:r>
                </w:p>
              </w:tc>
              <w:tc>
                <w:tcPr>
                  <w:tcW w:w="657" w:type="pct"/>
                  <w:tcBorders>
                    <w:tl2br w:val="nil"/>
                    <w:tr2bl w:val="nil"/>
                  </w:tcBorders>
                  <w:vAlign w:val="center"/>
                </w:tcPr>
                <w:p w14:paraId="6B1B6A88">
                  <w:pPr>
                    <w:pStyle w:val="88"/>
                    <w:rPr>
                      <w:rFonts w:hint="eastAsia" w:ascii="Times New Roman" w:eastAsia="宋体"/>
                      <w:color w:val="auto"/>
                      <w:szCs w:val="21"/>
                      <w:lang w:eastAsia="zh-CN"/>
                    </w:rPr>
                  </w:pPr>
                  <w:r>
                    <w:rPr>
                      <w:rFonts w:hint="eastAsia" w:ascii="Times New Roman"/>
                      <w:color w:val="auto"/>
                      <w:szCs w:val="21"/>
                      <w:lang w:val="en-US" w:eastAsia="zh-CN"/>
                    </w:rPr>
                    <w:t>2</w:t>
                  </w:r>
                </w:p>
              </w:tc>
            </w:tr>
            <w:tr w14:paraId="5AA935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6CDD4E78">
                  <w:pPr>
                    <w:pStyle w:val="88"/>
                    <w:rPr>
                      <w:rFonts w:hint="default" w:ascii="Times New Roman"/>
                      <w:color w:val="auto"/>
                      <w:szCs w:val="21"/>
                    </w:rPr>
                  </w:pPr>
                  <w:r>
                    <w:rPr>
                      <w:rFonts w:hint="default" w:ascii="Times New Roman"/>
                      <w:color w:val="auto"/>
                      <w:szCs w:val="21"/>
                    </w:rPr>
                    <w:t>9</w:t>
                  </w:r>
                </w:p>
              </w:tc>
              <w:tc>
                <w:tcPr>
                  <w:tcW w:w="1147" w:type="pct"/>
                  <w:tcBorders>
                    <w:tl2br w:val="nil"/>
                    <w:tr2bl w:val="nil"/>
                  </w:tcBorders>
                  <w:vAlign w:val="center"/>
                </w:tcPr>
                <w:p w14:paraId="03E8F161">
                  <w:pPr>
                    <w:pStyle w:val="88"/>
                    <w:rPr>
                      <w:rFonts w:hint="default" w:ascii="Times New Roman"/>
                      <w:color w:val="auto"/>
                      <w:szCs w:val="21"/>
                    </w:rPr>
                  </w:pPr>
                  <w:r>
                    <w:rPr>
                      <w:rFonts w:hint="default" w:ascii="Times New Roman"/>
                      <w:color w:val="auto"/>
                      <w:szCs w:val="21"/>
                    </w:rPr>
                    <w:t>自卸汽车</w:t>
                  </w:r>
                </w:p>
              </w:tc>
              <w:tc>
                <w:tcPr>
                  <w:tcW w:w="1298" w:type="pct"/>
                  <w:tcBorders>
                    <w:tl2br w:val="nil"/>
                    <w:tr2bl w:val="nil"/>
                  </w:tcBorders>
                  <w:vAlign w:val="center"/>
                </w:tcPr>
                <w:p w14:paraId="0E335212">
                  <w:pPr>
                    <w:pStyle w:val="88"/>
                    <w:rPr>
                      <w:rFonts w:hint="default" w:ascii="Times New Roman"/>
                      <w:color w:val="auto"/>
                      <w:szCs w:val="21"/>
                    </w:rPr>
                  </w:pPr>
                  <w:r>
                    <w:rPr>
                      <w:rFonts w:hint="default" w:ascii="Times New Roman"/>
                      <w:color w:val="auto"/>
                      <w:szCs w:val="21"/>
                    </w:rPr>
                    <w:t>5t</w:t>
                  </w:r>
                </w:p>
              </w:tc>
              <w:tc>
                <w:tcPr>
                  <w:tcW w:w="494" w:type="pct"/>
                  <w:tcBorders>
                    <w:tl2br w:val="nil"/>
                    <w:tr2bl w:val="nil"/>
                  </w:tcBorders>
                  <w:vAlign w:val="center"/>
                </w:tcPr>
                <w:p w14:paraId="4CCFBE43">
                  <w:pPr>
                    <w:pStyle w:val="88"/>
                    <w:rPr>
                      <w:rFonts w:hint="default" w:ascii="Times New Roman"/>
                      <w:color w:val="auto"/>
                      <w:szCs w:val="21"/>
                    </w:rPr>
                  </w:pPr>
                  <w:r>
                    <w:rPr>
                      <w:rFonts w:hint="default" w:ascii="Times New Roman"/>
                      <w:color w:val="auto"/>
                      <w:szCs w:val="21"/>
                    </w:rPr>
                    <w:t>辆</w:t>
                  </w:r>
                </w:p>
              </w:tc>
              <w:tc>
                <w:tcPr>
                  <w:tcW w:w="908" w:type="pct"/>
                  <w:tcBorders>
                    <w:tl2br w:val="nil"/>
                    <w:tr2bl w:val="nil"/>
                  </w:tcBorders>
                  <w:vAlign w:val="center"/>
                </w:tcPr>
                <w:p w14:paraId="7F38AA7C">
                  <w:pPr>
                    <w:pStyle w:val="88"/>
                    <w:rPr>
                      <w:rFonts w:hint="default" w:ascii="Times New Roman"/>
                      <w:color w:val="auto"/>
                      <w:szCs w:val="21"/>
                    </w:rPr>
                  </w:pPr>
                  <w:r>
                    <w:rPr>
                      <w:rFonts w:hint="default" w:ascii="Times New Roman"/>
                      <w:color w:val="auto"/>
                      <w:szCs w:val="21"/>
                    </w:rPr>
                    <w:t>/</w:t>
                  </w:r>
                </w:p>
              </w:tc>
              <w:tc>
                <w:tcPr>
                  <w:tcW w:w="657" w:type="pct"/>
                  <w:tcBorders>
                    <w:tl2br w:val="nil"/>
                    <w:tr2bl w:val="nil"/>
                  </w:tcBorders>
                  <w:vAlign w:val="center"/>
                </w:tcPr>
                <w:p w14:paraId="1BB148DC">
                  <w:pPr>
                    <w:pStyle w:val="88"/>
                    <w:rPr>
                      <w:rFonts w:hint="eastAsia" w:ascii="Times New Roman" w:eastAsia="宋体"/>
                      <w:color w:val="auto"/>
                      <w:szCs w:val="21"/>
                      <w:lang w:eastAsia="zh-CN"/>
                    </w:rPr>
                  </w:pPr>
                  <w:r>
                    <w:rPr>
                      <w:rFonts w:hint="eastAsia" w:ascii="Times New Roman"/>
                      <w:color w:val="auto"/>
                      <w:szCs w:val="21"/>
                      <w:lang w:val="en-US" w:eastAsia="zh-CN"/>
                    </w:rPr>
                    <w:t>2</w:t>
                  </w:r>
                </w:p>
              </w:tc>
            </w:tr>
            <w:tr w14:paraId="445410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724BA91B">
                  <w:pPr>
                    <w:pStyle w:val="88"/>
                    <w:rPr>
                      <w:rFonts w:hint="default" w:ascii="Times New Roman"/>
                      <w:color w:val="auto"/>
                      <w:szCs w:val="21"/>
                    </w:rPr>
                  </w:pPr>
                  <w:r>
                    <w:rPr>
                      <w:rFonts w:hint="default" w:ascii="Times New Roman"/>
                      <w:color w:val="auto"/>
                      <w:szCs w:val="21"/>
                    </w:rPr>
                    <w:t>10</w:t>
                  </w:r>
                </w:p>
              </w:tc>
              <w:tc>
                <w:tcPr>
                  <w:tcW w:w="1147" w:type="pct"/>
                  <w:tcBorders>
                    <w:tl2br w:val="nil"/>
                    <w:tr2bl w:val="nil"/>
                  </w:tcBorders>
                  <w:vAlign w:val="center"/>
                </w:tcPr>
                <w:p w14:paraId="28780CA1">
                  <w:pPr>
                    <w:pStyle w:val="88"/>
                    <w:rPr>
                      <w:rFonts w:hint="default" w:ascii="Times New Roman"/>
                      <w:color w:val="auto"/>
                      <w:szCs w:val="21"/>
                    </w:rPr>
                  </w:pPr>
                  <w:r>
                    <w:rPr>
                      <w:rFonts w:hint="default" w:ascii="Times New Roman"/>
                      <w:color w:val="auto"/>
                      <w:szCs w:val="21"/>
                    </w:rPr>
                    <w:t>小型拖拉机</w:t>
                  </w:r>
                </w:p>
              </w:tc>
              <w:tc>
                <w:tcPr>
                  <w:tcW w:w="1298" w:type="pct"/>
                  <w:tcBorders>
                    <w:tl2br w:val="nil"/>
                    <w:tr2bl w:val="nil"/>
                  </w:tcBorders>
                  <w:vAlign w:val="center"/>
                </w:tcPr>
                <w:p w14:paraId="01D05C88">
                  <w:pPr>
                    <w:pStyle w:val="88"/>
                    <w:rPr>
                      <w:rFonts w:hint="default" w:ascii="Times New Roman"/>
                      <w:color w:val="auto"/>
                      <w:szCs w:val="21"/>
                    </w:rPr>
                  </w:pPr>
                  <w:r>
                    <w:rPr>
                      <w:rFonts w:hint="default" w:ascii="Times New Roman"/>
                      <w:color w:val="auto"/>
                      <w:szCs w:val="21"/>
                    </w:rPr>
                    <w:t>/</w:t>
                  </w:r>
                </w:p>
              </w:tc>
              <w:tc>
                <w:tcPr>
                  <w:tcW w:w="494" w:type="pct"/>
                  <w:tcBorders>
                    <w:tl2br w:val="nil"/>
                    <w:tr2bl w:val="nil"/>
                  </w:tcBorders>
                  <w:vAlign w:val="center"/>
                </w:tcPr>
                <w:p w14:paraId="3F4F4442">
                  <w:pPr>
                    <w:pStyle w:val="88"/>
                    <w:rPr>
                      <w:rFonts w:hint="default" w:ascii="Times New Roman"/>
                      <w:color w:val="auto"/>
                      <w:szCs w:val="21"/>
                    </w:rPr>
                  </w:pPr>
                  <w:r>
                    <w:rPr>
                      <w:rFonts w:hint="default" w:ascii="Times New Roman"/>
                      <w:color w:val="auto"/>
                      <w:szCs w:val="21"/>
                    </w:rPr>
                    <w:t>辆</w:t>
                  </w:r>
                </w:p>
              </w:tc>
              <w:tc>
                <w:tcPr>
                  <w:tcW w:w="908" w:type="pct"/>
                  <w:tcBorders>
                    <w:tl2br w:val="nil"/>
                    <w:tr2bl w:val="nil"/>
                  </w:tcBorders>
                  <w:vAlign w:val="center"/>
                </w:tcPr>
                <w:p w14:paraId="30DF79A7">
                  <w:pPr>
                    <w:pStyle w:val="88"/>
                    <w:rPr>
                      <w:rFonts w:hint="default" w:ascii="Times New Roman"/>
                      <w:color w:val="auto"/>
                      <w:szCs w:val="21"/>
                    </w:rPr>
                  </w:pPr>
                  <w:r>
                    <w:rPr>
                      <w:rFonts w:hint="default" w:ascii="Times New Roman"/>
                      <w:color w:val="auto"/>
                      <w:szCs w:val="21"/>
                    </w:rPr>
                    <w:t>/</w:t>
                  </w:r>
                </w:p>
              </w:tc>
              <w:tc>
                <w:tcPr>
                  <w:tcW w:w="657" w:type="pct"/>
                  <w:tcBorders>
                    <w:tl2br w:val="nil"/>
                    <w:tr2bl w:val="nil"/>
                  </w:tcBorders>
                  <w:vAlign w:val="center"/>
                </w:tcPr>
                <w:p w14:paraId="5F08EF9F">
                  <w:pPr>
                    <w:pStyle w:val="88"/>
                    <w:rPr>
                      <w:rFonts w:hint="eastAsia" w:ascii="Times New Roman" w:eastAsia="宋体"/>
                      <w:color w:val="auto"/>
                      <w:szCs w:val="21"/>
                      <w:lang w:eastAsia="zh-CN"/>
                    </w:rPr>
                  </w:pPr>
                  <w:r>
                    <w:rPr>
                      <w:rFonts w:hint="eastAsia" w:ascii="Times New Roman"/>
                      <w:color w:val="auto"/>
                      <w:szCs w:val="21"/>
                      <w:lang w:val="en-US" w:eastAsia="zh-CN"/>
                    </w:rPr>
                    <w:t>1</w:t>
                  </w:r>
                </w:p>
              </w:tc>
            </w:tr>
            <w:tr w14:paraId="79FEF1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6DE6BC23">
                  <w:pPr>
                    <w:pStyle w:val="88"/>
                    <w:rPr>
                      <w:rFonts w:hint="default" w:ascii="Times New Roman"/>
                      <w:color w:val="auto"/>
                      <w:szCs w:val="21"/>
                    </w:rPr>
                  </w:pPr>
                  <w:r>
                    <w:rPr>
                      <w:rFonts w:hint="default" w:ascii="Times New Roman"/>
                      <w:color w:val="auto"/>
                      <w:szCs w:val="21"/>
                    </w:rPr>
                    <w:t>11</w:t>
                  </w:r>
                </w:p>
              </w:tc>
              <w:tc>
                <w:tcPr>
                  <w:tcW w:w="1147" w:type="pct"/>
                  <w:tcBorders>
                    <w:tl2br w:val="nil"/>
                    <w:tr2bl w:val="nil"/>
                  </w:tcBorders>
                  <w:vAlign w:val="center"/>
                </w:tcPr>
                <w:p w14:paraId="49503CDE">
                  <w:pPr>
                    <w:pStyle w:val="88"/>
                    <w:rPr>
                      <w:rFonts w:hint="default" w:ascii="Times New Roman"/>
                      <w:color w:val="auto"/>
                      <w:szCs w:val="21"/>
                    </w:rPr>
                  </w:pPr>
                  <w:r>
                    <w:rPr>
                      <w:rFonts w:hint="default" w:ascii="Times New Roman"/>
                      <w:color w:val="auto"/>
                      <w:szCs w:val="21"/>
                    </w:rPr>
                    <w:t>平板振捣器</w:t>
                  </w:r>
                </w:p>
              </w:tc>
              <w:tc>
                <w:tcPr>
                  <w:tcW w:w="1298" w:type="pct"/>
                  <w:tcBorders>
                    <w:tl2br w:val="nil"/>
                    <w:tr2bl w:val="nil"/>
                  </w:tcBorders>
                  <w:vAlign w:val="center"/>
                </w:tcPr>
                <w:p w14:paraId="0269A714">
                  <w:pPr>
                    <w:pStyle w:val="88"/>
                    <w:rPr>
                      <w:rFonts w:hint="default" w:ascii="Times New Roman"/>
                      <w:color w:val="auto"/>
                      <w:szCs w:val="21"/>
                    </w:rPr>
                  </w:pPr>
                  <w:r>
                    <w:rPr>
                      <w:rFonts w:hint="default" w:ascii="Times New Roman"/>
                      <w:color w:val="auto"/>
                      <w:szCs w:val="21"/>
                    </w:rPr>
                    <w:t>SGTP180</w:t>
                  </w:r>
                </w:p>
              </w:tc>
              <w:tc>
                <w:tcPr>
                  <w:tcW w:w="494" w:type="pct"/>
                  <w:tcBorders>
                    <w:tl2br w:val="nil"/>
                    <w:tr2bl w:val="nil"/>
                  </w:tcBorders>
                  <w:vAlign w:val="center"/>
                </w:tcPr>
                <w:p w14:paraId="126DBE84">
                  <w:pPr>
                    <w:pStyle w:val="88"/>
                    <w:rPr>
                      <w:rFonts w:hint="default" w:ascii="Times New Roman"/>
                      <w:color w:val="auto"/>
                      <w:szCs w:val="21"/>
                    </w:rPr>
                  </w:pPr>
                  <w:r>
                    <w:rPr>
                      <w:rFonts w:hint="default" w:ascii="Times New Roman"/>
                      <w:color w:val="auto"/>
                      <w:szCs w:val="21"/>
                    </w:rPr>
                    <w:t>台</w:t>
                  </w:r>
                </w:p>
              </w:tc>
              <w:tc>
                <w:tcPr>
                  <w:tcW w:w="908" w:type="pct"/>
                  <w:tcBorders>
                    <w:tl2br w:val="nil"/>
                    <w:tr2bl w:val="nil"/>
                  </w:tcBorders>
                  <w:vAlign w:val="center"/>
                </w:tcPr>
                <w:p w14:paraId="2A11728A">
                  <w:pPr>
                    <w:pStyle w:val="88"/>
                    <w:rPr>
                      <w:rFonts w:hint="default" w:ascii="Times New Roman"/>
                      <w:color w:val="auto"/>
                      <w:szCs w:val="21"/>
                    </w:rPr>
                  </w:pPr>
                  <w:r>
                    <w:rPr>
                      <w:rFonts w:hint="default" w:ascii="Times New Roman"/>
                      <w:color w:val="auto"/>
                      <w:szCs w:val="21"/>
                    </w:rPr>
                    <w:t>2.2</w:t>
                  </w:r>
                </w:p>
              </w:tc>
              <w:tc>
                <w:tcPr>
                  <w:tcW w:w="657" w:type="pct"/>
                  <w:tcBorders>
                    <w:tl2br w:val="nil"/>
                    <w:tr2bl w:val="nil"/>
                  </w:tcBorders>
                  <w:vAlign w:val="center"/>
                </w:tcPr>
                <w:p w14:paraId="2A8A2E56">
                  <w:pPr>
                    <w:pStyle w:val="88"/>
                    <w:rPr>
                      <w:rFonts w:hint="eastAsia" w:ascii="Times New Roman" w:eastAsia="宋体"/>
                      <w:color w:val="auto"/>
                      <w:szCs w:val="21"/>
                      <w:lang w:eastAsia="zh-CN"/>
                    </w:rPr>
                  </w:pPr>
                  <w:r>
                    <w:rPr>
                      <w:rFonts w:hint="eastAsia" w:ascii="Times New Roman"/>
                      <w:color w:val="auto"/>
                      <w:szCs w:val="21"/>
                      <w:lang w:val="en-US" w:eastAsia="zh-CN"/>
                    </w:rPr>
                    <w:t>3</w:t>
                  </w:r>
                </w:p>
              </w:tc>
            </w:tr>
            <w:tr w14:paraId="4A3419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74300C7C">
                  <w:pPr>
                    <w:pStyle w:val="88"/>
                    <w:rPr>
                      <w:rFonts w:hint="default" w:ascii="Times New Roman"/>
                      <w:color w:val="auto"/>
                      <w:szCs w:val="21"/>
                    </w:rPr>
                  </w:pPr>
                  <w:r>
                    <w:rPr>
                      <w:rFonts w:hint="default" w:ascii="Times New Roman"/>
                      <w:color w:val="auto"/>
                      <w:szCs w:val="21"/>
                    </w:rPr>
                    <w:t>12</w:t>
                  </w:r>
                </w:p>
              </w:tc>
              <w:tc>
                <w:tcPr>
                  <w:tcW w:w="1147" w:type="pct"/>
                  <w:tcBorders>
                    <w:tl2br w:val="nil"/>
                    <w:tr2bl w:val="nil"/>
                  </w:tcBorders>
                  <w:vAlign w:val="center"/>
                </w:tcPr>
                <w:p w14:paraId="3DEA0072">
                  <w:pPr>
                    <w:pStyle w:val="88"/>
                    <w:rPr>
                      <w:rFonts w:hint="default" w:ascii="Times New Roman"/>
                      <w:color w:val="auto"/>
                      <w:szCs w:val="21"/>
                    </w:rPr>
                  </w:pPr>
                  <w:r>
                    <w:rPr>
                      <w:rFonts w:hint="default" w:ascii="Times New Roman"/>
                      <w:color w:val="auto"/>
                      <w:szCs w:val="21"/>
                    </w:rPr>
                    <w:t>插入式振捣器</w:t>
                  </w:r>
                </w:p>
              </w:tc>
              <w:tc>
                <w:tcPr>
                  <w:tcW w:w="1298" w:type="pct"/>
                  <w:tcBorders>
                    <w:tl2br w:val="nil"/>
                    <w:tr2bl w:val="nil"/>
                  </w:tcBorders>
                  <w:vAlign w:val="center"/>
                </w:tcPr>
                <w:p w14:paraId="15735635">
                  <w:pPr>
                    <w:pStyle w:val="88"/>
                    <w:rPr>
                      <w:rFonts w:hint="default" w:ascii="Times New Roman"/>
                      <w:color w:val="auto"/>
                      <w:szCs w:val="21"/>
                    </w:rPr>
                  </w:pPr>
                  <w:r>
                    <w:rPr>
                      <w:rFonts w:hint="default" w:ascii="Times New Roman"/>
                      <w:color w:val="auto"/>
                      <w:szCs w:val="21"/>
                    </w:rPr>
                    <w:t>2.2kw</w:t>
                  </w:r>
                </w:p>
              </w:tc>
              <w:tc>
                <w:tcPr>
                  <w:tcW w:w="494" w:type="pct"/>
                  <w:tcBorders>
                    <w:tl2br w:val="nil"/>
                    <w:tr2bl w:val="nil"/>
                  </w:tcBorders>
                  <w:vAlign w:val="center"/>
                </w:tcPr>
                <w:p w14:paraId="6F3FA39D">
                  <w:pPr>
                    <w:pStyle w:val="88"/>
                    <w:rPr>
                      <w:rFonts w:hint="default" w:ascii="Times New Roman"/>
                      <w:color w:val="auto"/>
                      <w:szCs w:val="21"/>
                    </w:rPr>
                  </w:pPr>
                  <w:r>
                    <w:rPr>
                      <w:rFonts w:hint="default" w:ascii="Times New Roman"/>
                      <w:color w:val="auto"/>
                      <w:szCs w:val="21"/>
                    </w:rPr>
                    <w:t>台</w:t>
                  </w:r>
                </w:p>
              </w:tc>
              <w:tc>
                <w:tcPr>
                  <w:tcW w:w="908" w:type="pct"/>
                  <w:tcBorders>
                    <w:tl2br w:val="nil"/>
                    <w:tr2bl w:val="nil"/>
                  </w:tcBorders>
                  <w:vAlign w:val="center"/>
                </w:tcPr>
                <w:p w14:paraId="118E26BC">
                  <w:pPr>
                    <w:pStyle w:val="88"/>
                    <w:rPr>
                      <w:rFonts w:hint="default" w:ascii="Times New Roman"/>
                      <w:color w:val="auto"/>
                      <w:szCs w:val="21"/>
                    </w:rPr>
                  </w:pPr>
                  <w:r>
                    <w:rPr>
                      <w:rFonts w:hint="default" w:ascii="Times New Roman"/>
                      <w:color w:val="auto"/>
                      <w:szCs w:val="21"/>
                    </w:rPr>
                    <w:t>2.2</w:t>
                  </w:r>
                </w:p>
              </w:tc>
              <w:tc>
                <w:tcPr>
                  <w:tcW w:w="657" w:type="pct"/>
                  <w:tcBorders>
                    <w:tl2br w:val="nil"/>
                    <w:tr2bl w:val="nil"/>
                  </w:tcBorders>
                  <w:vAlign w:val="center"/>
                </w:tcPr>
                <w:p w14:paraId="43013A94">
                  <w:pPr>
                    <w:pStyle w:val="88"/>
                    <w:rPr>
                      <w:rFonts w:hint="eastAsia" w:ascii="Times New Roman" w:eastAsia="宋体"/>
                      <w:color w:val="auto"/>
                      <w:szCs w:val="21"/>
                      <w:lang w:eastAsia="zh-CN"/>
                    </w:rPr>
                  </w:pPr>
                  <w:r>
                    <w:rPr>
                      <w:rFonts w:hint="eastAsia" w:ascii="Times New Roman"/>
                      <w:color w:val="auto"/>
                      <w:szCs w:val="21"/>
                      <w:lang w:val="en-US" w:eastAsia="zh-CN"/>
                    </w:rPr>
                    <w:t>2</w:t>
                  </w:r>
                </w:p>
              </w:tc>
            </w:tr>
            <w:tr w14:paraId="4B76D5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68A73F7E">
                  <w:pPr>
                    <w:pStyle w:val="88"/>
                    <w:rPr>
                      <w:rFonts w:hint="default" w:ascii="Times New Roman"/>
                      <w:color w:val="auto"/>
                      <w:szCs w:val="21"/>
                    </w:rPr>
                  </w:pPr>
                  <w:r>
                    <w:rPr>
                      <w:rFonts w:hint="default" w:ascii="Times New Roman"/>
                      <w:color w:val="auto"/>
                      <w:szCs w:val="21"/>
                    </w:rPr>
                    <w:t>13</w:t>
                  </w:r>
                </w:p>
              </w:tc>
              <w:tc>
                <w:tcPr>
                  <w:tcW w:w="1147" w:type="pct"/>
                  <w:tcBorders>
                    <w:tl2br w:val="nil"/>
                    <w:tr2bl w:val="nil"/>
                  </w:tcBorders>
                  <w:vAlign w:val="center"/>
                </w:tcPr>
                <w:p w14:paraId="411C111B">
                  <w:pPr>
                    <w:pStyle w:val="88"/>
                    <w:rPr>
                      <w:rFonts w:hint="default" w:ascii="Times New Roman"/>
                      <w:color w:val="auto"/>
                      <w:szCs w:val="21"/>
                    </w:rPr>
                  </w:pPr>
                  <w:r>
                    <w:rPr>
                      <w:rFonts w:hint="default" w:ascii="Times New Roman"/>
                      <w:color w:val="auto"/>
                      <w:szCs w:val="21"/>
                    </w:rPr>
                    <w:t>混凝土输送泵</w:t>
                  </w:r>
                </w:p>
              </w:tc>
              <w:tc>
                <w:tcPr>
                  <w:tcW w:w="1298" w:type="pct"/>
                  <w:tcBorders>
                    <w:tl2br w:val="nil"/>
                    <w:tr2bl w:val="nil"/>
                  </w:tcBorders>
                  <w:vAlign w:val="center"/>
                </w:tcPr>
                <w:p w14:paraId="4338393B">
                  <w:pPr>
                    <w:pStyle w:val="88"/>
                    <w:rPr>
                      <w:rFonts w:hint="default" w:ascii="Times New Roman"/>
                      <w:color w:val="auto"/>
                      <w:szCs w:val="21"/>
                    </w:rPr>
                  </w:pPr>
                  <w:r>
                    <w:rPr>
                      <w:rFonts w:hint="default" w:ascii="Times New Roman"/>
                      <w:color w:val="auto"/>
                      <w:szCs w:val="21"/>
                    </w:rPr>
                    <w:t>30m</w:t>
                  </w:r>
                  <w:r>
                    <w:rPr>
                      <w:rFonts w:hint="default" w:ascii="Times New Roman"/>
                      <w:color w:val="auto"/>
                      <w:szCs w:val="21"/>
                      <w:vertAlign w:val="superscript"/>
                    </w:rPr>
                    <w:t>3</w:t>
                  </w:r>
                  <w:r>
                    <w:rPr>
                      <w:rFonts w:hint="default" w:ascii="Times New Roman"/>
                      <w:color w:val="auto"/>
                      <w:szCs w:val="21"/>
                    </w:rPr>
                    <w:t>/h</w:t>
                  </w:r>
                </w:p>
              </w:tc>
              <w:tc>
                <w:tcPr>
                  <w:tcW w:w="494" w:type="pct"/>
                  <w:tcBorders>
                    <w:tl2br w:val="nil"/>
                    <w:tr2bl w:val="nil"/>
                  </w:tcBorders>
                  <w:vAlign w:val="center"/>
                </w:tcPr>
                <w:p w14:paraId="115DDF72">
                  <w:pPr>
                    <w:pStyle w:val="88"/>
                    <w:rPr>
                      <w:rFonts w:hint="default" w:ascii="Times New Roman"/>
                      <w:color w:val="auto"/>
                      <w:szCs w:val="21"/>
                    </w:rPr>
                  </w:pPr>
                  <w:r>
                    <w:rPr>
                      <w:rFonts w:hint="default" w:ascii="Times New Roman"/>
                      <w:color w:val="auto"/>
                      <w:szCs w:val="21"/>
                    </w:rPr>
                    <w:t>台</w:t>
                  </w:r>
                </w:p>
              </w:tc>
              <w:tc>
                <w:tcPr>
                  <w:tcW w:w="908" w:type="pct"/>
                  <w:tcBorders>
                    <w:tl2br w:val="nil"/>
                    <w:tr2bl w:val="nil"/>
                  </w:tcBorders>
                  <w:vAlign w:val="center"/>
                </w:tcPr>
                <w:p w14:paraId="78EC139F">
                  <w:pPr>
                    <w:pStyle w:val="88"/>
                    <w:rPr>
                      <w:rFonts w:hint="default" w:ascii="Times New Roman"/>
                      <w:color w:val="auto"/>
                      <w:szCs w:val="21"/>
                    </w:rPr>
                  </w:pPr>
                  <w:r>
                    <w:rPr>
                      <w:rFonts w:hint="default" w:ascii="Times New Roman"/>
                      <w:color w:val="auto"/>
                      <w:szCs w:val="21"/>
                    </w:rPr>
                    <w:t>/</w:t>
                  </w:r>
                </w:p>
              </w:tc>
              <w:tc>
                <w:tcPr>
                  <w:tcW w:w="657" w:type="pct"/>
                  <w:tcBorders>
                    <w:tl2br w:val="nil"/>
                    <w:tr2bl w:val="nil"/>
                  </w:tcBorders>
                  <w:vAlign w:val="center"/>
                </w:tcPr>
                <w:p w14:paraId="06DCC0F8">
                  <w:pPr>
                    <w:pStyle w:val="88"/>
                    <w:rPr>
                      <w:rFonts w:hint="eastAsia" w:ascii="Times New Roman" w:eastAsia="宋体"/>
                      <w:color w:val="auto"/>
                      <w:szCs w:val="21"/>
                      <w:lang w:eastAsia="zh-CN"/>
                    </w:rPr>
                  </w:pPr>
                  <w:r>
                    <w:rPr>
                      <w:rFonts w:hint="eastAsia" w:ascii="Times New Roman"/>
                      <w:color w:val="auto"/>
                      <w:szCs w:val="21"/>
                      <w:lang w:val="en-US" w:eastAsia="zh-CN"/>
                    </w:rPr>
                    <w:t>2</w:t>
                  </w:r>
                </w:p>
              </w:tc>
            </w:tr>
            <w:tr w14:paraId="7E794B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20440C87">
                  <w:pPr>
                    <w:pStyle w:val="88"/>
                    <w:rPr>
                      <w:rFonts w:hint="default" w:ascii="Times New Roman"/>
                      <w:color w:val="auto"/>
                      <w:szCs w:val="21"/>
                    </w:rPr>
                  </w:pPr>
                  <w:r>
                    <w:rPr>
                      <w:rFonts w:hint="default" w:ascii="Times New Roman"/>
                      <w:color w:val="auto"/>
                      <w:szCs w:val="21"/>
                    </w:rPr>
                    <w:t>14</w:t>
                  </w:r>
                </w:p>
              </w:tc>
              <w:tc>
                <w:tcPr>
                  <w:tcW w:w="1147" w:type="pct"/>
                  <w:tcBorders>
                    <w:tl2br w:val="nil"/>
                    <w:tr2bl w:val="nil"/>
                  </w:tcBorders>
                  <w:vAlign w:val="center"/>
                </w:tcPr>
                <w:p w14:paraId="6FBB0C20">
                  <w:pPr>
                    <w:pStyle w:val="88"/>
                    <w:rPr>
                      <w:rFonts w:hint="default" w:ascii="Times New Roman"/>
                      <w:color w:val="auto"/>
                      <w:szCs w:val="21"/>
                    </w:rPr>
                  </w:pPr>
                  <w:r>
                    <w:rPr>
                      <w:rFonts w:hint="default" w:ascii="Times New Roman"/>
                      <w:color w:val="auto"/>
                      <w:szCs w:val="21"/>
                    </w:rPr>
                    <w:t>吊斗</w:t>
                  </w:r>
                  <w:r>
                    <w:rPr>
                      <w:rFonts w:ascii="Times New Roman"/>
                      <w:color w:val="auto"/>
                      <w:szCs w:val="21"/>
                    </w:rPr>
                    <w:t>（</w:t>
                  </w:r>
                  <w:r>
                    <w:rPr>
                      <w:rFonts w:hint="default" w:ascii="Times New Roman"/>
                      <w:color w:val="auto"/>
                      <w:szCs w:val="21"/>
                    </w:rPr>
                    <w:t>桶</w:t>
                  </w:r>
                  <w:r>
                    <w:rPr>
                      <w:rFonts w:ascii="Times New Roman"/>
                      <w:color w:val="auto"/>
                      <w:szCs w:val="21"/>
                    </w:rPr>
                    <w:t>）</w:t>
                  </w:r>
                </w:p>
              </w:tc>
              <w:tc>
                <w:tcPr>
                  <w:tcW w:w="1298" w:type="pct"/>
                  <w:tcBorders>
                    <w:tl2br w:val="nil"/>
                    <w:tr2bl w:val="nil"/>
                  </w:tcBorders>
                  <w:vAlign w:val="center"/>
                </w:tcPr>
                <w:p w14:paraId="49A8E93F">
                  <w:pPr>
                    <w:pStyle w:val="88"/>
                    <w:rPr>
                      <w:rFonts w:hint="default" w:ascii="Times New Roman"/>
                      <w:color w:val="auto"/>
                      <w:szCs w:val="21"/>
                    </w:rPr>
                  </w:pPr>
                  <w:r>
                    <w:rPr>
                      <w:rFonts w:hint="default" w:ascii="Times New Roman"/>
                      <w:color w:val="auto"/>
                      <w:szCs w:val="21"/>
                    </w:rPr>
                    <w:t>0.2-0.6m</w:t>
                  </w:r>
                  <w:r>
                    <w:rPr>
                      <w:rFonts w:hint="default" w:ascii="Times New Roman"/>
                      <w:color w:val="auto"/>
                      <w:szCs w:val="21"/>
                      <w:vertAlign w:val="superscript"/>
                    </w:rPr>
                    <w:t>3</w:t>
                  </w:r>
                </w:p>
              </w:tc>
              <w:tc>
                <w:tcPr>
                  <w:tcW w:w="494" w:type="pct"/>
                  <w:tcBorders>
                    <w:tl2br w:val="nil"/>
                    <w:tr2bl w:val="nil"/>
                  </w:tcBorders>
                  <w:vAlign w:val="center"/>
                </w:tcPr>
                <w:p w14:paraId="65F5D2B4">
                  <w:pPr>
                    <w:pStyle w:val="88"/>
                    <w:rPr>
                      <w:rFonts w:hint="default" w:ascii="Times New Roman"/>
                      <w:color w:val="auto"/>
                      <w:szCs w:val="21"/>
                    </w:rPr>
                  </w:pPr>
                  <w:r>
                    <w:rPr>
                      <w:rFonts w:hint="default" w:ascii="Times New Roman"/>
                      <w:color w:val="auto"/>
                      <w:szCs w:val="21"/>
                    </w:rPr>
                    <w:t>台</w:t>
                  </w:r>
                </w:p>
              </w:tc>
              <w:tc>
                <w:tcPr>
                  <w:tcW w:w="908" w:type="pct"/>
                  <w:tcBorders>
                    <w:tl2br w:val="nil"/>
                    <w:tr2bl w:val="nil"/>
                  </w:tcBorders>
                  <w:vAlign w:val="center"/>
                </w:tcPr>
                <w:p w14:paraId="3A8EC700">
                  <w:pPr>
                    <w:pStyle w:val="88"/>
                    <w:rPr>
                      <w:rFonts w:hint="default" w:ascii="Times New Roman"/>
                      <w:color w:val="auto"/>
                      <w:szCs w:val="21"/>
                    </w:rPr>
                  </w:pPr>
                  <w:r>
                    <w:rPr>
                      <w:rFonts w:hint="default" w:ascii="Times New Roman"/>
                      <w:color w:val="auto"/>
                      <w:szCs w:val="21"/>
                    </w:rPr>
                    <w:t>/</w:t>
                  </w:r>
                </w:p>
              </w:tc>
              <w:tc>
                <w:tcPr>
                  <w:tcW w:w="657" w:type="pct"/>
                  <w:tcBorders>
                    <w:tl2br w:val="nil"/>
                    <w:tr2bl w:val="nil"/>
                  </w:tcBorders>
                  <w:vAlign w:val="center"/>
                </w:tcPr>
                <w:p w14:paraId="187EBFF5">
                  <w:pPr>
                    <w:pStyle w:val="88"/>
                    <w:rPr>
                      <w:rFonts w:hint="eastAsia" w:ascii="Times New Roman" w:eastAsia="宋体"/>
                      <w:color w:val="auto"/>
                      <w:szCs w:val="21"/>
                      <w:lang w:eastAsia="zh-CN"/>
                    </w:rPr>
                  </w:pPr>
                  <w:r>
                    <w:rPr>
                      <w:rFonts w:hint="eastAsia" w:ascii="Times New Roman"/>
                      <w:color w:val="auto"/>
                      <w:szCs w:val="21"/>
                      <w:lang w:val="en-US" w:eastAsia="zh-CN"/>
                    </w:rPr>
                    <w:t>2</w:t>
                  </w:r>
                </w:p>
              </w:tc>
            </w:tr>
            <w:tr w14:paraId="200262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05078223">
                  <w:pPr>
                    <w:pStyle w:val="62"/>
                    <w:adjustRightInd w:val="0"/>
                    <w:spacing w:line="240" w:lineRule="auto"/>
                    <w:rPr>
                      <w:rFonts w:ascii="Times New Roman" w:hAnsi="Times New Roman" w:cs="Times New Roman"/>
                      <w:color w:val="auto"/>
                      <w:szCs w:val="21"/>
                    </w:rPr>
                  </w:pPr>
                  <w:r>
                    <w:rPr>
                      <w:rFonts w:hint="eastAsia" w:ascii="Times New Roman" w:hAnsi="Times New Roman" w:cs="Times New Roman"/>
                      <w:color w:val="auto"/>
                      <w:szCs w:val="21"/>
                    </w:rPr>
                    <w:t>二、</w:t>
                  </w:r>
                </w:p>
              </w:tc>
              <w:tc>
                <w:tcPr>
                  <w:tcW w:w="4506" w:type="pct"/>
                  <w:gridSpan w:val="5"/>
                  <w:tcBorders>
                    <w:tl2br w:val="nil"/>
                    <w:tr2bl w:val="nil"/>
                  </w:tcBorders>
                  <w:vAlign w:val="center"/>
                </w:tcPr>
                <w:p w14:paraId="64907E96">
                  <w:pPr>
                    <w:pStyle w:val="62"/>
                    <w:adjustRightInd w:val="0"/>
                    <w:spacing w:line="240" w:lineRule="auto"/>
                    <w:rPr>
                      <w:rFonts w:ascii="Times New Roman" w:hAnsi="Times New Roman" w:cs="Times New Roman"/>
                      <w:color w:val="auto"/>
                      <w:szCs w:val="21"/>
                    </w:rPr>
                  </w:pPr>
                  <w:r>
                    <w:rPr>
                      <w:rFonts w:hint="eastAsia" w:ascii="Times New Roman" w:hAnsi="Times New Roman" w:cs="Times New Roman"/>
                      <w:color w:val="auto"/>
                      <w:szCs w:val="21"/>
                    </w:rPr>
                    <w:t>运营设备</w:t>
                  </w:r>
                </w:p>
              </w:tc>
            </w:tr>
            <w:tr w14:paraId="684B3F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2DDBF987">
                  <w:pPr>
                    <w:pStyle w:val="88"/>
                    <w:rPr>
                      <w:rFonts w:hint="default" w:ascii="Times New Roman"/>
                      <w:color w:val="auto"/>
                      <w:szCs w:val="21"/>
                    </w:rPr>
                  </w:pPr>
                  <w:r>
                    <w:rPr>
                      <w:rFonts w:ascii="Times New Roman"/>
                      <w:color w:val="auto"/>
                      <w:szCs w:val="21"/>
                    </w:rPr>
                    <w:t>1</w:t>
                  </w:r>
                </w:p>
              </w:tc>
              <w:tc>
                <w:tcPr>
                  <w:tcW w:w="1147" w:type="pct"/>
                  <w:tcBorders>
                    <w:tl2br w:val="nil"/>
                    <w:tr2bl w:val="nil"/>
                  </w:tcBorders>
                  <w:shd w:val="clear" w:color="auto" w:fill="auto"/>
                  <w:vAlign w:val="center"/>
                </w:tcPr>
                <w:p w14:paraId="47FF1D01">
                  <w:pPr>
                    <w:pStyle w:val="88"/>
                    <w:ind w:left="0" w:leftChars="0" w:right="0" w:rightChars="0"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color w:val="auto"/>
                      <w:szCs w:val="21"/>
                    </w:rPr>
                    <w:t>消防水泵</w:t>
                  </w:r>
                </w:p>
              </w:tc>
              <w:tc>
                <w:tcPr>
                  <w:tcW w:w="1298" w:type="pct"/>
                  <w:tcBorders>
                    <w:tl2br w:val="nil"/>
                    <w:tr2bl w:val="nil"/>
                  </w:tcBorders>
                  <w:shd w:val="clear" w:color="auto" w:fill="auto"/>
                  <w:vAlign w:val="center"/>
                </w:tcPr>
                <w:p w14:paraId="118A0927">
                  <w:pPr>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w:t>
                  </w:r>
                </w:p>
              </w:tc>
              <w:tc>
                <w:tcPr>
                  <w:tcW w:w="494" w:type="pct"/>
                  <w:tcBorders>
                    <w:tl2br w:val="nil"/>
                    <w:tr2bl w:val="nil"/>
                  </w:tcBorders>
                  <w:shd w:val="clear" w:color="auto" w:fill="auto"/>
                  <w:vAlign w:val="center"/>
                </w:tcPr>
                <w:p w14:paraId="13A29CF1">
                  <w:pPr>
                    <w:pStyle w:val="88"/>
                    <w:ind w:left="0" w:leftChars="0" w:right="0" w:rightChars="0"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color w:val="auto"/>
                      <w:szCs w:val="21"/>
                    </w:rPr>
                    <w:t>台</w:t>
                  </w:r>
                </w:p>
              </w:tc>
              <w:tc>
                <w:tcPr>
                  <w:tcW w:w="908" w:type="pct"/>
                  <w:tcBorders>
                    <w:tl2br w:val="nil"/>
                    <w:tr2bl w:val="nil"/>
                  </w:tcBorders>
                  <w:shd w:val="clear" w:color="auto" w:fill="auto"/>
                  <w:vAlign w:val="center"/>
                </w:tcPr>
                <w:p w14:paraId="1F5C2222">
                  <w:pPr>
                    <w:jc w:val="center"/>
                    <w:rPr>
                      <w:rFonts w:ascii="Times New Roman" w:hAnsi="Times New Roman" w:eastAsia="宋体" w:cs="Times New Roman"/>
                      <w:color w:val="auto"/>
                      <w:kern w:val="2"/>
                      <w:sz w:val="21"/>
                      <w:szCs w:val="21"/>
                      <w:lang w:val="en-US" w:eastAsia="zh-CN" w:bidi="ar-SA"/>
                    </w:rPr>
                  </w:pPr>
                  <w:r>
                    <w:rPr>
                      <w:rFonts w:hint="eastAsia"/>
                      <w:color w:val="auto"/>
                      <w:szCs w:val="21"/>
                    </w:rPr>
                    <w:t>/</w:t>
                  </w:r>
                </w:p>
              </w:tc>
              <w:tc>
                <w:tcPr>
                  <w:tcW w:w="657" w:type="pct"/>
                  <w:tcBorders>
                    <w:tl2br w:val="nil"/>
                    <w:tr2bl w:val="nil"/>
                  </w:tcBorders>
                  <w:shd w:val="clear" w:color="auto" w:fill="auto"/>
                  <w:vAlign w:val="center"/>
                </w:tcPr>
                <w:p w14:paraId="68E17E47">
                  <w:pPr>
                    <w:pStyle w:val="88"/>
                    <w:ind w:left="0" w:leftChars="0" w:right="0" w:rightChars="0" w:firstLine="0" w:firstLineChars="0"/>
                    <w:rPr>
                      <w:rFonts w:hint="default" w:ascii="Times New Roman" w:hAnsi="Times New Roman" w:eastAsia="宋体" w:cs="Times New Roman"/>
                      <w:color w:val="auto"/>
                      <w:kern w:val="2"/>
                      <w:sz w:val="21"/>
                      <w:szCs w:val="21"/>
                      <w:lang w:val="en-US" w:eastAsia="zh-CN" w:bidi="ar-SA"/>
                    </w:rPr>
                  </w:pPr>
                  <w:r>
                    <w:rPr>
                      <w:rFonts w:ascii="Times New Roman"/>
                      <w:color w:val="auto"/>
                      <w:szCs w:val="21"/>
                    </w:rPr>
                    <w:t>2</w:t>
                  </w:r>
                </w:p>
              </w:tc>
            </w:tr>
            <w:tr w14:paraId="772FB1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017F3326">
                  <w:pPr>
                    <w:pStyle w:val="88"/>
                    <w:rPr>
                      <w:rFonts w:hint="default" w:ascii="Times New Roman"/>
                      <w:color w:val="auto"/>
                      <w:szCs w:val="21"/>
                    </w:rPr>
                  </w:pPr>
                  <w:r>
                    <w:rPr>
                      <w:rFonts w:ascii="Times New Roman"/>
                      <w:color w:val="auto"/>
                      <w:szCs w:val="21"/>
                    </w:rPr>
                    <w:t>2</w:t>
                  </w:r>
                </w:p>
              </w:tc>
              <w:tc>
                <w:tcPr>
                  <w:tcW w:w="1147" w:type="pct"/>
                  <w:tcBorders>
                    <w:tl2br w:val="nil"/>
                    <w:tr2bl w:val="nil"/>
                  </w:tcBorders>
                  <w:shd w:val="clear" w:color="auto" w:fill="auto"/>
                  <w:vAlign w:val="center"/>
                </w:tcPr>
                <w:p w14:paraId="1BC705CB">
                  <w:pPr>
                    <w:pStyle w:val="88"/>
                    <w:ind w:left="0" w:leftChars="0" w:right="0" w:rightChars="0"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color w:val="auto"/>
                      <w:szCs w:val="21"/>
                    </w:rPr>
                    <w:t>柴油发电机</w:t>
                  </w:r>
                </w:p>
              </w:tc>
              <w:tc>
                <w:tcPr>
                  <w:tcW w:w="1298" w:type="pct"/>
                  <w:tcBorders>
                    <w:tl2br w:val="nil"/>
                    <w:tr2bl w:val="nil"/>
                  </w:tcBorders>
                  <w:shd w:val="clear" w:color="auto" w:fill="auto"/>
                  <w:vAlign w:val="center"/>
                </w:tcPr>
                <w:p w14:paraId="6FD6A25F">
                  <w:pPr>
                    <w:jc w:val="center"/>
                    <w:rPr>
                      <w:rFonts w:ascii="Times New Roman" w:hAnsi="Times New Roman" w:eastAsia="宋体" w:cs="Times New Roman"/>
                      <w:color w:val="auto"/>
                      <w:kern w:val="2"/>
                      <w:sz w:val="21"/>
                      <w:szCs w:val="21"/>
                      <w:lang w:val="en-US" w:eastAsia="zh-CN" w:bidi="ar-SA"/>
                    </w:rPr>
                  </w:pPr>
                  <w:r>
                    <w:rPr>
                      <w:rFonts w:hint="eastAsia"/>
                      <w:color w:val="auto"/>
                      <w:szCs w:val="21"/>
                    </w:rPr>
                    <w:t>/</w:t>
                  </w:r>
                </w:p>
              </w:tc>
              <w:tc>
                <w:tcPr>
                  <w:tcW w:w="494" w:type="pct"/>
                  <w:tcBorders>
                    <w:tl2br w:val="nil"/>
                    <w:tr2bl w:val="nil"/>
                  </w:tcBorders>
                  <w:shd w:val="clear" w:color="auto" w:fill="auto"/>
                  <w:vAlign w:val="center"/>
                </w:tcPr>
                <w:p w14:paraId="0CBE1D8E">
                  <w:pPr>
                    <w:pStyle w:val="88"/>
                    <w:ind w:left="0" w:leftChars="0" w:right="0" w:rightChars="0"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color w:val="auto"/>
                      <w:szCs w:val="21"/>
                    </w:rPr>
                    <w:t>台</w:t>
                  </w:r>
                </w:p>
              </w:tc>
              <w:tc>
                <w:tcPr>
                  <w:tcW w:w="908" w:type="pct"/>
                  <w:tcBorders>
                    <w:tl2br w:val="nil"/>
                    <w:tr2bl w:val="nil"/>
                  </w:tcBorders>
                  <w:shd w:val="clear" w:color="auto" w:fill="auto"/>
                  <w:vAlign w:val="center"/>
                </w:tcPr>
                <w:p w14:paraId="0A9BCF71">
                  <w:pPr>
                    <w:jc w:val="center"/>
                    <w:rPr>
                      <w:rFonts w:ascii="Times New Roman" w:hAnsi="Times New Roman" w:eastAsia="宋体" w:cs="Times New Roman"/>
                      <w:color w:val="auto"/>
                      <w:kern w:val="2"/>
                      <w:sz w:val="21"/>
                      <w:szCs w:val="21"/>
                      <w:lang w:val="en-US" w:eastAsia="zh-CN" w:bidi="ar-SA"/>
                    </w:rPr>
                  </w:pPr>
                  <w:r>
                    <w:rPr>
                      <w:rFonts w:hint="eastAsia"/>
                      <w:color w:val="auto"/>
                      <w:szCs w:val="21"/>
                    </w:rPr>
                    <w:t>/</w:t>
                  </w:r>
                </w:p>
              </w:tc>
              <w:tc>
                <w:tcPr>
                  <w:tcW w:w="657" w:type="pct"/>
                  <w:tcBorders>
                    <w:tl2br w:val="nil"/>
                    <w:tr2bl w:val="nil"/>
                  </w:tcBorders>
                  <w:shd w:val="clear" w:color="auto" w:fill="auto"/>
                  <w:vAlign w:val="center"/>
                </w:tcPr>
                <w:p w14:paraId="160EF030">
                  <w:pPr>
                    <w:pStyle w:val="88"/>
                    <w:ind w:left="0" w:leftChars="0" w:right="0" w:rightChars="0" w:firstLine="0" w:firstLineChars="0"/>
                    <w:rPr>
                      <w:rFonts w:hint="default" w:ascii="Times New Roman" w:hAnsi="Times New Roman" w:eastAsia="宋体" w:cs="Times New Roman"/>
                      <w:color w:val="auto"/>
                      <w:kern w:val="2"/>
                      <w:sz w:val="21"/>
                      <w:szCs w:val="21"/>
                      <w:lang w:val="en-US" w:eastAsia="zh-CN" w:bidi="ar-SA"/>
                    </w:rPr>
                  </w:pPr>
                  <w:r>
                    <w:rPr>
                      <w:rFonts w:ascii="Times New Roman"/>
                      <w:color w:val="auto"/>
                      <w:szCs w:val="21"/>
                    </w:rPr>
                    <w:t>2</w:t>
                  </w:r>
                </w:p>
              </w:tc>
            </w:tr>
            <w:tr w14:paraId="0CFF90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14D932D7">
                  <w:pPr>
                    <w:pStyle w:val="88"/>
                    <w:rPr>
                      <w:rFonts w:hint="eastAsia" w:ascii="Times New Roman" w:eastAsia="宋体"/>
                      <w:color w:val="auto"/>
                      <w:szCs w:val="21"/>
                      <w:lang w:val="en-US" w:eastAsia="zh-CN"/>
                    </w:rPr>
                  </w:pPr>
                  <w:r>
                    <w:rPr>
                      <w:rFonts w:hint="eastAsia" w:ascii="Times New Roman"/>
                      <w:color w:val="auto"/>
                      <w:szCs w:val="21"/>
                      <w:lang w:val="en-US" w:eastAsia="zh-CN"/>
                    </w:rPr>
                    <w:t>3</w:t>
                  </w:r>
                </w:p>
              </w:tc>
              <w:tc>
                <w:tcPr>
                  <w:tcW w:w="1147" w:type="pct"/>
                  <w:tcBorders>
                    <w:tl2br w:val="nil"/>
                    <w:tr2bl w:val="nil"/>
                  </w:tcBorders>
                  <w:shd w:val="clear" w:color="auto" w:fill="auto"/>
                  <w:vAlign w:val="center"/>
                </w:tcPr>
                <w:p w14:paraId="0199C896">
                  <w:pPr>
                    <w:pStyle w:val="88"/>
                    <w:ind w:left="0" w:leftChars="0" w:right="0" w:rightChars="0" w:firstLine="0" w:firstLineChars="0"/>
                    <w:rPr>
                      <w:rFonts w:hint="eastAsia" w:ascii="Times New Roman" w:eastAsia="宋体"/>
                      <w:color w:val="auto"/>
                      <w:szCs w:val="21"/>
                      <w:lang w:eastAsia="zh-CN"/>
                    </w:rPr>
                  </w:pPr>
                  <w:r>
                    <w:rPr>
                      <w:rFonts w:hint="eastAsia" w:ascii="Times New Roman"/>
                      <w:color w:val="auto"/>
                      <w:szCs w:val="21"/>
                      <w:lang w:eastAsia="zh-CN"/>
                    </w:rPr>
                    <w:t>供水加压水泵</w:t>
                  </w:r>
                </w:p>
              </w:tc>
              <w:tc>
                <w:tcPr>
                  <w:tcW w:w="1298" w:type="pct"/>
                  <w:tcBorders>
                    <w:tl2br w:val="nil"/>
                    <w:tr2bl w:val="nil"/>
                  </w:tcBorders>
                  <w:shd w:val="clear" w:color="auto" w:fill="auto"/>
                  <w:vAlign w:val="center"/>
                </w:tcPr>
                <w:p w14:paraId="01EBD342">
                  <w:pPr>
                    <w:jc w:val="center"/>
                    <w:rPr>
                      <w:rFonts w:hint="eastAsia" w:eastAsia="宋体"/>
                      <w:color w:val="auto"/>
                      <w:szCs w:val="21"/>
                      <w:lang w:val="en-US" w:eastAsia="zh-CN"/>
                    </w:rPr>
                  </w:pPr>
                  <w:r>
                    <w:rPr>
                      <w:rFonts w:hint="eastAsia"/>
                      <w:color w:val="auto"/>
                      <w:szCs w:val="21"/>
                      <w:lang w:val="en-US" w:eastAsia="zh-CN"/>
                    </w:rPr>
                    <w:t>/</w:t>
                  </w:r>
                </w:p>
              </w:tc>
              <w:tc>
                <w:tcPr>
                  <w:tcW w:w="494" w:type="pct"/>
                  <w:tcBorders>
                    <w:tl2br w:val="nil"/>
                    <w:tr2bl w:val="nil"/>
                  </w:tcBorders>
                  <w:shd w:val="clear" w:color="auto" w:fill="auto"/>
                  <w:vAlign w:val="center"/>
                </w:tcPr>
                <w:p w14:paraId="46F01218">
                  <w:pPr>
                    <w:pStyle w:val="88"/>
                    <w:ind w:left="0" w:leftChars="0" w:right="0" w:rightChars="0" w:firstLine="0" w:firstLineChars="0"/>
                    <w:rPr>
                      <w:rFonts w:hint="eastAsia" w:ascii="Times New Roman" w:eastAsia="宋体"/>
                      <w:color w:val="auto"/>
                      <w:szCs w:val="21"/>
                      <w:lang w:eastAsia="zh-CN"/>
                    </w:rPr>
                  </w:pPr>
                  <w:r>
                    <w:rPr>
                      <w:rFonts w:hint="eastAsia" w:ascii="Times New Roman"/>
                      <w:color w:val="auto"/>
                      <w:szCs w:val="21"/>
                      <w:lang w:eastAsia="zh-CN"/>
                    </w:rPr>
                    <w:t>台</w:t>
                  </w:r>
                </w:p>
              </w:tc>
              <w:tc>
                <w:tcPr>
                  <w:tcW w:w="908" w:type="pct"/>
                  <w:tcBorders>
                    <w:tl2br w:val="nil"/>
                    <w:tr2bl w:val="nil"/>
                  </w:tcBorders>
                  <w:shd w:val="clear" w:color="auto" w:fill="auto"/>
                  <w:vAlign w:val="center"/>
                </w:tcPr>
                <w:p w14:paraId="14FACF5B">
                  <w:pPr>
                    <w:jc w:val="center"/>
                    <w:rPr>
                      <w:rFonts w:hint="eastAsia"/>
                      <w:color w:val="auto"/>
                      <w:szCs w:val="21"/>
                    </w:rPr>
                  </w:pPr>
                </w:p>
              </w:tc>
              <w:tc>
                <w:tcPr>
                  <w:tcW w:w="657" w:type="pct"/>
                  <w:tcBorders>
                    <w:tl2br w:val="nil"/>
                    <w:tr2bl w:val="nil"/>
                  </w:tcBorders>
                  <w:shd w:val="clear" w:color="auto" w:fill="auto"/>
                  <w:vAlign w:val="center"/>
                </w:tcPr>
                <w:p w14:paraId="02B31172">
                  <w:pPr>
                    <w:pStyle w:val="88"/>
                    <w:ind w:left="0" w:leftChars="0" w:right="0" w:rightChars="0" w:firstLine="0" w:firstLineChars="0"/>
                    <w:rPr>
                      <w:rFonts w:hint="eastAsia" w:ascii="Times New Roman" w:eastAsia="宋体"/>
                      <w:color w:val="auto"/>
                      <w:szCs w:val="21"/>
                      <w:lang w:val="en-US" w:eastAsia="zh-CN"/>
                    </w:rPr>
                  </w:pPr>
                  <w:r>
                    <w:rPr>
                      <w:rFonts w:hint="eastAsia" w:ascii="Times New Roman"/>
                      <w:color w:val="auto"/>
                      <w:szCs w:val="21"/>
                      <w:lang w:val="en-US" w:eastAsia="zh-CN"/>
                    </w:rPr>
                    <w:t>2</w:t>
                  </w:r>
                </w:p>
              </w:tc>
            </w:tr>
          </w:tbl>
          <w:p w14:paraId="58829879">
            <w:pPr>
              <w:pStyle w:val="19"/>
              <w:adjustRightInd w:val="0"/>
              <w:snapToGrid w:val="0"/>
              <w:spacing w:before="120" w:beforeLines="50" w:line="360" w:lineRule="auto"/>
              <w:ind w:firstLine="482"/>
              <w:rPr>
                <w:b/>
                <w:color w:val="auto"/>
                <w:sz w:val="24"/>
              </w:rPr>
            </w:pPr>
            <w:r>
              <w:rPr>
                <w:rFonts w:hint="eastAsia"/>
                <w:b/>
                <w:color w:val="auto"/>
                <w:sz w:val="24"/>
              </w:rPr>
              <w:t>九</w:t>
            </w:r>
            <w:r>
              <w:rPr>
                <w:b/>
                <w:color w:val="auto"/>
                <w:sz w:val="24"/>
              </w:rPr>
              <w:t>、施工组织及时间</w:t>
            </w:r>
          </w:p>
          <w:p w14:paraId="1338D0AC">
            <w:pPr>
              <w:pStyle w:val="19"/>
              <w:adjustRightInd w:val="0"/>
              <w:snapToGrid w:val="0"/>
              <w:spacing w:line="360" w:lineRule="auto"/>
              <w:ind w:firstLine="480"/>
              <w:rPr>
                <w:color w:val="auto"/>
                <w:sz w:val="24"/>
              </w:rPr>
            </w:pPr>
            <w:r>
              <w:rPr>
                <w:color w:val="auto"/>
                <w:sz w:val="24"/>
              </w:rPr>
              <w:t>本工程预计施工期24个月。</w:t>
            </w:r>
          </w:p>
          <w:p w14:paraId="431A3379">
            <w:pPr>
              <w:pStyle w:val="19"/>
              <w:adjustRightInd w:val="0"/>
              <w:snapToGrid w:val="0"/>
              <w:spacing w:line="360" w:lineRule="auto"/>
              <w:ind w:firstLine="480"/>
              <w:rPr>
                <w:color w:val="auto"/>
                <w:sz w:val="24"/>
              </w:rPr>
            </w:pPr>
            <w:r>
              <w:rPr>
                <w:color w:val="auto"/>
                <w:sz w:val="24"/>
              </w:rPr>
              <w:t>劳动定员：施工作业高峰期民工数达到</w:t>
            </w:r>
            <w:r>
              <w:rPr>
                <w:rFonts w:hint="eastAsia"/>
                <w:color w:val="auto"/>
                <w:sz w:val="24"/>
              </w:rPr>
              <w:t>30</w:t>
            </w:r>
            <w:r>
              <w:rPr>
                <w:color w:val="auto"/>
                <w:sz w:val="24"/>
              </w:rPr>
              <w:t>人。</w:t>
            </w:r>
          </w:p>
          <w:p w14:paraId="55E1AA10">
            <w:pPr>
              <w:adjustRightInd w:val="0"/>
              <w:snapToGrid w:val="0"/>
              <w:spacing w:line="360" w:lineRule="auto"/>
              <w:ind w:firstLine="482" w:firstLineChars="200"/>
              <w:rPr>
                <w:b/>
                <w:bCs/>
                <w:color w:val="auto"/>
                <w:sz w:val="24"/>
              </w:rPr>
            </w:pPr>
            <w:r>
              <w:rPr>
                <w:rFonts w:hint="eastAsia"/>
                <w:b/>
                <w:bCs/>
                <w:color w:val="auto"/>
                <w:sz w:val="24"/>
              </w:rPr>
              <w:t>十</w:t>
            </w:r>
            <w:r>
              <w:rPr>
                <w:b/>
                <w:bCs/>
                <w:color w:val="auto"/>
                <w:sz w:val="24"/>
              </w:rPr>
              <w:t>、拆迁安置</w:t>
            </w:r>
          </w:p>
          <w:p w14:paraId="1FC8C9D2">
            <w:pPr>
              <w:adjustRightInd w:val="0"/>
              <w:snapToGrid w:val="0"/>
              <w:spacing w:line="360" w:lineRule="auto"/>
              <w:ind w:firstLine="480" w:firstLineChars="200"/>
              <w:jc w:val="left"/>
              <w:rPr>
                <w:color w:val="auto"/>
                <w:sz w:val="24"/>
              </w:rPr>
            </w:pPr>
            <w:r>
              <w:rPr>
                <w:rFonts w:hint="eastAsia"/>
                <w:color w:val="auto"/>
                <w:sz w:val="24"/>
              </w:rPr>
              <w:t>本项目</w:t>
            </w:r>
            <w:r>
              <w:rPr>
                <w:rFonts w:hint="eastAsia"/>
                <w:color w:val="auto"/>
                <w:sz w:val="24"/>
                <w:lang w:eastAsia="zh-CN"/>
              </w:rPr>
              <w:t>建设区域</w:t>
            </w:r>
            <w:r>
              <w:rPr>
                <w:rFonts w:hint="eastAsia"/>
                <w:color w:val="auto"/>
                <w:sz w:val="24"/>
              </w:rPr>
              <w:t>涉及少量居民拆迁，</w:t>
            </w:r>
            <w:r>
              <w:rPr>
                <w:color w:val="auto"/>
                <w:sz w:val="24"/>
              </w:rPr>
              <w:t>居民拆迁工作由</w:t>
            </w:r>
            <w:r>
              <w:rPr>
                <w:rFonts w:hint="eastAsia"/>
                <w:color w:val="auto"/>
                <w:sz w:val="24"/>
                <w:lang w:eastAsia="zh-CN"/>
              </w:rPr>
              <w:t>南江县</w:t>
            </w:r>
            <w:r>
              <w:rPr>
                <w:color w:val="auto"/>
                <w:sz w:val="24"/>
              </w:rPr>
              <w:t>政府统一执行。</w:t>
            </w:r>
          </w:p>
          <w:p w14:paraId="255F4130">
            <w:pPr>
              <w:adjustRightInd w:val="0"/>
              <w:snapToGrid w:val="0"/>
              <w:spacing w:line="360" w:lineRule="auto"/>
              <w:ind w:firstLine="482" w:firstLineChars="200"/>
              <w:jc w:val="left"/>
              <w:rPr>
                <w:b/>
                <w:bCs/>
                <w:color w:val="auto"/>
                <w:sz w:val="24"/>
              </w:rPr>
            </w:pPr>
            <w:r>
              <w:rPr>
                <w:rFonts w:hint="eastAsia"/>
                <w:b/>
                <w:bCs/>
                <w:color w:val="auto"/>
                <w:sz w:val="24"/>
              </w:rPr>
              <w:t>十一</w:t>
            </w:r>
            <w:r>
              <w:rPr>
                <w:b/>
                <w:bCs/>
                <w:color w:val="auto"/>
                <w:sz w:val="24"/>
              </w:rPr>
              <w:t>、外环境关系</w:t>
            </w:r>
          </w:p>
          <w:p w14:paraId="6C1AE20A">
            <w:pPr>
              <w:adjustRightInd w:val="0"/>
              <w:snapToGrid w:val="0"/>
              <w:spacing w:line="360" w:lineRule="auto"/>
              <w:ind w:firstLine="480" w:firstLineChars="200"/>
              <w:jc w:val="both"/>
              <w:rPr>
                <w:color w:val="auto"/>
              </w:rPr>
            </w:pPr>
            <w:r>
              <w:rPr>
                <w:color w:val="auto"/>
                <w:sz w:val="24"/>
              </w:rPr>
              <w:t>本项目场地</w:t>
            </w:r>
            <w:r>
              <w:rPr>
                <w:rFonts w:hint="eastAsia"/>
                <w:color w:val="auto"/>
                <w:sz w:val="24"/>
                <w:lang w:eastAsia="zh-CN"/>
              </w:rPr>
              <w:t>西侧</w:t>
            </w:r>
            <w:r>
              <w:rPr>
                <w:rFonts w:hint="eastAsia"/>
                <w:color w:val="auto"/>
                <w:sz w:val="24"/>
                <w:lang w:val="en-US" w:eastAsia="zh-CN"/>
              </w:rPr>
              <w:t>28m为</w:t>
            </w:r>
            <w:r>
              <w:rPr>
                <w:rFonts w:hint="eastAsia"/>
                <w:color w:val="auto"/>
                <w:sz w:val="24"/>
              </w:rPr>
              <w:t>关坝</w:t>
            </w:r>
            <w:r>
              <w:rPr>
                <w:rFonts w:hint="eastAsia"/>
                <w:color w:val="auto"/>
                <w:sz w:val="24"/>
                <w:lang w:eastAsia="zh-CN"/>
              </w:rPr>
              <w:t>小学、</w:t>
            </w:r>
            <w:r>
              <w:rPr>
                <w:rFonts w:hint="eastAsia"/>
                <w:color w:val="auto"/>
                <w:sz w:val="24"/>
                <w:lang w:val="en-US" w:eastAsia="zh-CN"/>
              </w:rPr>
              <w:t>6m为</w:t>
            </w:r>
            <w:r>
              <w:rPr>
                <w:rFonts w:hint="eastAsia"/>
                <w:color w:val="auto"/>
                <w:sz w:val="24"/>
              </w:rPr>
              <w:t>关坝居民，</w:t>
            </w:r>
            <w:r>
              <w:rPr>
                <w:rFonts w:hint="eastAsia"/>
                <w:color w:val="auto"/>
                <w:sz w:val="24"/>
                <w:lang w:eastAsia="zh-CN"/>
              </w:rPr>
              <w:t>西北侧</w:t>
            </w:r>
            <w:r>
              <w:rPr>
                <w:rFonts w:hint="eastAsia"/>
                <w:color w:val="auto"/>
                <w:sz w:val="24"/>
                <w:lang w:val="en-US" w:eastAsia="zh-CN"/>
              </w:rPr>
              <w:t>347</w:t>
            </w:r>
            <w:r>
              <w:rPr>
                <w:rFonts w:hint="eastAsia"/>
                <w:color w:val="auto"/>
                <w:sz w:val="24"/>
              </w:rPr>
              <w:t>m处为</w:t>
            </w:r>
            <w:r>
              <w:rPr>
                <w:rFonts w:hint="eastAsia"/>
                <w:color w:val="auto"/>
                <w:sz w:val="24"/>
                <w:lang w:eastAsia="zh-CN"/>
              </w:rPr>
              <w:t>关坝居民，东南侧</w:t>
            </w:r>
            <w:r>
              <w:rPr>
                <w:rFonts w:hint="eastAsia"/>
                <w:color w:val="auto"/>
                <w:sz w:val="24"/>
                <w:lang w:val="en-US" w:eastAsia="zh-CN"/>
              </w:rPr>
              <w:t>152m处为高速路旁居民；北侧紧邻拟建安置房项目，目前政府正在开展民房拆迁工作。</w:t>
            </w:r>
            <w:r>
              <w:rPr>
                <w:rFonts w:hint="eastAsia"/>
                <w:color w:val="auto"/>
                <w:sz w:val="24"/>
                <w:lang w:eastAsia="zh-CN"/>
              </w:rPr>
              <w:t>周边无工业企业，对本项目建设无影响。</w:t>
            </w:r>
            <w:r>
              <w:rPr>
                <w:color w:val="auto"/>
                <w:sz w:val="24"/>
              </w:rPr>
              <w:t>本项目属于</w:t>
            </w:r>
            <w:r>
              <w:rPr>
                <w:rFonts w:hint="eastAsia"/>
                <w:color w:val="auto"/>
                <w:sz w:val="24"/>
                <w:lang w:eastAsia="zh-CN"/>
              </w:rPr>
              <w:t>保障性住房建设</w:t>
            </w:r>
            <w:r>
              <w:rPr>
                <w:color w:val="auto"/>
                <w:sz w:val="24"/>
              </w:rPr>
              <w:t>项目，运营期仅少量厨房油烟经</w:t>
            </w:r>
            <w:r>
              <w:rPr>
                <w:rFonts w:hint="eastAsia"/>
                <w:color w:val="auto"/>
                <w:sz w:val="24"/>
              </w:rPr>
              <w:t>各住户自行安装</w:t>
            </w:r>
            <w:r>
              <w:rPr>
                <w:color w:val="auto"/>
                <w:sz w:val="24"/>
              </w:rPr>
              <w:t>油烟净化器处理后经专用烟道于屋顶达标排放，生活污水经预处理池收集处理后</w:t>
            </w:r>
            <w:r>
              <w:rPr>
                <w:rFonts w:hint="eastAsia"/>
                <w:color w:val="auto"/>
                <w:sz w:val="24"/>
              </w:rPr>
              <w:t>通过市政污水管网排放至</w:t>
            </w:r>
            <w:r>
              <w:rPr>
                <w:color w:val="auto"/>
                <w:sz w:val="24"/>
              </w:rPr>
              <w:t>南江县</w:t>
            </w:r>
            <w:r>
              <w:rPr>
                <w:rFonts w:hint="eastAsia"/>
                <w:color w:val="auto"/>
                <w:sz w:val="24"/>
              </w:rPr>
              <w:t>关坝镇</w:t>
            </w:r>
            <w:r>
              <w:rPr>
                <w:color w:val="auto"/>
                <w:sz w:val="24"/>
              </w:rPr>
              <w:t>污水处理站，无废水直排，本项目建设对外环境影响较小。</w:t>
            </w:r>
          </w:p>
        </w:tc>
      </w:tr>
      <w:tr w14:paraId="5D5044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Align w:val="center"/>
          </w:tcPr>
          <w:p w14:paraId="21D39FDC">
            <w:pPr>
              <w:adjustRightInd w:val="0"/>
              <w:snapToGrid w:val="0"/>
              <w:jc w:val="center"/>
              <w:rPr>
                <w:color w:val="auto"/>
                <w:kern w:val="0"/>
                <w:sz w:val="24"/>
              </w:rPr>
            </w:pPr>
            <w:r>
              <w:rPr>
                <w:color w:val="auto"/>
                <w:kern w:val="0"/>
                <w:sz w:val="24"/>
              </w:rPr>
              <w:t>总平面及现场布置</w:t>
            </w:r>
          </w:p>
        </w:tc>
        <w:tc>
          <w:tcPr>
            <w:tcW w:w="8426" w:type="dxa"/>
          </w:tcPr>
          <w:p w14:paraId="201C8587">
            <w:pPr>
              <w:spacing w:line="360" w:lineRule="auto"/>
              <w:ind w:firstLine="480" w:firstLineChars="200"/>
              <w:rPr>
                <w:color w:val="auto"/>
                <w:sz w:val="24"/>
              </w:rPr>
            </w:pPr>
            <w:r>
              <w:rPr>
                <w:color w:val="auto"/>
                <w:sz w:val="24"/>
              </w:rPr>
              <w:t>1、施工总平布置</w:t>
            </w:r>
          </w:p>
          <w:p w14:paraId="2C89E8D7">
            <w:pPr>
              <w:snapToGrid w:val="0"/>
              <w:spacing w:line="360" w:lineRule="auto"/>
              <w:ind w:firstLine="480" w:firstLineChars="200"/>
              <w:rPr>
                <w:color w:val="auto"/>
                <w:sz w:val="24"/>
                <w:highlight w:val="yellow"/>
              </w:rPr>
            </w:pPr>
            <w:r>
              <w:rPr>
                <w:rFonts w:hint="eastAsia"/>
                <w:bCs/>
                <w:color w:val="auto"/>
                <w:sz w:val="24"/>
                <w:highlight w:val="none"/>
              </w:rPr>
              <w:t>项目地块中部设置</w:t>
            </w:r>
            <w:r>
              <w:rPr>
                <w:bCs/>
                <w:color w:val="auto"/>
                <w:sz w:val="24"/>
                <w:highlight w:val="none"/>
              </w:rPr>
              <w:t>施工机械集中作业区，</w:t>
            </w:r>
            <w:r>
              <w:rPr>
                <w:rFonts w:hint="eastAsia"/>
                <w:bCs/>
                <w:color w:val="auto"/>
                <w:sz w:val="24"/>
                <w:highlight w:val="none"/>
              </w:rPr>
              <w:t>摆放施工机具，中部便于配合施工进度要求调整机具位置，</w:t>
            </w:r>
            <w:r>
              <w:rPr>
                <w:bCs/>
                <w:color w:val="auto"/>
                <w:sz w:val="24"/>
                <w:highlight w:val="none"/>
              </w:rPr>
              <w:t>作业区内根据施工要求布设施工设备</w:t>
            </w:r>
            <w:r>
              <w:rPr>
                <w:rFonts w:hint="eastAsia"/>
                <w:bCs/>
                <w:color w:val="auto"/>
                <w:sz w:val="24"/>
                <w:highlight w:val="none"/>
              </w:rPr>
              <w:t>；</w:t>
            </w:r>
            <w:r>
              <w:rPr>
                <w:bCs/>
                <w:color w:val="auto"/>
                <w:sz w:val="24"/>
              </w:rPr>
              <w:t>项目</w:t>
            </w:r>
            <w:r>
              <w:rPr>
                <w:rFonts w:hint="eastAsia"/>
                <w:bCs/>
                <w:color w:val="auto"/>
                <w:sz w:val="24"/>
              </w:rPr>
              <w:t>于</w:t>
            </w:r>
            <w:r>
              <w:rPr>
                <w:rFonts w:hint="eastAsia"/>
                <w:bCs/>
                <w:color w:val="auto"/>
                <w:sz w:val="24"/>
                <w:lang w:eastAsia="zh-CN"/>
              </w:rPr>
              <w:t>南侧最低点</w:t>
            </w:r>
            <w:r>
              <w:rPr>
                <w:bCs/>
                <w:color w:val="auto"/>
                <w:sz w:val="24"/>
              </w:rPr>
              <w:t>靠近道路</w:t>
            </w:r>
            <w:r>
              <w:rPr>
                <w:rFonts w:hint="eastAsia"/>
                <w:bCs/>
                <w:color w:val="auto"/>
                <w:sz w:val="24"/>
                <w:lang w:eastAsia="zh-CN"/>
              </w:rPr>
              <w:t>处</w:t>
            </w:r>
            <w:r>
              <w:rPr>
                <w:bCs/>
                <w:color w:val="auto"/>
                <w:sz w:val="24"/>
              </w:rPr>
              <w:t>设置施工区出入口及车辆冲洗设施</w:t>
            </w:r>
            <w:r>
              <w:rPr>
                <w:rFonts w:hint="eastAsia"/>
                <w:bCs/>
                <w:color w:val="auto"/>
                <w:sz w:val="24"/>
                <w:lang w:eastAsia="zh-CN"/>
              </w:rPr>
              <w:t>、隔油沉淀池</w:t>
            </w:r>
            <w:r>
              <w:rPr>
                <w:rFonts w:hint="eastAsia"/>
                <w:bCs/>
                <w:color w:val="auto"/>
                <w:sz w:val="24"/>
              </w:rPr>
              <w:t>；项目区</w:t>
            </w:r>
            <w:r>
              <w:rPr>
                <w:rFonts w:hint="eastAsia"/>
                <w:bCs/>
                <w:color w:val="auto"/>
                <w:sz w:val="24"/>
                <w:lang w:eastAsia="zh-CN"/>
              </w:rPr>
              <w:t>中部入口门庭处</w:t>
            </w:r>
            <w:r>
              <w:rPr>
                <w:rFonts w:hint="eastAsia"/>
                <w:bCs/>
                <w:color w:val="auto"/>
                <w:sz w:val="24"/>
              </w:rPr>
              <w:t>设置施工材料堆放区，施工材料堆放区设置围挡及顶棚遮盖；</w:t>
            </w:r>
            <w:r>
              <w:rPr>
                <w:bCs/>
                <w:color w:val="auto"/>
                <w:sz w:val="24"/>
              </w:rPr>
              <w:t>项目前期进行场地平整时会产生表土及一般土方，于项目</w:t>
            </w:r>
            <w:r>
              <w:rPr>
                <w:rFonts w:hint="eastAsia"/>
                <w:bCs/>
                <w:color w:val="auto"/>
                <w:sz w:val="24"/>
                <w:lang w:eastAsia="zh-CN"/>
              </w:rPr>
              <w:t>东南</w:t>
            </w:r>
            <w:r>
              <w:rPr>
                <w:rFonts w:hint="eastAsia"/>
                <w:bCs/>
                <w:color w:val="auto"/>
                <w:sz w:val="24"/>
              </w:rPr>
              <w:t>侧</w:t>
            </w:r>
            <w:r>
              <w:rPr>
                <w:rFonts w:hint="eastAsia"/>
                <w:bCs/>
                <w:color w:val="auto"/>
                <w:sz w:val="24"/>
                <w:lang w:eastAsia="zh-CN"/>
              </w:rPr>
              <w:t>绿化带、小区入口处</w:t>
            </w:r>
            <w:r>
              <w:rPr>
                <w:bCs/>
                <w:color w:val="auto"/>
                <w:sz w:val="24"/>
              </w:rPr>
              <w:t>设置表土堆场</w:t>
            </w:r>
            <w:r>
              <w:rPr>
                <w:rFonts w:hint="eastAsia"/>
                <w:bCs/>
                <w:color w:val="auto"/>
                <w:sz w:val="24"/>
              </w:rPr>
              <w:t>、一般土石方堆场</w:t>
            </w:r>
            <w:r>
              <w:rPr>
                <w:bCs/>
                <w:color w:val="auto"/>
                <w:sz w:val="24"/>
              </w:rPr>
              <w:t>。堆存期间，</w:t>
            </w:r>
            <w:r>
              <w:rPr>
                <w:rFonts w:hint="eastAsia"/>
                <w:bCs/>
                <w:color w:val="auto"/>
                <w:sz w:val="24"/>
              </w:rPr>
              <w:t>一般土石方堆场、</w:t>
            </w:r>
            <w:r>
              <w:rPr>
                <w:bCs/>
                <w:color w:val="auto"/>
                <w:sz w:val="24"/>
              </w:rPr>
              <w:t>表土堆放场四周设有截排水沟，</w:t>
            </w:r>
            <w:r>
              <w:rPr>
                <w:bCs/>
                <w:color w:val="auto"/>
                <w:sz w:val="24"/>
                <w:highlight w:val="none"/>
              </w:rPr>
              <w:t>表土</w:t>
            </w:r>
            <w:r>
              <w:rPr>
                <w:rFonts w:hint="eastAsia"/>
                <w:bCs/>
                <w:color w:val="auto"/>
                <w:sz w:val="24"/>
                <w:highlight w:val="none"/>
                <w:lang w:val="en-US" w:eastAsia="zh-CN"/>
              </w:rPr>
              <w:t>采用防雨布</w:t>
            </w:r>
            <w:r>
              <w:rPr>
                <w:bCs/>
                <w:color w:val="auto"/>
                <w:sz w:val="24"/>
                <w:highlight w:val="none"/>
              </w:rPr>
              <w:t>覆盖</w:t>
            </w:r>
            <w:r>
              <w:rPr>
                <w:rFonts w:hint="eastAsia"/>
                <w:bCs/>
                <w:color w:val="auto"/>
                <w:sz w:val="24"/>
                <w:lang w:eastAsia="zh-CN"/>
              </w:rPr>
              <w:t>；项目施工场地边界设置围挡，若安置房项目同时施工，北侧可不设围挡。</w:t>
            </w:r>
            <w:r>
              <w:rPr>
                <w:rFonts w:hint="eastAsia"/>
                <w:bCs/>
                <w:color w:val="auto"/>
                <w:sz w:val="24"/>
              </w:rPr>
              <w:t>将施工期</w:t>
            </w:r>
            <w:r>
              <w:rPr>
                <w:rFonts w:hint="eastAsia"/>
                <w:bCs/>
                <w:color w:val="auto"/>
                <w:sz w:val="24"/>
                <w:lang w:eastAsia="zh-CN"/>
              </w:rPr>
              <w:t>对</w:t>
            </w:r>
            <w:r>
              <w:rPr>
                <w:rFonts w:hint="eastAsia"/>
                <w:bCs/>
                <w:color w:val="auto"/>
                <w:sz w:val="24"/>
              </w:rPr>
              <w:t>项目区</w:t>
            </w:r>
            <w:r>
              <w:rPr>
                <w:rFonts w:hint="eastAsia"/>
                <w:bCs/>
                <w:color w:val="auto"/>
                <w:sz w:val="24"/>
                <w:lang w:eastAsia="zh-CN"/>
              </w:rPr>
              <w:t>西侧</w:t>
            </w:r>
            <w:r>
              <w:rPr>
                <w:rFonts w:hint="eastAsia"/>
                <w:bCs/>
                <w:color w:val="auto"/>
                <w:sz w:val="24"/>
              </w:rPr>
              <w:t>关坝镇居民、学校影响降至最低。</w:t>
            </w:r>
            <w:r>
              <w:rPr>
                <w:bCs/>
                <w:color w:val="auto"/>
                <w:sz w:val="24"/>
              </w:rPr>
              <w:t>本项目</w:t>
            </w:r>
            <w:r>
              <w:rPr>
                <w:color w:val="auto"/>
                <w:sz w:val="24"/>
              </w:rPr>
              <w:t>施工平面布置图见附图</w:t>
            </w:r>
            <w:r>
              <w:rPr>
                <w:rFonts w:hint="eastAsia"/>
                <w:color w:val="auto"/>
                <w:sz w:val="24"/>
                <w:lang w:val="en-US" w:eastAsia="zh-CN"/>
              </w:rPr>
              <w:t>12</w:t>
            </w:r>
            <w:r>
              <w:rPr>
                <w:color w:val="auto"/>
                <w:sz w:val="24"/>
              </w:rPr>
              <w:t>。</w:t>
            </w:r>
          </w:p>
          <w:p w14:paraId="262ED5A4">
            <w:pPr>
              <w:adjustRightInd w:val="0"/>
              <w:snapToGrid w:val="0"/>
              <w:spacing w:line="360" w:lineRule="auto"/>
              <w:ind w:firstLine="480" w:firstLineChars="200"/>
              <w:rPr>
                <w:color w:val="auto"/>
                <w:sz w:val="24"/>
              </w:rPr>
            </w:pPr>
            <w:r>
              <w:rPr>
                <w:color w:val="auto"/>
                <w:sz w:val="24"/>
              </w:rPr>
              <w:t>2、运营期整体布置</w:t>
            </w:r>
          </w:p>
          <w:p w14:paraId="4B1AAB74">
            <w:pPr>
              <w:snapToGrid w:val="0"/>
              <w:spacing w:line="360" w:lineRule="auto"/>
              <w:ind w:firstLine="480" w:firstLineChars="200"/>
              <w:rPr>
                <w:rFonts w:hint="default" w:eastAsia="宋体"/>
                <w:color w:val="auto"/>
                <w:sz w:val="24"/>
                <w:lang w:val="en-US" w:eastAsia="zh-CN"/>
              </w:rPr>
            </w:pPr>
            <w:r>
              <w:rPr>
                <w:color w:val="auto"/>
                <w:sz w:val="24"/>
              </w:rPr>
              <w:t>根据</w:t>
            </w:r>
            <w:r>
              <w:rPr>
                <w:rFonts w:hint="eastAsia"/>
                <w:color w:val="auto"/>
                <w:sz w:val="24"/>
              </w:rPr>
              <w:t>工程设计资料</w:t>
            </w:r>
            <w:r>
              <w:rPr>
                <w:color w:val="auto"/>
                <w:sz w:val="24"/>
              </w:rPr>
              <w:t>，主要人行出入口位于</w:t>
            </w:r>
            <w:r>
              <w:rPr>
                <w:rFonts w:hint="eastAsia"/>
                <w:color w:val="auto"/>
                <w:sz w:val="24"/>
                <w:lang w:eastAsia="zh-CN"/>
              </w:rPr>
              <w:t>东南侧</w:t>
            </w:r>
            <w:r>
              <w:rPr>
                <w:color w:val="auto"/>
                <w:sz w:val="24"/>
              </w:rPr>
              <w:t>；机动车位均设在地下室，机动车出入口位于</w:t>
            </w:r>
            <w:r>
              <w:rPr>
                <w:rFonts w:hint="eastAsia"/>
                <w:color w:val="auto"/>
                <w:sz w:val="24"/>
                <w:lang w:eastAsia="zh-CN"/>
              </w:rPr>
              <w:t>人行出入口旁</w:t>
            </w:r>
            <w:r>
              <w:rPr>
                <w:color w:val="auto"/>
                <w:sz w:val="24"/>
              </w:rPr>
              <w:t>。</w:t>
            </w:r>
            <w:r>
              <w:rPr>
                <w:rFonts w:hint="eastAsia"/>
                <w:color w:val="auto"/>
                <w:sz w:val="24"/>
              </w:rPr>
              <w:t>主要设置6栋建筑楼、地下室，各建筑特征如下：</w:t>
            </w:r>
          </w:p>
          <w:p w14:paraId="104B9017">
            <w:pPr>
              <w:overflowPunct w:val="0"/>
              <w:autoSpaceDE w:val="0"/>
              <w:adjustRightInd w:val="0"/>
              <w:snapToGrid w:val="0"/>
              <w:spacing w:line="360" w:lineRule="auto"/>
              <w:ind w:firstLine="480" w:firstLineChars="200"/>
              <w:rPr>
                <w:rFonts w:hint="eastAsia"/>
                <w:color w:val="auto"/>
                <w:sz w:val="24"/>
              </w:rPr>
            </w:pPr>
            <w:r>
              <w:rPr>
                <w:rFonts w:hint="eastAsia"/>
                <w:color w:val="auto"/>
                <w:sz w:val="24"/>
              </w:rPr>
              <w:t>1号楼：</w:t>
            </w:r>
            <w:r>
              <w:rPr>
                <w:rFonts w:hint="eastAsia"/>
                <w:color w:val="auto"/>
                <w:sz w:val="24"/>
                <w:lang w:eastAsia="zh-CN"/>
              </w:rPr>
              <w:t>位于出入口西侧，</w:t>
            </w:r>
            <w:r>
              <w:rPr>
                <w:rFonts w:hint="eastAsia"/>
                <w:color w:val="auto"/>
                <w:sz w:val="24"/>
              </w:rPr>
              <w:t>建筑层数：8F；建筑高度：24.4m，地面标高830.1</w:t>
            </w:r>
            <w:r>
              <w:rPr>
                <w:rFonts w:hint="eastAsia"/>
                <w:color w:val="auto"/>
                <w:sz w:val="24"/>
                <w:lang w:eastAsia="zh-CN"/>
              </w:rPr>
              <w:t>；</w:t>
            </w:r>
            <w:r>
              <w:rPr>
                <w:rFonts w:hint="eastAsia"/>
                <w:color w:val="auto"/>
                <w:sz w:val="24"/>
              </w:rPr>
              <w:t>2号楼：</w:t>
            </w:r>
            <w:r>
              <w:rPr>
                <w:rFonts w:hint="eastAsia"/>
                <w:color w:val="auto"/>
                <w:sz w:val="24"/>
                <w:lang w:eastAsia="zh-CN"/>
              </w:rPr>
              <w:t>位于</w:t>
            </w:r>
            <w:r>
              <w:rPr>
                <w:rFonts w:hint="eastAsia"/>
                <w:color w:val="auto"/>
                <w:sz w:val="24"/>
                <w:lang w:val="en-US" w:eastAsia="zh-CN"/>
              </w:rPr>
              <w:t>1号楼</w:t>
            </w:r>
            <w:r>
              <w:rPr>
                <w:rFonts w:hint="eastAsia"/>
                <w:color w:val="auto"/>
                <w:sz w:val="24"/>
                <w:lang w:eastAsia="zh-CN"/>
              </w:rPr>
              <w:t>西侧，</w:t>
            </w:r>
            <w:r>
              <w:rPr>
                <w:rFonts w:hint="eastAsia"/>
                <w:color w:val="auto"/>
                <w:sz w:val="24"/>
              </w:rPr>
              <w:t>建筑层数：8F；建筑高度：24.4m，地面标高830.1</w:t>
            </w:r>
            <w:r>
              <w:rPr>
                <w:rFonts w:hint="eastAsia"/>
                <w:color w:val="auto"/>
                <w:sz w:val="24"/>
                <w:lang w:eastAsia="zh-CN"/>
              </w:rPr>
              <w:t>；</w:t>
            </w:r>
            <w:r>
              <w:rPr>
                <w:rFonts w:hint="eastAsia"/>
                <w:color w:val="auto"/>
                <w:sz w:val="24"/>
              </w:rPr>
              <w:t>3号楼：</w:t>
            </w:r>
            <w:r>
              <w:rPr>
                <w:rFonts w:hint="eastAsia"/>
                <w:color w:val="auto"/>
                <w:sz w:val="24"/>
                <w:lang w:eastAsia="zh-CN"/>
              </w:rPr>
              <w:t>位于</w:t>
            </w:r>
            <w:r>
              <w:rPr>
                <w:rFonts w:hint="eastAsia"/>
                <w:color w:val="auto"/>
                <w:sz w:val="24"/>
                <w:lang w:val="en-US" w:eastAsia="zh-CN"/>
              </w:rPr>
              <w:t>2号楼</w:t>
            </w:r>
            <w:r>
              <w:rPr>
                <w:rFonts w:hint="eastAsia"/>
                <w:color w:val="auto"/>
                <w:sz w:val="24"/>
                <w:lang w:eastAsia="zh-CN"/>
              </w:rPr>
              <w:t>西南侧，</w:t>
            </w:r>
            <w:r>
              <w:rPr>
                <w:rFonts w:hint="eastAsia"/>
                <w:color w:val="auto"/>
                <w:sz w:val="24"/>
              </w:rPr>
              <w:t>建筑层数：8F；建筑高度：24.4m，地面标高830.1</w:t>
            </w:r>
            <w:r>
              <w:rPr>
                <w:rFonts w:hint="eastAsia"/>
                <w:color w:val="auto"/>
                <w:sz w:val="24"/>
                <w:lang w:eastAsia="zh-CN"/>
              </w:rPr>
              <w:t>；</w:t>
            </w:r>
            <w:r>
              <w:rPr>
                <w:rFonts w:hint="eastAsia"/>
                <w:color w:val="auto"/>
                <w:sz w:val="24"/>
              </w:rPr>
              <w:t>4号楼：</w:t>
            </w:r>
            <w:r>
              <w:rPr>
                <w:rFonts w:hint="eastAsia"/>
                <w:color w:val="auto"/>
                <w:sz w:val="24"/>
                <w:lang w:eastAsia="zh-CN"/>
              </w:rPr>
              <w:t>位于</w:t>
            </w:r>
            <w:r>
              <w:rPr>
                <w:rFonts w:hint="eastAsia"/>
                <w:color w:val="auto"/>
                <w:sz w:val="24"/>
                <w:lang w:val="en-US" w:eastAsia="zh-CN"/>
              </w:rPr>
              <w:t>3号楼北侧</w:t>
            </w:r>
            <w:r>
              <w:rPr>
                <w:rFonts w:hint="eastAsia"/>
                <w:color w:val="auto"/>
                <w:sz w:val="24"/>
                <w:lang w:eastAsia="zh-CN"/>
              </w:rPr>
              <w:t>，</w:t>
            </w:r>
            <w:r>
              <w:rPr>
                <w:rFonts w:hint="eastAsia"/>
                <w:color w:val="auto"/>
                <w:sz w:val="24"/>
              </w:rPr>
              <w:t>建筑层数：8F；建筑高度：24.4m，地面标高830.1</w:t>
            </w:r>
            <w:r>
              <w:rPr>
                <w:rFonts w:hint="eastAsia"/>
                <w:color w:val="auto"/>
                <w:sz w:val="24"/>
                <w:lang w:eastAsia="zh-CN"/>
              </w:rPr>
              <w:t>；</w:t>
            </w:r>
            <w:r>
              <w:rPr>
                <w:rFonts w:hint="eastAsia"/>
                <w:color w:val="auto"/>
                <w:sz w:val="24"/>
              </w:rPr>
              <w:t>11号楼：</w:t>
            </w:r>
            <w:r>
              <w:rPr>
                <w:rFonts w:hint="eastAsia"/>
                <w:color w:val="auto"/>
                <w:sz w:val="24"/>
                <w:lang w:eastAsia="zh-CN"/>
              </w:rPr>
              <w:t>位于出入口东侧，</w:t>
            </w:r>
            <w:r>
              <w:rPr>
                <w:rFonts w:hint="eastAsia"/>
                <w:color w:val="auto"/>
                <w:sz w:val="24"/>
              </w:rPr>
              <w:t>建筑层数：8F；建筑高度：24.4m，地面标高831.0</w:t>
            </w:r>
            <w:r>
              <w:rPr>
                <w:rFonts w:hint="eastAsia"/>
                <w:color w:val="auto"/>
                <w:sz w:val="24"/>
                <w:lang w:eastAsia="zh-CN"/>
              </w:rPr>
              <w:t>；</w:t>
            </w:r>
            <w:r>
              <w:rPr>
                <w:rFonts w:hint="eastAsia"/>
                <w:color w:val="auto"/>
                <w:sz w:val="24"/>
              </w:rPr>
              <w:t>12号楼：</w:t>
            </w:r>
            <w:r>
              <w:rPr>
                <w:rFonts w:hint="eastAsia"/>
                <w:color w:val="auto"/>
                <w:sz w:val="24"/>
                <w:lang w:eastAsia="zh-CN"/>
              </w:rPr>
              <w:t>位于</w:t>
            </w:r>
            <w:r>
              <w:rPr>
                <w:rFonts w:hint="eastAsia"/>
                <w:color w:val="auto"/>
                <w:sz w:val="24"/>
                <w:lang w:val="en-US" w:eastAsia="zh-CN"/>
              </w:rPr>
              <w:t>11号楼东侧</w:t>
            </w:r>
            <w:r>
              <w:rPr>
                <w:rFonts w:hint="eastAsia"/>
                <w:color w:val="auto"/>
                <w:sz w:val="24"/>
                <w:lang w:eastAsia="zh-CN"/>
              </w:rPr>
              <w:t>，</w:t>
            </w:r>
            <w:r>
              <w:rPr>
                <w:rFonts w:hint="eastAsia"/>
                <w:color w:val="auto"/>
                <w:sz w:val="24"/>
              </w:rPr>
              <w:t>建筑层数：8F；建筑高度：24.4m，地面标高831.1</w:t>
            </w:r>
            <w:r>
              <w:rPr>
                <w:rFonts w:hint="eastAsia"/>
                <w:color w:val="auto"/>
                <w:sz w:val="24"/>
                <w:lang w:eastAsia="zh-CN"/>
              </w:rPr>
              <w:t>；</w:t>
            </w:r>
            <w:r>
              <w:rPr>
                <w:rFonts w:hint="eastAsia"/>
                <w:color w:val="auto"/>
                <w:sz w:val="24"/>
              </w:rPr>
              <w:t>门卫室：建筑层数：1F；建筑高度：4.2m，地面标高826.0</w:t>
            </w:r>
            <w:r>
              <w:rPr>
                <w:rFonts w:hint="eastAsia"/>
                <w:color w:val="auto"/>
                <w:sz w:val="24"/>
                <w:lang w:eastAsia="zh-CN"/>
              </w:rPr>
              <w:t>；</w:t>
            </w:r>
            <w:r>
              <w:rPr>
                <w:rFonts w:hint="eastAsia"/>
                <w:color w:val="auto"/>
                <w:sz w:val="24"/>
              </w:rPr>
              <w:t>地下室：建筑层数：-1F；高度3.9m，位于1号、2号、3号、4号楼地下，设置非机动车库、机动车库、充电桩等。</w:t>
            </w:r>
          </w:p>
          <w:p w14:paraId="1DE2BB94">
            <w:pPr>
              <w:overflowPunct w:val="0"/>
              <w:autoSpaceDE w:val="0"/>
              <w:adjustRightInd w:val="0"/>
              <w:snapToGrid w:val="0"/>
              <w:spacing w:line="360" w:lineRule="auto"/>
              <w:ind w:firstLine="480" w:firstLineChars="200"/>
              <w:rPr>
                <w:color w:val="auto"/>
                <w:sz w:val="24"/>
              </w:rPr>
            </w:pPr>
            <w:r>
              <w:rPr>
                <w:color w:val="auto"/>
                <w:sz w:val="24"/>
              </w:rPr>
              <w:t>平面布置</w:t>
            </w:r>
            <w:r>
              <w:rPr>
                <w:rFonts w:hint="eastAsia"/>
                <w:color w:val="auto"/>
                <w:sz w:val="24"/>
              </w:rPr>
              <w:t>见</w:t>
            </w:r>
            <w:r>
              <w:rPr>
                <w:rFonts w:hint="eastAsia"/>
                <w:color w:val="auto"/>
                <w:sz w:val="24"/>
                <w:lang w:eastAsia="zh-CN"/>
              </w:rPr>
              <w:t>附图</w:t>
            </w:r>
            <w:r>
              <w:rPr>
                <w:rFonts w:hint="eastAsia"/>
                <w:color w:val="auto"/>
                <w:sz w:val="24"/>
                <w:lang w:val="en-US" w:eastAsia="zh-CN"/>
              </w:rPr>
              <w:t>10</w:t>
            </w:r>
            <w:r>
              <w:rPr>
                <w:color w:val="auto"/>
                <w:sz w:val="24"/>
              </w:rPr>
              <w:t>。综上，本项目总平布置较为合理。</w:t>
            </w:r>
          </w:p>
        </w:tc>
      </w:tr>
      <w:tr w14:paraId="048EDC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Align w:val="center"/>
          </w:tcPr>
          <w:p w14:paraId="0AC15B24">
            <w:pPr>
              <w:adjustRightInd w:val="0"/>
              <w:snapToGrid w:val="0"/>
              <w:jc w:val="center"/>
              <w:rPr>
                <w:color w:val="auto"/>
                <w:kern w:val="0"/>
                <w:sz w:val="24"/>
              </w:rPr>
            </w:pPr>
            <w:r>
              <w:rPr>
                <w:color w:val="auto"/>
                <w:kern w:val="0"/>
                <w:sz w:val="24"/>
              </w:rPr>
              <w:t>施工方案</w:t>
            </w:r>
          </w:p>
        </w:tc>
        <w:tc>
          <w:tcPr>
            <w:tcW w:w="8426" w:type="dxa"/>
            <w:vAlign w:val="center"/>
          </w:tcPr>
          <w:p w14:paraId="2C0CEC3C">
            <w:pPr>
              <w:adjustRightInd w:val="0"/>
              <w:snapToGrid w:val="0"/>
              <w:spacing w:before="120" w:beforeLines="50" w:line="360" w:lineRule="auto"/>
              <w:ind w:left="420" w:leftChars="200"/>
              <w:rPr>
                <w:b/>
                <w:color w:val="auto"/>
                <w:sz w:val="24"/>
              </w:rPr>
            </w:pPr>
            <w:r>
              <w:rPr>
                <w:b/>
                <w:color w:val="auto"/>
                <w:sz w:val="24"/>
              </w:rPr>
              <w:t>一、施工工艺</w:t>
            </w:r>
          </w:p>
          <w:p w14:paraId="1BFAB02F">
            <w:pPr>
              <w:pStyle w:val="60"/>
              <w:ind w:firstLine="480"/>
              <w:rPr>
                <w:rFonts w:ascii="Times New Roman" w:hAnsi="Times New Roman"/>
                <w:bCs/>
                <w:color w:val="auto"/>
              </w:rPr>
            </w:pPr>
            <w:r>
              <w:rPr>
                <w:rFonts w:ascii="Times New Roman" w:hAnsi="Times New Roman"/>
                <w:bCs/>
                <w:color w:val="auto"/>
              </w:rPr>
              <w:t>1、本工程总的施工顺序为先结构后装修，先室外后室内。在地下结构完成后及时组织验收，合格后进行土方回填。</w:t>
            </w:r>
          </w:p>
          <w:p w14:paraId="06B2815C">
            <w:pPr>
              <w:pStyle w:val="60"/>
              <w:ind w:firstLine="480"/>
              <w:rPr>
                <w:rFonts w:ascii="Times New Roman" w:hAnsi="Times New Roman"/>
                <w:bCs/>
                <w:color w:val="auto"/>
              </w:rPr>
            </w:pPr>
            <w:r>
              <w:rPr>
                <w:rFonts w:ascii="Times New Roman" w:hAnsi="Times New Roman"/>
                <w:bCs/>
                <w:color w:val="auto"/>
              </w:rPr>
              <w:t>2、基础及主体结构按流水段划分，组织平行流水与立体交叉相结合施工作业，钢筋绑扎、模板支立、混凝土浇筑三大主要工序依次流水作业，水暖、电气等设备所需的预留预埋工作随进度穿插作业，不单独占用施工时间。安装阶段应做好与土建专业的配合工作。</w:t>
            </w:r>
          </w:p>
          <w:p w14:paraId="24DB9627">
            <w:pPr>
              <w:pStyle w:val="60"/>
              <w:ind w:firstLine="480"/>
              <w:rPr>
                <w:rFonts w:ascii="Times New Roman" w:hAnsi="Times New Roman"/>
                <w:bCs/>
                <w:color w:val="auto"/>
              </w:rPr>
            </w:pPr>
            <w:r>
              <w:rPr>
                <w:rFonts w:ascii="Times New Roman" w:hAnsi="Times New Roman"/>
                <w:bCs/>
                <w:color w:val="auto"/>
              </w:rPr>
              <w:t>3、主体结构施工流程如下：</w:t>
            </w:r>
          </w:p>
          <w:p w14:paraId="41516439">
            <w:pPr>
              <w:pStyle w:val="60"/>
              <w:ind w:firstLine="480"/>
              <w:rPr>
                <w:rFonts w:ascii="Times New Roman" w:hAnsi="Times New Roman"/>
                <w:bCs/>
                <w:color w:val="auto"/>
              </w:rPr>
            </w:pPr>
            <w:r>
              <w:rPr>
                <w:rFonts w:ascii="Times New Roman" w:hAnsi="Times New Roman"/>
                <w:bCs/>
                <w:color w:val="auto"/>
              </w:rPr>
              <w:t>放线→绑扎柱、剪力墙钢筋→隐蔽工程验收→柱、剪力墙支模→柱、剪力墙浇筑混凝土及其养护→支梁及顶板模板→绑梁、顶板钢筋→隐蔽工程验收→顶板、梁浇筑混凝土及其养护</w:t>
            </w:r>
          </w:p>
          <w:p w14:paraId="0C7EA056">
            <w:pPr>
              <w:pStyle w:val="60"/>
              <w:ind w:firstLine="480"/>
              <w:rPr>
                <w:rFonts w:ascii="Times New Roman" w:hAnsi="Times New Roman"/>
                <w:bCs/>
                <w:color w:val="auto"/>
              </w:rPr>
            </w:pPr>
            <w:r>
              <w:rPr>
                <w:rFonts w:ascii="Times New Roman" w:hAnsi="Times New Roman"/>
                <w:bCs/>
                <w:color w:val="auto"/>
              </w:rPr>
              <w:t>4、二次结构施工工艺流程如下：</w:t>
            </w:r>
          </w:p>
          <w:p w14:paraId="02F15E99">
            <w:pPr>
              <w:pStyle w:val="60"/>
              <w:ind w:firstLine="480"/>
              <w:rPr>
                <w:rFonts w:ascii="Times New Roman" w:hAnsi="Times New Roman"/>
                <w:bCs/>
                <w:color w:val="auto"/>
              </w:rPr>
            </w:pPr>
            <w:r>
              <w:rPr>
                <w:rFonts w:ascii="Times New Roman" w:hAnsi="Times New Roman"/>
                <w:bCs/>
                <w:color w:val="auto"/>
              </w:rPr>
              <w:t>放线→锚固钢筋焊接、构造柱钢筋绑扎→砌筑砌块→构造柱模板支立→构造柱混凝土浇筑→混凝土及砌体养护。</w:t>
            </w:r>
          </w:p>
          <w:p w14:paraId="7FCE2C20">
            <w:pPr>
              <w:pStyle w:val="60"/>
              <w:ind w:firstLine="480"/>
              <w:rPr>
                <w:rFonts w:ascii="Times New Roman" w:hAnsi="Times New Roman"/>
                <w:bCs/>
                <w:color w:val="auto"/>
              </w:rPr>
            </w:pPr>
            <w:r>
              <w:rPr>
                <w:rFonts w:ascii="Times New Roman" w:hAnsi="Times New Roman"/>
                <w:bCs/>
                <w:color w:val="auto"/>
              </w:rPr>
              <w:t>5、装饰施工工艺流程如下：</w:t>
            </w:r>
          </w:p>
          <w:p w14:paraId="289E8A01">
            <w:pPr>
              <w:pStyle w:val="60"/>
              <w:ind w:firstLine="480"/>
              <w:rPr>
                <w:rFonts w:ascii="Times New Roman" w:hAnsi="Times New Roman"/>
                <w:bCs/>
                <w:color w:val="auto"/>
              </w:rPr>
            </w:pPr>
            <w:r>
              <w:rPr>
                <w:rFonts w:ascii="Times New Roman" w:hAnsi="Times New Roman"/>
                <w:bCs/>
                <w:color w:val="auto"/>
              </w:rPr>
              <w:t>隔板、门窗框安装→内墙抹灰→外墙装饰→顶棚→内墙装饰→楼地面→门窗、五金安装→玻璃油漆。</w:t>
            </w:r>
          </w:p>
          <w:p w14:paraId="45130541">
            <w:pPr>
              <w:adjustRightInd w:val="0"/>
              <w:snapToGrid w:val="0"/>
              <w:spacing w:line="360" w:lineRule="auto"/>
              <w:jc w:val="center"/>
              <w:rPr>
                <w:color w:val="auto"/>
              </w:rPr>
            </w:pPr>
            <w:r>
              <w:rPr>
                <w:color w:val="auto"/>
              </w:rPr>
              <w:object>
                <v:shape id="_x0000_i1027" o:spt="75" type="#_x0000_t75" style="height:72.05pt;width:407.1pt;" o:ole="t" filled="f" o:preferrelative="t" stroked="f" coordsize="21600,21600">
                  <v:path/>
                  <v:fill on="f" focussize="0,0"/>
                  <v:stroke on="f"/>
                  <v:imagedata r:id="rId15" o:title=""/>
                  <o:lock v:ext="edit" aspectratio="f"/>
                  <w10:wrap type="none"/>
                  <w10:anchorlock/>
                </v:shape>
                <o:OLEObject Type="Embed" ProgID="Visio.Drawing.15" ShapeID="_x0000_i1027" DrawAspect="Content" ObjectID="_1468075727" r:id="rId14">
                  <o:LockedField>false</o:LockedField>
                </o:OLEObject>
              </w:object>
            </w:r>
          </w:p>
          <w:p w14:paraId="270D4F24">
            <w:pPr>
              <w:pStyle w:val="60"/>
              <w:ind w:firstLine="0" w:firstLineChars="0"/>
              <w:jc w:val="center"/>
              <w:rPr>
                <w:rFonts w:ascii="Times New Roman" w:hAnsi="Times New Roman"/>
                <w:b/>
                <w:bCs/>
                <w:color w:val="auto"/>
                <w:sz w:val="21"/>
              </w:rPr>
            </w:pPr>
            <w:r>
              <w:rPr>
                <w:rFonts w:ascii="Times New Roman" w:hAnsi="Times New Roman"/>
                <w:b/>
                <w:bCs/>
                <w:color w:val="auto"/>
                <w:sz w:val="21"/>
                <w:szCs w:val="21"/>
              </w:rPr>
              <w:t>图2-</w:t>
            </w:r>
            <w:r>
              <w:rPr>
                <w:rFonts w:hint="eastAsia" w:ascii="Times New Roman" w:hAnsi="Times New Roman"/>
                <w:b/>
                <w:bCs/>
                <w:color w:val="auto"/>
                <w:sz w:val="21"/>
                <w:szCs w:val="21"/>
                <w:lang w:val="en-US" w:eastAsia="zh-CN"/>
              </w:rPr>
              <w:t>2</w:t>
            </w:r>
            <w:r>
              <w:rPr>
                <w:rFonts w:ascii="Times New Roman" w:hAnsi="Times New Roman"/>
                <w:b/>
                <w:bCs/>
                <w:color w:val="auto"/>
                <w:sz w:val="21"/>
                <w:szCs w:val="21"/>
              </w:rPr>
              <w:t xml:space="preserve">  施工工艺流程及产污位置图</w:t>
            </w:r>
          </w:p>
          <w:p w14:paraId="219897EE">
            <w:pPr>
              <w:pStyle w:val="60"/>
              <w:ind w:firstLine="482"/>
              <w:rPr>
                <w:rFonts w:ascii="Times New Roman" w:hAnsi="Times New Roman"/>
                <w:b/>
                <w:color w:val="auto"/>
              </w:rPr>
            </w:pPr>
            <w:r>
              <w:rPr>
                <w:rFonts w:ascii="Times New Roman" w:hAnsi="Times New Roman"/>
                <w:b/>
                <w:color w:val="auto"/>
              </w:rPr>
              <w:t>（1）施工测量</w:t>
            </w:r>
          </w:p>
          <w:p w14:paraId="52E229CD">
            <w:pPr>
              <w:pStyle w:val="12"/>
              <w:spacing w:before="0" w:line="360" w:lineRule="auto"/>
              <w:ind w:firstLine="480" w:firstLineChars="200"/>
              <w:rPr>
                <w:rFonts w:ascii="Times New Roman" w:hAnsi="Times New Roman" w:cs="Times New Roman"/>
                <w:color w:val="auto"/>
                <w:szCs w:val="24"/>
              </w:rPr>
            </w:pPr>
            <w:r>
              <w:rPr>
                <w:rFonts w:ascii="Times New Roman" w:hAnsi="Times New Roman" w:cs="Times New Roman"/>
                <w:color w:val="auto"/>
                <w:szCs w:val="24"/>
              </w:rPr>
              <w:t>对本项目范围内地表杂草和其他遗留植被进行清除，采用人工清除的方式进行。项目区内工程首先进行场地平整，场地平整前剥离表土集中堆放，以用于后期绿化。然后根据场地标高，采用挖掘机掘挖土石方，利用翻斗车或推土机将开挖土石料运至填筑场地，并分层碾压。施工中应注意场地排水。土方填筑包括部分绿化用地地形塑造和项目区道路路基填筑等，全部利用挖方施工产生的土料，主要利用推土机推土或挖掘机装载后，利用载重卡车运送至填方区进行填筑和碾压。</w:t>
            </w:r>
          </w:p>
          <w:p w14:paraId="4351C1E2">
            <w:pPr>
              <w:pStyle w:val="12"/>
              <w:spacing w:before="0" w:line="360" w:lineRule="auto"/>
              <w:ind w:firstLine="480" w:firstLineChars="200"/>
              <w:rPr>
                <w:rFonts w:ascii="Times New Roman" w:hAnsi="Times New Roman" w:cs="Times New Roman"/>
                <w:color w:val="auto"/>
                <w:szCs w:val="24"/>
              </w:rPr>
            </w:pPr>
            <w:r>
              <w:rPr>
                <w:rFonts w:ascii="Times New Roman" w:hAnsi="Times New Roman" w:cs="Times New Roman"/>
                <w:color w:val="auto"/>
                <w:szCs w:val="24"/>
              </w:rPr>
              <w:t>①首先要根据设计图纸进行室内计算，对建设单位提供的水准点和控制点进行校对，在图纸上标明。然后利用全站仪进行精确测量放线，复核基准水准点和控制点，并根据施工现场的具体情况定出控制网，并将复核结果和自己设立的控制网交监理审核。如监理审核通过，则今后的测量放线均按复核结果及控制网进行。如未获监理认可，则需继续复核，直至监理审核通过为止，并以监理最终审核通过结果作为施工放线测量的依据。</w:t>
            </w:r>
          </w:p>
          <w:p w14:paraId="548046CB">
            <w:pPr>
              <w:pStyle w:val="12"/>
              <w:spacing w:before="0" w:line="360" w:lineRule="auto"/>
              <w:ind w:firstLine="480" w:firstLineChars="200"/>
              <w:rPr>
                <w:rFonts w:ascii="Times New Roman" w:hAnsi="Times New Roman" w:cs="Times New Roman"/>
                <w:color w:val="auto"/>
                <w:szCs w:val="24"/>
              </w:rPr>
            </w:pPr>
            <w:r>
              <w:rPr>
                <w:rFonts w:ascii="Times New Roman" w:hAnsi="Times New Roman" w:cs="Times New Roman"/>
                <w:color w:val="auto"/>
                <w:szCs w:val="24"/>
              </w:rPr>
              <w:t>②经过监理认可的控制点和水准点要用水泥砂浆固定或在其四周用砖堆砌以严加保护，防止发生偏位和变形。</w:t>
            </w:r>
          </w:p>
          <w:p w14:paraId="7119441E">
            <w:pPr>
              <w:pStyle w:val="12"/>
              <w:spacing w:before="0" w:line="360" w:lineRule="auto"/>
              <w:ind w:firstLine="480" w:firstLineChars="200"/>
              <w:rPr>
                <w:rFonts w:ascii="Times New Roman" w:hAnsi="Times New Roman" w:cs="Times New Roman"/>
                <w:color w:val="auto"/>
                <w:szCs w:val="24"/>
              </w:rPr>
            </w:pPr>
            <w:r>
              <w:rPr>
                <w:rFonts w:ascii="Times New Roman" w:hAnsi="Times New Roman" w:cs="Times New Roman"/>
                <w:color w:val="auto"/>
                <w:szCs w:val="24"/>
              </w:rPr>
              <w:t>③建筑物定位点采用全站仪测设，测设以前先根据设计图纸提供的坐标于室内进行测设点的坐标计算，再在施工现场采用全站仪根据计算坐标测量定位，定位时后视现场控制网中的控制点，将后视点坐标输入全站仪内作为参照点,再利用对点棱镜放置在大致确定的位置处，利用全站仪测量该点与计算点的差距，然后根据测出的差距适当移动对点棱镜，使棱镜对准计算点坐标，最后，再在被确定点位置处设置控制木桩，重新用对点棱镜测设确定木桩上面的点位，并钉钉子标识。</w:t>
            </w:r>
          </w:p>
          <w:p w14:paraId="5D467D6C">
            <w:pPr>
              <w:pStyle w:val="60"/>
              <w:ind w:firstLine="482"/>
              <w:rPr>
                <w:rFonts w:ascii="Times New Roman" w:hAnsi="Times New Roman"/>
                <w:b/>
                <w:color w:val="auto"/>
              </w:rPr>
            </w:pPr>
            <w:r>
              <w:rPr>
                <w:rFonts w:ascii="Times New Roman" w:hAnsi="Times New Roman"/>
                <w:b/>
                <w:color w:val="auto"/>
              </w:rPr>
              <w:t>（2）土方工程</w:t>
            </w:r>
          </w:p>
          <w:p w14:paraId="53B3328E">
            <w:pPr>
              <w:pStyle w:val="60"/>
              <w:ind w:firstLine="480"/>
              <w:rPr>
                <w:rFonts w:ascii="Times New Roman" w:hAnsi="Times New Roman"/>
                <w:bCs/>
                <w:color w:val="auto"/>
              </w:rPr>
            </w:pPr>
            <w:r>
              <w:rPr>
                <w:rFonts w:ascii="Times New Roman" w:hAnsi="Times New Roman"/>
                <w:bCs/>
                <w:color w:val="auto"/>
              </w:rPr>
              <w:t>①土方开挖</w:t>
            </w:r>
          </w:p>
          <w:p w14:paraId="7C5F4AE0">
            <w:pPr>
              <w:pStyle w:val="60"/>
              <w:ind w:firstLine="480"/>
              <w:rPr>
                <w:rFonts w:ascii="Times New Roman" w:hAnsi="Times New Roman"/>
                <w:bCs/>
                <w:color w:val="auto"/>
              </w:rPr>
            </w:pPr>
            <w:r>
              <w:rPr>
                <w:rFonts w:ascii="Times New Roman" w:hAnsi="Times New Roman"/>
                <w:bCs/>
                <w:color w:val="auto"/>
              </w:rPr>
              <w:t>土方开挖主要为业主指定范围内的土方开挖，开挖的土方外运至业主指定地点，堆土高度不得超过规范要求高度。</w:t>
            </w:r>
          </w:p>
          <w:p w14:paraId="40EC3AD4">
            <w:pPr>
              <w:pStyle w:val="60"/>
              <w:ind w:firstLine="480"/>
              <w:rPr>
                <w:rFonts w:ascii="Times New Roman" w:hAnsi="Times New Roman"/>
                <w:bCs/>
                <w:color w:val="auto"/>
              </w:rPr>
            </w:pPr>
            <w:r>
              <w:rPr>
                <w:rFonts w:ascii="Times New Roman" w:hAnsi="Times New Roman"/>
                <w:bCs/>
                <w:color w:val="auto"/>
              </w:rPr>
              <w:t>操作工艺流程：确定开挖的顺序和坡度→分段分层平均下挖→修边和清底。</w:t>
            </w:r>
          </w:p>
          <w:p w14:paraId="13393932">
            <w:pPr>
              <w:pStyle w:val="60"/>
              <w:ind w:firstLine="480"/>
              <w:rPr>
                <w:rFonts w:ascii="Times New Roman" w:hAnsi="Times New Roman"/>
                <w:bCs/>
                <w:color w:val="auto"/>
              </w:rPr>
            </w:pPr>
            <w:r>
              <w:rPr>
                <w:rFonts w:ascii="Times New Roman" w:hAnsi="Times New Roman"/>
                <w:bCs/>
                <w:color w:val="auto"/>
              </w:rPr>
              <w:t>开挖应合理确定开挖顺序、路线及开挖深度。本工程采用挖掘机配合推土机进行开挖，土方开挖从上至下分层分段依次进行。</w:t>
            </w:r>
            <w:r>
              <w:rPr>
                <w:rFonts w:hint="eastAsia" w:ascii="Times New Roman" w:hAnsi="Times New Roman"/>
                <w:bCs/>
                <w:color w:val="auto"/>
                <w:lang w:eastAsia="zh-CN"/>
              </w:rPr>
              <w:t>做成</w:t>
            </w:r>
            <w:r>
              <w:rPr>
                <w:rFonts w:ascii="Times New Roman" w:hAnsi="Times New Roman"/>
                <w:bCs/>
                <w:color w:val="auto"/>
              </w:rPr>
              <w:t>一定坡势，以利泄水。在开挖过程中，应随时检查边坡的状态。开挖基坑，不能挖至设计标高以下，如不能准确地挖至设计基底标高时，可在设计标高以上暂留一层土不挖，以便在抄平后由人工挖出。暂留土层挖土机用反铲挖土时，为50cm左右为宜。在机械施工挖不到的土方，应配合人工随时进行挖掘，并用手推车把土运到机械挖到的地方，以便及时用机械挖走。修边和清底时在距底设计标高50cm槽帮处，抄出水平线，钉上小木撅，然后用人工将暂留土层挖走。</w:t>
            </w:r>
          </w:p>
          <w:p w14:paraId="18A8FC06">
            <w:pPr>
              <w:pStyle w:val="60"/>
              <w:ind w:firstLine="480"/>
              <w:rPr>
                <w:rFonts w:ascii="Times New Roman" w:hAnsi="Times New Roman"/>
                <w:bCs/>
                <w:color w:val="auto"/>
              </w:rPr>
            </w:pPr>
            <w:r>
              <w:rPr>
                <w:rFonts w:ascii="Times New Roman" w:hAnsi="Times New Roman"/>
                <w:bCs/>
                <w:color w:val="auto"/>
              </w:rPr>
              <w:t>②土方回填</w:t>
            </w:r>
          </w:p>
          <w:p w14:paraId="257D218B">
            <w:pPr>
              <w:pStyle w:val="60"/>
              <w:ind w:firstLine="480"/>
              <w:rPr>
                <w:rFonts w:ascii="Times New Roman" w:hAnsi="Times New Roman"/>
                <w:bCs/>
                <w:color w:val="auto"/>
              </w:rPr>
            </w:pPr>
            <w:r>
              <w:rPr>
                <w:rFonts w:ascii="Times New Roman" w:hAnsi="Times New Roman"/>
                <w:bCs/>
                <w:color w:val="auto"/>
              </w:rPr>
              <w:t>回填施工应均匀对称进行，分层夯实</w:t>
            </w:r>
            <w:r>
              <w:rPr>
                <w:rFonts w:hint="eastAsia" w:ascii="Times New Roman" w:hAnsi="Times New Roman"/>
                <w:bCs/>
                <w:color w:val="auto"/>
              </w:rPr>
              <w:t>，</w:t>
            </w:r>
            <w:r>
              <w:rPr>
                <w:rFonts w:ascii="Times New Roman" w:hAnsi="Times New Roman"/>
                <w:bCs/>
                <w:color w:val="auto"/>
              </w:rPr>
              <w:t>每层厚度不大于250mm</w:t>
            </w:r>
            <w:r>
              <w:rPr>
                <w:rFonts w:hint="eastAsia" w:ascii="Times New Roman" w:hAnsi="Times New Roman"/>
                <w:bCs/>
                <w:color w:val="auto"/>
              </w:rPr>
              <w:t>，</w:t>
            </w:r>
            <w:r>
              <w:rPr>
                <w:rFonts w:ascii="Times New Roman" w:hAnsi="Times New Roman"/>
                <w:bCs/>
                <w:color w:val="auto"/>
              </w:rPr>
              <w:t>压实系数不应小于0.94。基坑回填土不得采用淤泥、耕植土、膨胀土、生活垃圾及有机质土；高层建筑地下室外墙或桩基承台与基坑侧壁间隙应采用级配砂石、砂土或灰土进行回填。</w:t>
            </w:r>
          </w:p>
          <w:p w14:paraId="3AC71A22">
            <w:pPr>
              <w:pStyle w:val="60"/>
              <w:ind w:firstLine="482"/>
              <w:rPr>
                <w:rFonts w:ascii="Times New Roman" w:hAnsi="Times New Roman"/>
                <w:b/>
                <w:color w:val="auto"/>
              </w:rPr>
            </w:pPr>
            <w:r>
              <w:rPr>
                <w:rFonts w:ascii="Times New Roman" w:hAnsi="Times New Roman"/>
                <w:b/>
                <w:color w:val="auto"/>
              </w:rPr>
              <w:t>（3）钢筋工程</w:t>
            </w:r>
          </w:p>
          <w:p w14:paraId="4638BB8A">
            <w:pPr>
              <w:pStyle w:val="60"/>
              <w:ind w:firstLine="480"/>
              <w:rPr>
                <w:rFonts w:ascii="Times New Roman" w:hAnsi="Times New Roman"/>
                <w:bCs/>
                <w:color w:val="auto"/>
              </w:rPr>
            </w:pPr>
            <w:r>
              <w:rPr>
                <w:rFonts w:ascii="Times New Roman" w:hAnsi="Times New Roman"/>
                <w:bCs/>
                <w:color w:val="auto"/>
              </w:rPr>
              <w:t>①钢筋制作。钢筋加工制作时，要将钢筋加工表与设计图复核，检查下料表是否有错误和遗漏，对每种钢筋要按下料表检查是否达到要求，经过这两道检查后，再按下料表放出</w:t>
            </w:r>
            <w:r>
              <w:rPr>
                <w:rFonts w:hint="eastAsia" w:ascii="Times New Roman" w:hAnsi="Times New Roman"/>
                <w:bCs/>
                <w:color w:val="auto"/>
                <w:lang w:eastAsia="zh-CN"/>
              </w:rPr>
              <w:t>试样</w:t>
            </w:r>
            <w:r>
              <w:rPr>
                <w:rFonts w:ascii="Times New Roman" w:hAnsi="Times New Roman"/>
                <w:bCs/>
                <w:color w:val="auto"/>
              </w:rPr>
              <w:t>，试制合格后方可成批制作，加工好的钢筋要挂牌堆放整齐有序。</w:t>
            </w:r>
          </w:p>
          <w:p w14:paraId="298DD2AC">
            <w:pPr>
              <w:pStyle w:val="60"/>
              <w:ind w:firstLine="480"/>
              <w:rPr>
                <w:rFonts w:ascii="Times New Roman" w:hAnsi="Times New Roman"/>
                <w:bCs/>
                <w:color w:val="auto"/>
              </w:rPr>
            </w:pPr>
            <w:r>
              <w:rPr>
                <w:rFonts w:ascii="Times New Roman" w:hAnsi="Times New Roman"/>
                <w:bCs/>
                <w:color w:val="auto"/>
              </w:rPr>
              <w:t>②钢筋绑扎与安装。钢筋绑扎前先认真熟悉图纸，检查配料表与图纸、设计是否有出入，仔细检查成品尺寸是否与下料表相符。核对无误后方可进行绑扎。</w:t>
            </w:r>
          </w:p>
          <w:p w14:paraId="03A23DEF">
            <w:pPr>
              <w:pStyle w:val="60"/>
              <w:ind w:firstLine="480"/>
              <w:rPr>
                <w:rFonts w:ascii="Times New Roman" w:hAnsi="Times New Roman"/>
                <w:b/>
                <w:color w:val="auto"/>
              </w:rPr>
            </w:pPr>
            <w:r>
              <w:rPr>
                <w:rFonts w:ascii="Times New Roman" w:hAnsi="Times New Roman"/>
                <w:bCs/>
                <w:color w:val="auto"/>
              </w:rPr>
              <w:t>采用20#铁丝绑扎直径12以上钢筋，22#铁丝绑扎直径10以下钢筋。</w:t>
            </w:r>
          </w:p>
          <w:p w14:paraId="67F6E63B">
            <w:pPr>
              <w:pStyle w:val="60"/>
              <w:ind w:firstLine="480"/>
              <w:rPr>
                <w:rFonts w:ascii="Times New Roman" w:hAnsi="Times New Roman"/>
                <w:bCs/>
                <w:color w:val="auto"/>
              </w:rPr>
            </w:pPr>
            <w:r>
              <w:rPr>
                <w:rFonts w:ascii="Times New Roman" w:hAnsi="Times New Roman"/>
                <w:bCs/>
                <w:color w:val="auto"/>
              </w:rPr>
              <w:t>③钢筋接长。根据设计要求，本工程直径≥18的钢筋优先采用机械接长，套筒挤压连接技术，其余钢筋接长，水平筋采用对焊与电弧焊，竖向筋优先采用电渣压力焊。大于Φ25竖向钢筋采用套筒挤压连接。</w:t>
            </w:r>
          </w:p>
          <w:p w14:paraId="42A9847D">
            <w:pPr>
              <w:pStyle w:val="60"/>
              <w:ind w:firstLine="482"/>
              <w:rPr>
                <w:rFonts w:ascii="Times New Roman" w:hAnsi="Times New Roman"/>
                <w:b/>
                <w:color w:val="auto"/>
              </w:rPr>
            </w:pPr>
            <w:r>
              <w:rPr>
                <w:rFonts w:ascii="Times New Roman" w:hAnsi="Times New Roman"/>
                <w:b/>
                <w:color w:val="auto"/>
              </w:rPr>
              <w:t>（4）模板工程</w:t>
            </w:r>
          </w:p>
          <w:p w14:paraId="6DF2600E">
            <w:pPr>
              <w:pStyle w:val="60"/>
              <w:ind w:firstLine="480"/>
              <w:rPr>
                <w:rFonts w:ascii="Times New Roman" w:hAnsi="Times New Roman"/>
                <w:bCs/>
                <w:color w:val="auto"/>
              </w:rPr>
            </w:pPr>
            <w:r>
              <w:rPr>
                <w:rFonts w:ascii="Times New Roman" w:hAnsi="Times New Roman"/>
                <w:bCs/>
                <w:color w:val="auto"/>
              </w:rPr>
              <w:t>①模板采用915mm×1830mm×15mm优质胶合板，其安装应保证结构的几何尺寸，具备足够的强度、刚度、稳定性，模板不应与脚手架</w:t>
            </w:r>
            <w:r>
              <w:rPr>
                <w:rFonts w:hint="eastAsia" w:ascii="Times New Roman" w:hAnsi="Times New Roman"/>
                <w:bCs/>
                <w:color w:val="auto"/>
                <w:lang w:eastAsia="zh-CN"/>
              </w:rPr>
              <w:t>相连</w:t>
            </w:r>
            <w:r>
              <w:rPr>
                <w:rFonts w:ascii="Times New Roman" w:hAnsi="Times New Roman"/>
                <w:bCs/>
                <w:color w:val="auto"/>
              </w:rPr>
              <w:t>，避免引起模板变形和浇注过程中模板的不稳定。</w:t>
            </w:r>
          </w:p>
          <w:p w14:paraId="15EFE72F">
            <w:pPr>
              <w:pStyle w:val="60"/>
              <w:ind w:firstLine="480"/>
              <w:rPr>
                <w:rFonts w:ascii="Times New Roman" w:hAnsi="Times New Roman"/>
                <w:bCs/>
                <w:color w:val="auto"/>
              </w:rPr>
            </w:pPr>
            <w:r>
              <w:rPr>
                <w:rFonts w:ascii="Times New Roman" w:hAnsi="Times New Roman"/>
                <w:bCs/>
                <w:color w:val="auto"/>
              </w:rPr>
              <w:t>②安装侧模时应防止移位和凸出，基础侧模可在模板外设立支撑固定，墙身的侧模可设拉杆固定，对于小型结构可用金属线代替拉杆。</w:t>
            </w:r>
          </w:p>
          <w:p w14:paraId="702BAC2E">
            <w:pPr>
              <w:pStyle w:val="60"/>
              <w:ind w:firstLine="480"/>
              <w:rPr>
                <w:rFonts w:ascii="Times New Roman" w:hAnsi="Times New Roman"/>
                <w:bCs/>
                <w:color w:val="auto"/>
              </w:rPr>
            </w:pPr>
            <w:r>
              <w:rPr>
                <w:rFonts w:ascii="Times New Roman" w:hAnsi="Times New Roman"/>
                <w:bCs/>
                <w:color w:val="auto"/>
              </w:rPr>
              <w:t>③模板安装完毕后，应对其平面位置、顶部标高、节点</w:t>
            </w:r>
            <w:r>
              <w:rPr>
                <w:rFonts w:hint="eastAsia" w:ascii="Times New Roman" w:hAnsi="Times New Roman"/>
                <w:bCs/>
                <w:color w:val="auto"/>
                <w:lang w:eastAsia="zh-CN"/>
              </w:rPr>
              <w:t>连结</w:t>
            </w:r>
            <w:r>
              <w:rPr>
                <w:rFonts w:ascii="Times New Roman" w:hAnsi="Times New Roman"/>
                <w:bCs/>
                <w:color w:val="auto"/>
              </w:rPr>
              <w:t>、纵横向稳定性进行检查。其允许偏差必须符合规范要求（允许偏差如下表）。在施工过程中发现模板有移位和变形应及时纠正。</w:t>
            </w:r>
          </w:p>
          <w:p w14:paraId="1CAC697B">
            <w:pPr>
              <w:pStyle w:val="60"/>
              <w:ind w:firstLine="480"/>
              <w:rPr>
                <w:rFonts w:ascii="Times New Roman" w:hAnsi="Times New Roman"/>
                <w:bCs/>
                <w:color w:val="auto"/>
              </w:rPr>
            </w:pPr>
            <w:r>
              <w:rPr>
                <w:rFonts w:ascii="Times New Roman" w:hAnsi="Times New Roman"/>
                <w:bCs/>
                <w:color w:val="auto"/>
              </w:rPr>
              <w:t>④模板在安装过程中必须设置防倾覆设施。</w:t>
            </w:r>
          </w:p>
          <w:p w14:paraId="75A58D7F">
            <w:pPr>
              <w:pStyle w:val="60"/>
              <w:ind w:firstLine="482"/>
              <w:rPr>
                <w:rFonts w:ascii="Times New Roman" w:hAnsi="Times New Roman"/>
                <w:b/>
                <w:color w:val="auto"/>
              </w:rPr>
            </w:pPr>
            <w:r>
              <w:rPr>
                <w:rFonts w:ascii="Times New Roman" w:hAnsi="Times New Roman"/>
                <w:b/>
                <w:color w:val="auto"/>
              </w:rPr>
              <w:t>（5）混凝土工程</w:t>
            </w:r>
          </w:p>
          <w:p w14:paraId="7D6D7388">
            <w:pPr>
              <w:pStyle w:val="60"/>
              <w:ind w:firstLine="480"/>
              <w:rPr>
                <w:rFonts w:ascii="Times New Roman" w:hAnsi="Times New Roman"/>
                <w:bCs/>
                <w:color w:val="auto"/>
              </w:rPr>
            </w:pPr>
            <w:r>
              <w:rPr>
                <w:rFonts w:ascii="Times New Roman" w:hAnsi="Times New Roman"/>
                <w:bCs/>
                <w:color w:val="auto"/>
              </w:rPr>
              <w:t>①混凝土浇筑前，应对支架、模板、钢筋和预埋件进行检查并</w:t>
            </w:r>
            <w:r>
              <w:rPr>
                <w:rFonts w:hint="eastAsia" w:ascii="Times New Roman" w:hAnsi="Times New Roman"/>
                <w:bCs/>
                <w:color w:val="auto"/>
                <w:lang w:eastAsia="zh-CN"/>
              </w:rPr>
              <w:t>做好</w:t>
            </w:r>
            <w:r>
              <w:rPr>
                <w:rFonts w:ascii="Times New Roman" w:hAnsi="Times New Roman"/>
                <w:bCs/>
                <w:color w:val="auto"/>
              </w:rPr>
              <w:t>记录。</w:t>
            </w:r>
          </w:p>
          <w:p w14:paraId="6ED3FEF8">
            <w:pPr>
              <w:pStyle w:val="60"/>
              <w:ind w:firstLine="480"/>
              <w:rPr>
                <w:rFonts w:ascii="Times New Roman" w:hAnsi="Times New Roman"/>
                <w:bCs/>
                <w:color w:val="auto"/>
              </w:rPr>
            </w:pPr>
            <w:r>
              <w:rPr>
                <w:rFonts w:ascii="Times New Roman" w:hAnsi="Times New Roman"/>
                <w:bCs/>
                <w:color w:val="auto"/>
              </w:rPr>
              <w:t>②混凝土自高处直接倾卸时，其自由高度不宜超过2米，以不发生离析为准。</w:t>
            </w:r>
          </w:p>
          <w:p w14:paraId="4204C5F8">
            <w:pPr>
              <w:pStyle w:val="60"/>
              <w:ind w:firstLine="480"/>
              <w:rPr>
                <w:rFonts w:ascii="Times New Roman" w:hAnsi="Times New Roman"/>
                <w:bCs/>
                <w:color w:val="auto"/>
              </w:rPr>
            </w:pPr>
            <w:r>
              <w:rPr>
                <w:rFonts w:ascii="Times New Roman" w:hAnsi="Times New Roman"/>
                <w:bCs/>
                <w:color w:val="auto"/>
              </w:rPr>
              <w:t>③当倾落高度超过2米</w:t>
            </w:r>
            <w:r>
              <w:rPr>
                <w:rFonts w:hint="eastAsia" w:ascii="Times New Roman" w:hAnsi="Times New Roman"/>
                <w:bCs/>
                <w:color w:val="auto"/>
                <w:lang w:eastAsia="zh-CN"/>
              </w:rPr>
              <w:t>时</w:t>
            </w:r>
            <w:r>
              <w:rPr>
                <w:rFonts w:ascii="Times New Roman" w:hAnsi="Times New Roman"/>
                <w:bCs/>
                <w:color w:val="auto"/>
              </w:rPr>
              <w:t>，应通过串筒或溜槽等设施下落，当倾落高度超过10米时，应设减速装置。</w:t>
            </w:r>
          </w:p>
          <w:p w14:paraId="12BC800B">
            <w:pPr>
              <w:pStyle w:val="60"/>
              <w:ind w:firstLine="480"/>
              <w:rPr>
                <w:rFonts w:ascii="Times New Roman" w:hAnsi="Times New Roman"/>
                <w:bCs/>
                <w:color w:val="auto"/>
              </w:rPr>
            </w:pPr>
            <w:r>
              <w:rPr>
                <w:rFonts w:ascii="Times New Roman" w:hAnsi="Times New Roman"/>
                <w:bCs/>
                <w:color w:val="auto"/>
              </w:rPr>
              <w:t>④串筒出料口下混凝土堆积高度不宜超过1米。</w:t>
            </w:r>
          </w:p>
          <w:p w14:paraId="10AE87ED">
            <w:pPr>
              <w:pStyle w:val="60"/>
              <w:ind w:firstLine="480"/>
              <w:rPr>
                <w:rFonts w:ascii="Times New Roman" w:hAnsi="Times New Roman"/>
                <w:bCs/>
                <w:color w:val="auto"/>
              </w:rPr>
            </w:pPr>
            <w:r>
              <w:rPr>
                <w:rFonts w:ascii="Times New Roman" w:hAnsi="Times New Roman"/>
                <w:bCs/>
                <w:color w:val="auto"/>
              </w:rPr>
              <w:t>⑤混凝土按一定厚度、顺序、方向分层（50cm）浇筑。</w:t>
            </w:r>
          </w:p>
          <w:p w14:paraId="1304FBE6">
            <w:pPr>
              <w:pStyle w:val="60"/>
              <w:ind w:firstLine="480"/>
              <w:rPr>
                <w:rFonts w:ascii="Times New Roman" w:hAnsi="Times New Roman"/>
                <w:bCs/>
                <w:color w:val="auto"/>
              </w:rPr>
            </w:pPr>
            <w:r>
              <w:rPr>
                <w:rFonts w:ascii="Times New Roman" w:hAnsi="Times New Roman"/>
                <w:bCs/>
                <w:color w:val="auto"/>
              </w:rPr>
              <w:t>⑥混凝土捣固使用插入式振动器时，移动间距不应超过振动器作用半径的1.5倍，与侧模保持50～100mm的距离，插入下层混凝土50～100mm。每一处振动完毕后，应边振动边徐徐提出，对每一振动部分必须振动到该部分混凝土密实为止，密实的标志是混凝土停止下沉，不再冒出气泡、表面呈现平坦、泛浆。应避免振动棒碰撞模板、钢筋及其他预埋件。平板振动器移位间距应以振动器能覆盖已振动部分100mm为宜。</w:t>
            </w:r>
          </w:p>
          <w:p w14:paraId="2D09281C">
            <w:pPr>
              <w:pStyle w:val="60"/>
              <w:ind w:firstLine="480"/>
              <w:rPr>
                <w:rFonts w:ascii="Times New Roman" w:hAnsi="Times New Roman"/>
                <w:bCs/>
                <w:color w:val="auto"/>
              </w:rPr>
            </w:pPr>
            <w:r>
              <w:rPr>
                <w:rFonts w:ascii="Times New Roman" w:hAnsi="Times New Roman"/>
                <w:bCs/>
                <w:color w:val="auto"/>
              </w:rPr>
              <w:t>⑦砼浇筑的过程中不得随意向砼运输车中加水，来调整砼的坍落度及流动性。</w:t>
            </w:r>
          </w:p>
          <w:p w14:paraId="41E88B34">
            <w:pPr>
              <w:pStyle w:val="60"/>
              <w:ind w:firstLine="480"/>
              <w:rPr>
                <w:rFonts w:ascii="Times New Roman" w:hAnsi="Times New Roman"/>
                <w:bCs/>
                <w:color w:val="auto"/>
              </w:rPr>
            </w:pPr>
            <w:r>
              <w:rPr>
                <w:rFonts w:ascii="Times New Roman" w:hAnsi="Times New Roman"/>
                <w:bCs/>
                <w:color w:val="auto"/>
              </w:rPr>
              <w:t>⑧浇筑完成后应洒水进行养护。</w:t>
            </w:r>
          </w:p>
          <w:p w14:paraId="56224F78">
            <w:pPr>
              <w:pStyle w:val="60"/>
              <w:ind w:firstLine="482"/>
              <w:rPr>
                <w:rFonts w:ascii="Times New Roman" w:hAnsi="Times New Roman"/>
                <w:b/>
                <w:color w:val="auto"/>
              </w:rPr>
            </w:pPr>
            <w:r>
              <w:rPr>
                <w:rFonts w:ascii="Times New Roman" w:hAnsi="Times New Roman"/>
                <w:b/>
                <w:color w:val="auto"/>
              </w:rPr>
              <w:t>（6）基础防水工程</w:t>
            </w:r>
          </w:p>
          <w:p w14:paraId="5ACD6B9A">
            <w:pPr>
              <w:pStyle w:val="60"/>
              <w:ind w:firstLine="480"/>
              <w:rPr>
                <w:rFonts w:ascii="Times New Roman" w:hAnsi="Times New Roman"/>
                <w:bCs/>
                <w:color w:val="auto"/>
              </w:rPr>
            </w:pPr>
            <w:r>
              <w:rPr>
                <w:rFonts w:ascii="Times New Roman" w:hAnsi="Times New Roman"/>
                <w:bCs/>
                <w:color w:val="auto"/>
              </w:rPr>
              <w:t>①清理基层：基层表面凸部位铲平，凹陷部位应用聚合物砂浆填平（由土建方负责），并不得有空鼓、开裂及起砂、脱皮、翘起等缺陷。如沾有砂、灰尘、油污应清除干净，阴阳角处应做半径不小于50mm的圆弧。</w:t>
            </w:r>
          </w:p>
          <w:p w14:paraId="193D866D">
            <w:pPr>
              <w:pStyle w:val="60"/>
              <w:ind w:firstLine="480"/>
              <w:rPr>
                <w:rFonts w:ascii="Times New Roman" w:hAnsi="Times New Roman"/>
                <w:bCs/>
                <w:color w:val="auto"/>
              </w:rPr>
            </w:pPr>
            <w:r>
              <w:rPr>
                <w:rFonts w:ascii="Times New Roman" w:hAnsi="Times New Roman"/>
                <w:bCs/>
                <w:color w:val="auto"/>
              </w:rPr>
              <w:t>②涂刷底涂：涂刷基层处理剂时必须要均匀一致，不得有露白处，切勿反复涂刷，干燥4小时以上至不粘脚后方可进行下道工序。</w:t>
            </w:r>
          </w:p>
          <w:p w14:paraId="14149CF3">
            <w:pPr>
              <w:pStyle w:val="60"/>
              <w:ind w:firstLine="480"/>
              <w:rPr>
                <w:rFonts w:ascii="Times New Roman" w:hAnsi="Times New Roman"/>
                <w:bCs/>
                <w:color w:val="auto"/>
              </w:rPr>
            </w:pPr>
            <w:r>
              <w:rPr>
                <w:rFonts w:ascii="Times New Roman" w:hAnsi="Times New Roman"/>
                <w:bCs/>
                <w:color w:val="auto"/>
              </w:rPr>
              <w:t>③阴阳角加强层处理：在基层处理剂干燥后，在阴阳角处以热熔粘贴法铺粘SBS防水卷材</w:t>
            </w:r>
            <w:r>
              <w:rPr>
                <w:rFonts w:hint="eastAsia" w:ascii="Times New Roman" w:hAnsi="Times New Roman"/>
                <w:bCs/>
                <w:color w:val="auto"/>
                <w:lang w:eastAsia="zh-CN"/>
              </w:rPr>
              <w:t>做</w:t>
            </w:r>
            <w:r>
              <w:rPr>
                <w:rFonts w:ascii="Times New Roman" w:hAnsi="Times New Roman"/>
                <w:bCs/>
                <w:color w:val="auto"/>
              </w:rPr>
              <w:t>加强层，以阴阳角为中心两边宽度均为250mm。</w:t>
            </w:r>
          </w:p>
          <w:p w14:paraId="48038180">
            <w:pPr>
              <w:pStyle w:val="60"/>
              <w:ind w:firstLine="480"/>
              <w:rPr>
                <w:rFonts w:ascii="Times New Roman" w:hAnsi="Times New Roman"/>
                <w:bCs/>
                <w:color w:val="auto"/>
              </w:rPr>
            </w:pPr>
            <w:r>
              <w:rPr>
                <w:rFonts w:ascii="Times New Roman" w:hAnsi="Times New Roman"/>
                <w:bCs/>
                <w:color w:val="auto"/>
              </w:rPr>
              <w:t>④挡土墙与剪力墙接头处理：先在挡土墙与底板平面的阴、阳角处</w:t>
            </w:r>
            <w:r>
              <w:rPr>
                <w:rFonts w:hint="eastAsia" w:ascii="Times New Roman" w:hAnsi="Times New Roman"/>
                <w:bCs/>
                <w:color w:val="auto"/>
                <w:lang w:eastAsia="zh-CN"/>
              </w:rPr>
              <w:t>做</w:t>
            </w:r>
            <w:r>
              <w:rPr>
                <w:rFonts w:ascii="Times New Roman" w:hAnsi="Times New Roman"/>
                <w:bCs/>
                <w:color w:val="auto"/>
              </w:rPr>
              <w:t>防水增强层。在做挡土墙防水时，上口平面应预留250mm不能铺粘，为以后剪力墙</w:t>
            </w:r>
            <w:r>
              <w:rPr>
                <w:rFonts w:hint="eastAsia" w:ascii="Times New Roman" w:hAnsi="Times New Roman"/>
                <w:bCs/>
                <w:color w:val="auto"/>
                <w:lang w:eastAsia="zh-CN"/>
              </w:rPr>
              <w:t>做</w:t>
            </w:r>
            <w:r>
              <w:rPr>
                <w:rFonts w:ascii="Times New Roman" w:hAnsi="Times New Roman"/>
                <w:bCs/>
                <w:color w:val="auto"/>
              </w:rPr>
              <w:t>防水层搭接。</w:t>
            </w:r>
          </w:p>
          <w:p w14:paraId="3CD4E0D1">
            <w:pPr>
              <w:pStyle w:val="60"/>
              <w:ind w:firstLine="480"/>
              <w:rPr>
                <w:rFonts w:ascii="Times New Roman" w:hAnsi="Times New Roman"/>
                <w:bCs/>
                <w:color w:val="auto"/>
              </w:rPr>
            </w:pPr>
            <w:r>
              <w:rPr>
                <w:rFonts w:ascii="Times New Roman" w:hAnsi="Times New Roman"/>
                <w:bCs/>
                <w:color w:val="auto"/>
              </w:rPr>
              <w:t>⑤塔基坑防水处理：待塔基坑内的阴、阳角防水增强层做完后，上沿口每边预留300mm的搭接材料，以后与底板卷材热熔粘接。（所留接头需由土建方加强保护），在铺平面与立面相连的卷材，应先铺贴平面，然后由下向上铺贴，并使卷材紧贴阳角，不应空鼓。</w:t>
            </w:r>
          </w:p>
          <w:p w14:paraId="65D64C83">
            <w:pPr>
              <w:pStyle w:val="60"/>
              <w:ind w:firstLine="480"/>
              <w:rPr>
                <w:rFonts w:ascii="Times New Roman" w:hAnsi="Times New Roman"/>
                <w:bCs/>
                <w:color w:val="auto"/>
              </w:rPr>
            </w:pPr>
            <w:r>
              <w:rPr>
                <w:rFonts w:ascii="Times New Roman" w:hAnsi="Times New Roman"/>
                <w:bCs/>
                <w:color w:val="auto"/>
              </w:rPr>
              <w:t>⑥剪力墙穿墙孔处理，用热熔型密封膏作密封防水处理后，周边各加宽250mmSBS改性沥青防水卷材防水层。</w:t>
            </w:r>
          </w:p>
          <w:p w14:paraId="7B9DA3F7">
            <w:pPr>
              <w:pStyle w:val="60"/>
              <w:ind w:firstLine="480"/>
              <w:rPr>
                <w:rFonts w:ascii="Times New Roman" w:hAnsi="Times New Roman"/>
                <w:bCs/>
                <w:color w:val="auto"/>
              </w:rPr>
            </w:pPr>
            <w:r>
              <w:rPr>
                <w:rFonts w:ascii="Times New Roman" w:hAnsi="Times New Roman"/>
                <w:bCs/>
                <w:color w:val="auto"/>
              </w:rPr>
              <w:t>⑦基坑防水施工前，应对基坑内的各个阴、阳角部位做防水增强层处理，在阳、阳角交汇处的防水增强层应无翘边和空鼓现象，后做基坑的大面防水层。</w:t>
            </w:r>
          </w:p>
          <w:p w14:paraId="7CC15883">
            <w:pPr>
              <w:pStyle w:val="60"/>
              <w:ind w:firstLine="480"/>
              <w:rPr>
                <w:rFonts w:ascii="Times New Roman" w:hAnsi="Times New Roman"/>
                <w:bCs/>
                <w:color w:val="auto"/>
              </w:rPr>
            </w:pPr>
            <w:r>
              <w:rPr>
                <w:rFonts w:ascii="Times New Roman" w:hAnsi="Times New Roman"/>
                <w:bCs/>
                <w:color w:val="auto"/>
              </w:rPr>
              <w:t>⑧承台柱基的防水处理：待柱基坑内的阴、阳角防水增强层做完后，由柱基坑内向外做大面积的防水层。</w:t>
            </w:r>
          </w:p>
          <w:p w14:paraId="30C201E2">
            <w:pPr>
              <w:pStyle w:val="60"/>
              <w:ind w:firstLine="480"/>
              <w:rPr>
                <w:rFonts w:ascii="Times New Roman" w:hAnsi="Times New Roman"/>
                <w:bCs/>
                <w:color w:val="auto"/>
              </w:rPr>
            </w:pPr>
            <w:r>
              <w:rPr>
                <w:rFonts w:ascii="Times New Roman" w:hAnsi="Times New Roman"/>
                <w:bCs/>
                <w:color w:val="auto"/>
              </w:rPr>
              <w:t>⑨后浇带的防水处理：在处理完后浇带的阴、阳角防水增强后，防水卷材应顺着后浇带的延伸方向施工。不宜横向铺贴卷材，如出现后浇带高、低跨时，应处理好转角处的防水细部处理。</w:t>
            </w:r>
          </w:p>
          <w:p w14:paraId="1670BB1C">
            <w:pPr>
              <w:pStyle w:val="60"/>
              <w:ind w:firstLine="480"/>
              <w:rPr>
                <w:rFonts w:ascii="Times New Roman" w:hAnsi="Times New Roman"/>
                <w:bCs/>
                <w:color w:val="auto"/>
              </w:rPr>
            </w:pPr>
            <w:r>
              <w:rPr>
                <w:rFonts w:ascii="Times New Roman" w:hAnsi="Times New Roman"/>
                <w:bCs/>
                <w:color w:val="auto"/>
              </w:rPr>
              <w:t>⑩大面积铺贴防水层：将卷材向前滚铺贴及压辊进行压实处理。滚压时应注意不要卷入空气和异物，平面与立面直接时应由下至上铺贴并使卷材紧粘阴角，不允许有明显的空鼓现象存在。搭接宽度为横向搭接、纵向搭接不小于100mm。各层卷材的压边宽度不应小于100mm，接头宽度不应小于100mm。上下层卷材的压边要相互</w:t>
            </w:r>
            <w:r>
              <w:rPr>
                <w:rFonts w:hint="eastAsia" w:ascii="Times New Roman" w:hAnsi="Times New Roman"/>
                <w:bCs/>
                <w:color w:val="auto"/>
                <w:lang w:eastAsia="zh-CN"/>
              </w:rPr>
              <w:t>错开</w:t>
            </w:r>
            <w:r>
              <w:rPr>
                <w:rFonts w:ascii="Times New Roman" w:hAnsi="Times New Roman"/>
                <w:bCs/>
                <w:color w:val="auto"/>
              </w:rPr>
              <w:t>1/3幅宽，即30~50cm。上下层及相邻卷材的接头要相互错开30~50cm。卷材防水层施工完成后应仔细检查，特别是接头部位应认真检查。</w:t>
            </w:r>
          </w:p>
          <w:p w14:paraId="660D3BC7">
            <w:pPr>
              <w:pStyle w:val="60"/>
              <w:ind w:firstLine="482"/>
              <w:rPr>
                <w:rFonts w:ascii="Times New Roman" w:hAnsi="Times New Roman"/>
                <w:b/>
                <w:color w:val="auto"/>
              </w:rPr>
            </w:pPr>
            <w:r>
              <w:rPr>
                <w:rFonts w:ascii="Times New Roman" w:hAnsi="Times New Roman"/>
                <w:b/>
                <w:color w:val="auto"/>
              </w:rPr>
              <w:t>（7）脚手架工程</w:t>
            </w:r>
          </w:p>
          <w:p w14:paraId="3FFBFD78">
            <w:pPr>
              <w:pStyle w:val="60"/>
              <w:ind w:firstLine="480"/>
              <w:rPr>
                <w:rFonts w:ascii="Times New Roman" w:hAnsi="Times New Roman"/>
                <w:bCs/>
                <w:color w:val="auto"/>
              </w:rPr>
            </w:pPr>
            <w:r>
              <w:rPr>
                <w:rFonts w:ascii="Times New Roman" w:hAnsi="Times New Roman"/>
                <w:bCs/>
                <w:color w:val="auto"/>
              </w:rPr>
              <w:t>底座布置→底座布置应根据图纸要求拉好轴线铺放，放横向扫地杆→自角部起依次向两边竖立底立杆，底端与横扫地杆扣接固定后，装设纵向扫地杆并也与立杆固定，固定底杆端前，应吊线确保立杆垂直，每边立起4根立杆后，随即装设第一步纵向平杆（与立杆扣接固定）和横向平杆，小横杆靠近立杆并与纵向平杆扣接固定，校接立杆固定和平杆水平使其符合要求后，按40～60Nm力矩拧紧扣件螺栓，形成构架的起始段→按上述要求依次向前延伸搭设，直至第一步架交圈完成。交圈后，再全面检查一遍构架质量和地基情况，严格确保设计要求和构架质量→设置连墙杆→按第一步搭设要求和作业程序搭设第二步，第三步……→随搭设进程及时设置连墙件，剪刀撑、卸荷结构→设置作业层间横杆、铺设脚手板和设置作业层栏杆，挡脚板或围护、封闭施工。</w:t>
            </w:r>
          </w:p>
          <w:p w14:paraId="79AE7C1E">
            <w:pPr>
              <w:pStyle w:val="60"/>
              <w:ind w:firstLine="482"/>
              <w:rPr>
                <w:rFonts w:ascii="Times New Roman" w:hAnsi="Times New Roman"/>
                <w:b/>
                <w:color w:val="auto"/>
              </w:rPr>
            </w:pPr>
            <w:r>
              <w:rPr>
                <w:rFonts w:ascii="Times New Roman" w:hAnsi="Times New Roman"/>
                <w:b/>
                <w:color w:val="auto"/>
              </w:rPr>
              <w:t>（8）砌筑工程</w:t>
            </w:r>
          </w:p>
          <w:p w14:paraId="7A468565">
            <w:pPr>
              <w:pStyle w:val="60"/>
              <w:ind w:firstLine="480"/>
              <w:rPr>
                <w:rFonts w:ascii="Times New Roman" w:hAnsi="Times New Roman"/>
                <w:bCs/>
                <w:color w:val="auto"/>
              </w:rPr>
            </w:pPr>
            <w:r>
              <w:rPr>
                <w:rFonts w:ascii="Times New Roman" w:hAnsi="Times New Roman"/>
                <w:bCs/>
                <w:color w:val="auto"/>
              </w:rPr>
              <w:t>在弹好线的楼面上，先按砖的组合平面预排，先用干砖进行排列，不符合模数的首先选用页岩实心砖进行调整，然后调整灰缝宽度，但灰缝要保持在8～12mm之间。在框架柱、构造柱、边框和门窗洞口处，不符合模数的选用页岩实心砖进行调整，调整宽度为60-240mm。空心砖墙体在构造柱、边框和门窗洞口处选用页岩实心砖进行封头处理,宽度为60-240mm，避免浇筑砼时浇捣不密实。</w:t>
            </w:r>
          </w:p>
          <w:p w14:paraId="6A831A49">
            <w:pPr>
              <w:pStyle w:val="60"/>
              <w:ind w:firstLine="480"/>
              <w:rPr>
                <w:rFonts w:ascii="Times New Roman" w:hAnsi="Times New Roman"/>
                <w:bCs/>
                <w:color w:val="auto"/>
              </w:rPr>
            </w:pPr>
            <w:r>
              <w:rPr>
                <w:rFonts w:ascii="Times New Roman" w:hAnsi="Times New Roman"/>
                <w:bCs/>
                <w:color w:val="auto"/>
              </w:rPr>
              <w:t>立面处理：在弹好线的楼面上，先砌200mm高页岩实心砖（有水房间应先在墙根部浇筑200mm高砼墙墩），顶部后塞口预留100-140mm高，若中部现浇带下口、窗洞等下口、后塞口下口遇到不符合模数时选用页岩实心砖调整。</w:t>
            </w:r>
          </w:p>
          <w:p w14:paraId="313269B6">
            <w:pPr>
              <w:pStyle w:val="60"/>
              <w:ind w:firstLine="480"/>
              <w:rPr>
                <w:rFonts w:ascii="Times New Roman" w:hAnsi="Times New Roman"/>
                <w:b/>
                <w:color w:val="auto"/>
              </w:rPr>
            </w:pPr>
            <w:r>
              <w:rPr>
                <w:rFonts w:ascii="Times New Roman" w:hAnsi="Times New Roman"/>
                <w:bCs/>
                <w:color w:val="auto"/>
              </w:rPr>
              <w:t>砌块的砌筑采用“抹灰挤浆法”，先用瓦刀在砖的底面（反砌）的周肋上满铺灰浆、铺灰长度为1～2m，再在待砌的页岩砖端头抹头灰，然后双手搬运页岩砖进行挤浆砌筑。砌筑时做到横平竖直，灰缝饱满密实，严禁用水冲浆灌缝。</w:t>
            </w:r>
          </w:p>
          <w:p w14:paraId="2665B1E7">
            <w:pPr>
              <w:pStyle w:val="60"/>
              <w:ind w:firstLine="482"/>
              <w:rPr>
                <w:rFonts w:ascii="Times New Roman" w:hAnsi="Times New Roman"/>
                <w:b/>
                <w:color w:val="auto"/>
              </w:rPr>
            </w:pPr>
            <w:r>
              <w:rPr>
                <w:rFonts w:ascii="Times New Roman" w:hAnsi="Times New Roman"/>
                <w:b/>
                <w:color w:val="auto"/>
              </w:rPr>
              <w:t>（9）装饰装修工程</w:t>
            </w:r>
          </w:p>
          <w:p w14:paraId="77EDE79D">
            <w:pPr>
              <w:pStyle w:val="60"/>
              <w:ind w:firstLine="480"/>
              <w:rPr>
                <w:rFonts w:ascii="Times New Roman" w:hAnsi="Times New Roman"/>
                <w:bCs/>
                <w:color w:val="auto"/>
              </w:rPr>
            </w:pPr>
            <w:r>
              <w:rPr>
                <w:rFonts w:ascii="Times New Roman" w:hAnsi="Times New Roman"/>
                <w:bCs/>
                <w:color w:val="auto"/>
              </w:rPr>
              <w:t>本工程装饰装修自上而下进行。装修工序多、工种多，要求工序搭接合理，并安排好各工种之间的穿插配合，避免返工费料。坚持样板引路。先选择一、二套典型房间做样板间，经建设单位、监理、设计验收合格后，再进行大面积作业。外装修选用双排扣件式钢管脚手架。本项目装修装饰工程主要包括抹灰工程、水砂浆楼地面、室内乳胶漆涂饰工程、内墙砖施工、外墙砖施工。</w:t>
            </w:r>
          </w:p>
          <w:p w14:paraId="3BDDBAA0">
            <w:pPr>
              <w:pStyle w:val="60"/>
              <w:ind w:firstLine="482"/>
              <w:rPr>
                <w:rFonts w:ascii="Times New Roman" w:hAnsi="Times New Roman"/>
                <w:b/>
                <w:color w:val="auto"/>
              </w:rPr>
            </w:pPr>
            <w:r>
              <w:rPr>
                <w:rFonts w:ascii="Times New Roman" w:hAnsi="Times New Roman"/>
                <w:b/>
                <w:color w:val="auto"/>
              </w:rPr>
              <w:t>（10）屋面保温工程</w:t>
            </w:r>
          </w:p>
          <w:p w14:paraId="77B45823">
            <w:pPr>
              <w:pStyle w:val="60"/>
              <w:ind w:firstLine="480"/>
              <w:rPr>
                <w:rFonts w:ascii="Times New Roman" w:hAnsi="Times New Roman"/>
                <w:bCs/>
                <w:color w:val="auto"/>
              </w:rPr>
            </w:pPr>
            <w:r>
              <w:rPr>
                <w:rFonts w:hint="eastAsia" w:ascii="Times New Roman" w:hAnsi="Times New Roman"/>
                <w:color w:val="auto"/>
                <w:kern w:val="0"/>
              </w:rPr>
              <w:t>本项目屋顶采用：</w:t>
            </w:r>
            <w:r>
              <w:rPr>
                <w:rFonts w:ascii="Times New Roman" w:hAnsi="Times New Roman"/>
                <w:color w:val="auto"/>
                <w:kern w:val="0"/>
              </w:rPr>
              <w:t>细石混凝土</w:t>
            </w:r>
            <w:r>
              <w:rPr>
                <w:rFonts w:hint="eastAsia" w:ascii="Times New Roman" w:hAnsi="Times New Roman"/>
                <w:color w:val="auto"/>
                <w:kern w:val="0"/>
              </w:rPr>
              <w:t>（</w:t>
            </w:r>
            <w:r>
              <w:rPr>
                <w:rFonts w:ascii="Times New Roman" w:hAnsi="Times New Roman"/>
                <w:color w:val="auto"/>
                <w:kern w:val="0"/>
              </w:rPr>
              <w:t>ρ==2300</w:t>
            </w:r>
            <w:r>
              <w:rPr>
                <w:rFonts w:hint="eastAsia" w:ascii="Times New Roman" w:hAnsi="Times New Roman"/>
                <w:color w:val="auto"/>
                <w:kern w:val="0"/>
              </w:rPr>
              <w:t>）</w:t>
            </w:r>
            <w:r>
              <w:rPr>
                <w:rFonts w:ascii="Times New Roman" w:hAnsi="Times New Roman"/>
                <w:color w:val="auto"/>
                <w:kern w:val="0"/>
              </w:rPr>
              <w:t>40mm+挤塑聚苯乙烯泡沫塑料</w:t>
            </w:r>
            <w:r>
              <w:rPr>
                <w:rFonts w:hint="eastAsia" w:ascii="Times New Roman" w:hAnsi="Times New Roman"/>
                <w:color w:val="auto"/>
                <w:kern w:val="0"/>
              </w:rPr>
              <w:t>（</w:t>
            </w:r>
            <w:r>
              <w:rPr>
                <w:rFonts w:ascii="Times New Roman" w:hAnsi="Times New Roman"/>
                <w:color w:val="auto"/>
                <w:kern w:val="0"/>
              </w:rPr>
              <w:t>带表皮</w:t>
            </w:r>
            <w:r>
              <w:rPr>
                <w:rFonts w:hint="eastAsia" w:ascii="Times New Roman" w:hAnsi="Times New Roman"/>
                <w:color w:val="auto"/>
                <w:kern w:val="0"/>
              </w:rPr>
              <w:t>）</w:t>
            </w:r>
            <w:r>
              <w:rPr>
                <w:rFonts w:ascii="Times New Roman" w:hAnsi="Times New Roman"/>
                <w:color w:val="auto"/>
                <w:kern w:val="0"/>
              </w:rPr>
              <w:t>40mm+SBS改性沥青防水卷材3mm+SBS改性沥青防水卷材3mm+水泥砂浆20mm+1:6水泥沥青炉渣30mm+钢筋混凝土120mm</w:t>
            </w:r>
            <w:r>
              <w:rPr>
                <w:rFonts w:hint="eastAsia" w:ascii="Times New Roman" w:hAnsi="Times New Roman"/>
                <w:color w:val="auto"/>
                <w:kern w:val="0"/>
              </w:rPr>
              <w:t>。</w:t>
            </w:r>
          </w:p>
          <w:p w14:paraId="5CDC79A6">
            <w:pPr>
              <w:pStyle w:val="60"/>
              <w:ind w:firstLine="482"/>
              <w:rPr>
                <w:rFonts w:ascii="Times New Roman" w:hAnsi="Times New Roman"/>
                <w:b/>
                <w:color w:val="auto"/>
              </w:rPr>
            </w:pPr>
            <w:r>
              <w:rPr>
                <w:rFonts w:ascii="Times New Roman" w:hAnsi="Times New Roman"/>
                <w:b/>
                <w:color w:val="auto"/>
              </w:rPr>
              <w:t>（11）室内防水工程</w:t>
            </w:r>
          </w:p>
          <w:p w14:paraId="7E75508B">
            <w:pPr>
              <w:pStyle w:val="60"/>
              <w:ind w:firstLine="480"/>
              <w:rPr>
                <w:rFonts w:ascii="Times New Roman" w:hAnsi="Times New Roman"/>
                <w:bCs/>
                <w:color w:val="auto"/>
              </w:rPr>
            </w:pPr>
            <w:r>
              <w:rPr>
                <w:rFonts w:ascii="Times New Roman" w:hAnsi="Times New Roman"/>
                <w:bCs/>
                <w:color w:val="auto"/>
              </w:rPr>
              <w:t>本工程厨房、卫生间、阳台均做400g丙纶防水卷材防水层，其中卫生间泛水高2400，厨房泛水高300，阳台泛水高300，门洞处防水层应向外延伸300；管道、地漏周边300范围内及所有阴阳角处附加耐碱玻纤网格布一层。</w:t>
            </w:r>
          </w:p>
          <w:p w14:paraId="085D74AB">
            <w:pPr>
              <w:pStyle w:val="60"/>
              <w:ind w:firstLine="482"/>
              <w:rPr>
                <w:rFonts w:ascii="Times New Roman" w:hAnsi="Times New Roman"/>
                <w:b/>
                <w:color w:val="auto"/>
              </w:rPr>
            </w:pPr>
            <w:r>
              <w:rPr>
                <w:rFonts w:ascii="Times New Roman" w:hAnsi="Times New Roman"/>
                <w:b/>
                <w:color w:val="auto"/>
              </w:rPr>
              <w:t>（12）安装工程</w:t>
            </w:r>
          </w:p>
          <w:p w14:paraId="0D717748">
            <w:pPr>
              <w:pStyle w:val="60"/>
              <w:ind w:firstLine="480"/>
              <w:rPr>
                <w:rFonts w:ascii="Times New Roman" w:hAnsi="Times New Roman"/>
                <w:bCs/>
                <w:color w:val="auto"/>
              </w:rPr>
            </w:pPr>
            <w:r>
              <w:rPr>
                <w:rFonts w:ascii="Times New Roman" w:hAnsi="Times New Roman"/>
                <w:bCs/>
                <w:color w:val="auto"/>
              </w:rPr>
              <w:t>本工程设备材料、规格较多，为此必须做好充分的施工准备、全面规划，合理部署，采取正确的施工方法与技术措施，妥善安排力量，精心组织施工，才能按期、保质完成所承担的安装任务。本工程宜按如下施工工艺顺序组织施工：</w:t>
            </w:r>
          </w:p>
          <w:p w14:paraId="20ADA54C">
            <w:pPr>
              <w:pStyle w:val="60"/>
              <w:ind w:firstLine="480"/>
              <w:rPr>
                <w:rFonts w:ascii="Times New Roman" w:hAnsi="Times New Roman"/>
                <w:bCs/>
                <w:color w:val="auto"/>
              </w:rPr>
            </w:pPr>
            <w:r>
              <w:rPr>
                <w:rFonts w:ascii="Times New Roman" w:hAnsi="Times New Roman"/>
                <w:bCs/>
                <w:color w:val="auto"/>
              </w:rPr>
              <w:t>1、安装工程力求做到与土建施工密切结合，合理交叉，认真做好各项预留预埋工作。</w:t>
            </w:r>
          </w:p>
          <w:p w14:paraId="0051D6A9">
            <w:pPr>
              <w:pStyle w:val="60"/>
              <w:ind w:firstLine="480"/>
              <w:rPr>
                <w:rFonts w:ascii="Times New Roman" w:hAnsi="Times New Roman"/>
                <w:bCs/>
                <w:color w:val="auto"/>
              </w:rPr>
            </w:pPr>
            <w:r>
              <w:rPr>
                <w:rFonts w:ascii="Times New Roman" w:hAnsi="Times New Roman"/>
                <w:bCs/>
                <w:color w:val="auto"/>
              </w:rPr>
              <w:t>2、考虑到主体工程和其它工程的交叉配合问题，对主体工程不要破坏建筑物强度和建筑物的美观；对各种相互间的配合，要尽量考虑好电气线路、给排水、消防管道的关系，不要在施工时发生位置冲突，要按有关规定、距离设置。</w:t>
            </w:r>
          </w:p>
          <w:p w14:paraId="2F7FDA8F">
            <w:pPr>
              <w:pStyle w:val="60"/>
              <w:ind w:firstLine="480"/>
              <w:rPr>
                <w:rFonts w:ascii="Times New Roman" w:hAnsi="Times New Roman"/>
                <w:bCs/>
                <w:color w:val="auto"/>
              </w:rPr>
            </w:pPr>
            <w:r>
              <w:rPr>
                <w:rFonts w:ascii="Times New Roman" w:hAnsi="Times New Roman"/>
                <w:bCs/>
                <w:color w:val="auto"/>
              </w:rPr>
              <w:t>3、先预制、后安装管道和电气等专业。凡有条件的均应预制，这是缩短工期、提高工效、保证质量的前提。</w:t>
            </w:r>
          </w:p>
          <w:p w14:paraId="6F31C102">
            <w:pPr>
              <w:pStyle w:val="60"/>
              <w:ind w:firstLine="480"/>
              <w:rPr>
                <w:rFonts w:ascii="Times New Roman" w:hAnsi="Times New Roman"/>
                <w:bCs/>
                <w:color w:val="auto"/>
              </w:rPr>
            </w:pPr>
            <w:r>
              <w:rPr>
                <w:rFonts w:ascii="Times New Roman" w:hAnsi="Times New Roman"/>
                <w:bCs/>
                <w:color w:val="auto"/>
              </w:rPr>
              <w:t>4、先重点、后一般。如混凝土楼板、墙身、梁内的各种暗敷管线及各系统的预留预埋必须及时配合。</w:t>
            </w:r>
          </w:p>
          <w:p w14:paraId="5E89ED22">
            <w:pPr>
              <w:pStyle w:val="60"/>
              <w:ind w:firstLine="480"/>
              <w:rPr>
                <w:rFonts w:ascii="Times New Roman" w:hAnsi="Times New Roman"/>
                <w:bCs/>
                <w:color w:val="auto"/>
              </w:rPr>
            </w:pPr>
            <w:r>
              <w:rPr>
                <w:rFonts w:ascii="Times New Roman" w:hAnsi="Times New Roman"/>
                <w:bCs/>
                <w:color w:val="auto"/>
              </w:rPr>
              <w:t>5、安装的设备是建筑物内的一种设施，除必须积极维护以保证良好的使用功能外，还要考虑到交付使用运行后的维修便利，所有管路、照明设施应注意建筑的美化问题。</w:t>
            </w:r>
          </w:p>
          <w:p w14:paraId="6B4EDB45">
            <w:pPr>
              <w:pStyle w:val="60"/>
              <w:ind w:firstLine="482"/>
              <w:rPr>
                <w:rFonts w:ascii="Times New Roman" w:hAnsi="Times New Roman"/>
                <w:b/>
                <w:color w:val="auto"/>
              </w:rPr>
            </w:pPr>
            <w:r>
              <w:rPr>
                <w:rFonts w:ascii="Times New Roman" w:hAnsi="Times New Roman"/>
                <w:b/>
                <w:color w:val="auto"/>
              </w:rPr>
              <w:t>（13）绿化景观工程</w:t>
            </w:r>
          </w:p>
          <w:p w14:paraId="47A2F961">
            <w:pPr>
              <w:adjustRightInd w:val="0"/>
              <w:snapToGrid w:val="0"/>
              <w:spacing w:line="360" w:lineRule="auto"/>
              <w:ind w:firstLine="480" w:firstLineChars="200"/>
              <w:rPr>
                <w:color w:val="auto"/>
                <w:sz w:val="24"/>
              </w:rPr>
            </w:pPr>
            <w:r>
              <w:rPr>
                <w:color w:val="auto"/>
                <w:sz w:val="24"/>
              </w:rPr>
              <w:t>①保留</w:t>
            </w:r>
            <w:r>
              <w:rPr>
                <w:rFonts w:hint="eastAsia"/>
                <w:color w:val="auto"/>
                <w:sz w:val="24"/>
              </w:rPr>
              <w:t>当地</w:t>
            </w:r>
            <w:r>
              <w:rPr>
                <w:color w:val="auto"/>
                <w:sz w:val="24"/>
              </w:rPr>
              <w:t>现状植物</w:t>
            </w:r>
          </w:p>
          <w:p w14:paraId="6CA40FF1">
            <w:pPr>
              <w:adjustRightInd w:val="0"/>
              <w:snapToGrid w:val="0"/>
              <w:spacing w:line="360" w:lineRule="auto"/>
              <w:ind w:firstLine="480" w:firstLineChars="200"/>
              <w:rPr>
                <w:color w:val="auto"/>
                <w:sz w:val="24"/>
              </w:rPr>
            </w:pPr>
            <w:r>
              <w:rPr>
                <w:color w:val="auto"/>
                <w:sz w:val="24"/>
              </w:rPr>
              <w:t>种植设计结合现状树点位、品种统一考虑，依据建设单位提供的</w:t>
            </w:r>
            <w:r>
              <w:rPr>
                <w:rFonts w:hint="eastAsia"/>
                <w:color w:val="auto"/>
                <w:sz w:val="24"/>
              </w:rPr>
              <w:t>当地</w:t>
            </w:r>
            <w:r>
              <w:rPr>
                <w:color w:val="auto"/>
                <w:sz w:val="24"/>
              </w:rPr>
              <w:t>现状植物测绘品种进行搭配考虑。</w:t>
            </w:r>
          </w:p>
          <w:p w14:paraId="2EAF558A">
            <w:pPr>
              <w:adjustRightInd w:val="0"/>
              <w:snapToGrid w:val="0"/>
              <w:spacing w:line="360" w:lineRule="auto"/>
              <w:ind w:firstLine="480" w:firstLineChars="200"/>
              <w:rPr>
                <w:color w:val="auto"/>
                <w:sz w:val="24"/>
              </w:rPr>
            </w:pPr>
            <w:r>
              <w:rPr>
                <w:color w:val="auto"/>
                <w:sz w:val="24"/>
              </w:rPr>
              <w:t>②分区种植特色</w:t>
            </w:r>
          </w:p>
          <w:p w14:paraId="39E44046">
            <w:pPr>
              <w:adjustRightInd w:val="0"/>
              <w:snapToGrid w:val="0"/>
              <w:spacing w:line="360" w:lineRule="auto"/>
              <w:ind w:firstLine="480" w:firstLineChars="200"/>
              <w:rPr>
                <w:color w:val="auto"/>
                <w:sz w:val="24"/>
              </w:rPr>
            </w:pPr>
            <w:r>
              <w:rPr>
                <w:color w:val="auto"/>
                <w:sz w:val="24"/>
              </w:rPr>
              <w:t>树木移植应根据树木品种的习性和当地气候条件，选择最适宜的栽植期进行栽植。行道树或行列种植树木应在一条线上，相邻植株规格应合理搭配，高度、干径、树形近似，种植的树木应保持直立，不得倾斜，加支撑立柱，同时应注意观赏面的合理朝向。苗木栽植前的修剪应根据各地自然条件，推广以抗蒸腾剂为主体的免修剪栽植技术或采取以疏枝为主，适度轻剪，保持树体地上、地下部位生长平衡。苗木修剪整形应符合设计要求，当无要求时，修剪整形应保持原树形。苗木应无损伤断枝、枯枝、严重病虫枝等。</w:t>
            </w:r>
          </w:p>
          <w:p w14:paraId="6E9A9D8D">
            <w:pPr>
              <w:adjustRightInd w:val="0"/>
              <w:snapToGrid w:val="0"/>
              <w:spacing w:line="360" w:lineRule="auto"/>
              <w:ind w:firstLine="480" w:firstLineChars="200"/>
              <w:rPr>
                <w:color w:val="auto"/>
                <w:sz w:val="24"/>
              </w:rPr>
            </w:pPr>
            <w:r>
              <w:rPr>
                <w:color w:val="auto"/>
                <w:sz w:val="24"/>
              </w:rPr>
              <w:t>③树木支撑、固定、围堰</w:t>
            </w:r>
          </w:p>
          <w:p w14:paraId="55BE7230">
            <w:pPr>
              <w:adjustRightInd w:val="0"/>
              <w:snapToGrid w:val="0"/>
              <w:spacing w:line="360" w:lineRule="auto"/>
              <w:ind w:firstLine="480" w:firstLineChars="200"/>
              <w:rPr>
                <w:color w:val="auto"/>
                <w:sz w:val="24"/>
              </w:rPr>
            </w:pPr>
            <w:r>
              <w:rPr>
                <w:color w:val="auto"/>
                <w:sz w:val="24"/>
              </w:rPr>
              <w:t>种植后应在略大于种植穴直径的周围，筑成高10cm~20cm的灌水围堰，堰应筑实不得漏水。种植池内苗木种植后种植土应低于池顶标高5cm，以便浇水。与铺装相接的地被区域种植土应低于铺装完成面5cm。种植乔木、亚乔应设支撑物固定。根据立地条件和树木规格进行三角支撑、四角支撑、联排支撑及软牵拉。支撑物应牢固，基部应埋入地下不少于30cm，支撑物、牵拉物与地面连接点的</w:t>
            </w:r>
            <w:r>
              <w:rPr>
                <w:rFonts w:hint="eastAsia"/>
                <w:color w:val="auto"/>
                <w:sz w:val="24"/>
                <w:lang w:eastAsia="zh-CN"/>
              </w:rPr>
              <w:t>连接</w:t>
            </w:r>
            <w:r>
              <w:rPr>
                <w:color w:val="auto"/>
                <w:sz w:val="24"/>
              </w:rPr>
              <w:t>应牢固。绑扎树木处应加垫物，不得磨损树干。针叶常绿树的职称高度应不低于树木主干的2/3，落叶树职称高度为</w:t>
            </w:r>
            <w:r>
              <w:rPr>
                <w:rFonts w:hint="eastAsia"/>
                <w:color w:val="auto"/>
                <w:sz w:val="24"/>
                <w:lang w:eastAsia="zh-CN"/>
              </w:rPr>
              <w:t>树干</w:t>
            </w:r>
            <w:r>
              <w:rPr>
                <w:color w:val="auto"/>
                <w:sz w:val="24"/>
              </w:rPr>
              <w:t>主干高度的1/2，同规格、同树种、同一区域相近乔木的支撑高度、方式应保持一致。</w:t>
            </w:r>
          </w:p>
          <w:p w14:paraId="6761BB1A">
            <w:pPr>
              <w:adjustRightInd w:val="0"/>
              <w:snapToGrid w:val="0"/>
              <w:spacing w:line="360" w:lineRule="auto"/>
              <w:ind w:firstLine="480" w:firstLineChars="200"/>
              <w:rPr>
                <w:color w:val="auto"/>
                <w:sz w:val="24"/>
              </w:rPr>
            </w:pPr>
            <w:r>
              <w:rPr>
                <w:color w:val="auto"/>
                <w:sz w:val="24"/>
              </w:rPr>
              <w:t>大规格乔木种植应埋设透气管透气，保障成活率。</w:t>
            </w:r>
          </w:p>
          <w:p w14:paraId="1BAFE554">
            <w:pPr>
              <w:adjustRightInd w:val="0"/>
              <w:snapToGrid w:val="0"/>
              <w:spacing w:line="360" w:lineRule="auto"/>
              <w:ind w:firstLine="480" w:firstLineChars="200"/>
              <w:rPr>
                <w:color w:val="auto"/>
                <w:sz w:val="24"/>
              </w:rPr>
            </w:pPr>
            <w:r>
              <w:rPr>
                <w:color w:val="auto"/>
                <w:sz w:val="24"/>
              </w:rPr>
              <w:t>④覆盖物要求</w:t>
            </w:r>
          </w:p>
          <w:p w14:paraId="6B4C949A">
            <w:pPr>
              <w:adjustRightInd w:val="0"/>
              <w:snapToGrid w:val="0"/>
              <w:spacing w:line="360" w:lineRule="auto"/>
              <w:ind w:firstLine="480" w:firstLineChars="200"/>
              <w:rPr>
                <w:color w:val="auto"/>
                <w:sz w:val="24"/>
              </w:rPr>
            </w:pPr>
            <w:r>
              <w:rPr>
                <w:color w:val="auto"/>
                <w:sz w:val="24"/>
              </w:rPr>
              <w:t>对绿地内的乔木、灌木及地被花卉满铺有机树皮，厚5cm，保证栽植区域不漏土。场地内碎拼树池，满铺红砂岩碎石，粒径2-3cm，厚5cm。季节性湿地除种植区域外红砂岩碎石铺底，砾石粒径3-10cm。</w:t>
            </w:r>
          </w:p>
          <w:p w14:paraId="15073C85">
            <w:pPr>
              <w:adjustRightInd w:val="0"/>
              <w:snapToGrid w:val="0"/>
              <w:spacing w:line="360" w:lineRule="auto"/>
              <w:ind w:firstLine="480" w:firstLineChars="200"/>
              <w:rPr>
                <w:color w:val="auto"/>
                <w:sz w:val="24"/>
              </w:rPr>
            </w:pPr>
            <w:r>
              <w:rPr>
                <w:color w:val="auto"/>
                <w:sz w:val="24"/>
              </w:rPr>
              <w:t>⑤阻根要求</w:t>
            </w:r>
          </w:p>
          <w:p w14:paraId="0135EF23">
            <w:pPr>
              <w:pStyle w:val="12"/>
              <w:adjustRightInd w:val="0"/>
              <w:snapToGrid w:val="0"/>
              <w:spacing w:before="0" w:line="360" w:lineRule="auto"/>
              <w:ind w:firstLine="480" w:firstLineChars="200"/>
              <w:rPr>
                <w:rFonts w:ascii="Times New Roman" w:hAnsi="Times New Roman" w:cs="Times New Roman"/>
                <w:color w:val="auto"/>
                <w:szCs w:val="24"/>
              </w:rPr>
            </w:pPr>
            <w:r>
              <w:rPr>
                <w:rFonts w:ascii="Times New Roman" w:hAnsi="Times New Roman" w:cs="Times New Roman"/>
                <w:color w:val="auto"/>
                <w:szCs w:val="24"/>
              </w:rPr>
              <w:t>对竹类栽植区域需设置阻根，与其他植物相邻一侧种植边界垂直插入土中高50cm厚5cm的PVC板做隔根处理，要求PVC板露出土层5cm。</w:t>
            </w:r>
          </w:p>
          <w:p w14:paraId="178D90FA">
            <w:pPr>
              <w:pStyle w:val="19"/>
              <w:adjustRightInd w:val="0"/>
              <w:snapToGrid w:val="0"/>
              <w:spacing w:line="360" w:lineRule="auto"/>
              <w:ind w:firstLine="480"/>
              <w:rPr>
                <w:color w:val="auto"/>
                <w:sz w:val="24"/>
              </w:rPr>
            </w:pPr>
            <w:r>
              <w:rPr>
                <w:color w:val="auto"/>
                <w:sz w:val="24"/>
              </w:rPr>
              <w:t>⑥植物养护</w:t>
            </w:r>
          </w:p>
          <w:p w14:paraId="39400CCD">
            <w:pPr>
              <w:pStyle w:val="60"/>
              <w:ind w:firstLine="480"/>
              <w:rPr>
                <w:rFonts w:ascii="Times New Roman" w:hAnsi="Times New Roman"/>
                <w:b/>
                <w:color w:val="auto"/>
              </w:rPr>
            </w:pPr>
            <w:r>
              <w:rPr>
                <w:rFonts w:ascii="Times New Roman" w:hAnsi="Times New Roman"/>
                <w:color w:val="auto"/>
              </w:rPr>
              <w:t>对种植好的植物进行浇水等，确保成活，发现有不成活的植物及时进行补种。</w:t>
            </w:r>
          </w:p>
          <w:p w14:paraId="1F981448">
            <w:pPr>
              <w:pStyle w:val="60"/>
              <w:ind w:firstLine="482"/>
              <w:rPr>
                <w:rFonts w:ascii="Times New Roman" w:hAnsi="Times New Roman"/>
                <w:color w:val="auto"/>
              </w:rPr>
            </w:pPr>
            <w:r>
              <w:rPr>
                <w:rFonts w:ascii="Times New Roman" w:hAnsi="Times New Roman"/>
                <w:b/>
                <w:color w:val="auto"/>
              </w:rPr>
              <w:t>环评要求：绿化工程施工过程中，选用本土植物，禁止引入外来物种，防止生物入侵。</w:t>
            </w:r>
          </w:p>
          <w:p w14:paraId="18ED0EDB">
            <w:pPr>
              <w:adjustRightInd w:val="0"/>
              <w:snapToGrid w:val="0"/>
              <w:spacing w:line="360" w:lineRule="auto"/>
              <w:ind w:firstLine="482" w:firstLineChars="200"/>
              <w:rPr>
                <w:rFonts w:hint="eastAsia" w:eastAsia="宋体"/>
                <w:b/>
                <w:color w:val="auto"/>
                <w:sz w:val="24"/>
                <w:lang w:eastAsia="zh-CN"/>
              </w:rPr>
            </w:pPr>
            <w:r>
              <w:rPr>
                <w:rFonts w:hint="eastAsia"/>
                <w:b/>
                <w:color w:val="auto"/>
                <w:sz w:val="24"/>
                <w:lang w:eastAsia="zh-CN"/>
              </w:rPr>
              <w:t>（</w:t>
            </w:r>
            <w:r>
              <w:rPr>
                <w:rFonts w:hint="eastAsia"/>
                <w:b/>
                <w:color w:val="auto"/>
                <w:sz w:val="24"/>
                <w:lang w:val="en-US" w:eastAsia="zh-CN"/>
              </w:rPr>
              <w:t>14</w:t>
            </w:r>
            <w:r>
              <w:rPr>
                <w:rFonts w:hint="eastAsia"/>
                <w:b/>
                <w:color w:val="auto"/>
                <w:sz w:val="24"/>
                <w:lang w:eastAsia="zh-CN"/>
              </w:rPr>
              <w:t>）改渠工程</w:t>
            </w:r>
          </w:p>
          <w:p w14:paraId="41047289">
            <w:pPr>
              <w:adjustRightInd w:val="0"/>
              <w:snapToGrid w:val="0"/>
              <w:spacing w:line="360" w:lineRule="auto"/>
              <w:ind w:firstLine="480" w:firstLineChars="200"/>
              <w:rPr>
                <w:rFonts w:hint="default" w:eastAsia="宋体"/>
                <w:b w:val="0"/>
                <w:bCs/>
                <w:color w:val="auto"/>
                <w:sz w:val="24"/>
                <w:lang w:val="en-US" w:eastAsia="zh-CN"/>
              </w:rPr>
            </w:pPr>
            <w:r>
              <w:rPr>
                <w:rFonts w:hint="eastAsia"/>
                <w:b w:val="0"/>
                <w:bCs/>
                <w:color w:val="auto"/>
                <w:sz w:val="24"/>
                <w:lang w:eastAsia="zh-CN"/>
              </w:rPr>
              <w:t>项目东南侧占用亲民渠</w:t>
            </w:r>
            <w:r>
              <w:rPr>
                <w:rFonts w:hint="eastAsia"/>
                <w:b w:val="0"/>
                <w:bCs/>
                <w:color w:val="auto"/>
                <w:sz w:val="24"/>
                <w:lang w:val="en-US" w:eastAsia="zh-CN"/>
              </w:rPr>
              <w:t>130m，亲民渠为人工开挖的灌溉沟渠，项目施工过程中对亲民渠进行改道，沿项目厂界南侧设置。主要施工工艺：</w:t>
            </w:r>
          </w:p>
          <w:p w14:paraId="4461D8BB">
            <w:pPr>
              <w:adjustRightInd w:val="0"/>
              <w:snapToGrid w:val="0"/>
              <w:spacing w:line="360" w:lineRule="auto"/>
              <w:ind w:firstLine="480" w:firstLineChars="200"/>
              <w:rPr>
                <w:rFonts w:hint="eastAsia" w:eastAsia="宋体"/>
                <w:b w:val="0"/>
                <w:bCs/>
                <w:color w:val="auto"/>
                <w:sz w:val="24"/>
                <w:lang w:eastAsia="zh-CN"/>
              </w:rPr>
            </w:pPr>
            <w:r>
              <w:rPr>
                <w:rFonts w:hint="eastAsia"/>
                <w:b w:val="0"/>
                <w:bCs/>
                <w:color w:val="auto"/>
                <w:sz w:val="24"/>
              </w:rPr>
              <w:t>‌沟槽开挖</w:t>
            </w:r>
            <w:r>
              <w:rPr>
                <w:rFonts w:hint="eastAsia"/>
                <w:b w:val="0"/>
                <w:bCs/>
                <w:color w:val="auto"/>
                <w:sz w:val="24"/>
                <w:lang w:eastAsia="zh-CN"/>
              </w:rPr>
              <w:t>：</w:t>
            </w:r>
            <w:r>
              <w:rPr>
                <w:rFonts w:hint="eastAsia"/>
                <w:b w:val="0"/>
                <w:bCs/>
                <w:color w:val="auto"/>
                <w:sz w:val="24"/>
              </w:rPr>
              <w:t>采用机械分层开挖，槽底预留20~30cm人工清底，深度超3m或土质松散时用钢板桩支护</w:t>
            </w:r>
            <w:r>
              <w:rPr>
                <w:rFonts w:hint="eastAsia"/>
                <w:b w:val="0"/>
                <w:bCs/>
                <w:color w:val="auto"/>
                <w:sz w:val="24"/>
                <w:lang w:eastAsia="zh-CN"/>
              </w:rPr>
              <w:t>。</w:t>
            </w:r>
          </w:p>
          <w:p w14:paraId="6AB11CF1">
            <w:pPr>
              <w:adjustRightInd w:val="0"/>
              <w:snapToGrid w:val="0"/>
              <w:spacing w:line="360" w:lineRule="auto"/>
              <w:ind w:firstLine="480" w:firstLineChars="200"/>
              <w:rPr>
                <w:rFonts w:hint="eastAsia"/>
                <w:b w:val="0"/>
                <w:bCs/>
                <w:color w:val="auto"/>
                <w:sz w:val="24"/>
              </w:rPr>
            </w:pPr>
            <w:r>
              <w:rPr>
                <w:rFonts w:hint="eastAsia"/>
                <w:b w:val="0"/>
                <w:bCs/>
                <w:color w:val="auto"/>
                <w:sz w:val="24"/>
              </w:rPr>
              <w:t>‌基础与主体施工</w:t>
            </w:r>
            <w:r>
              <w:rPr>
                <w:rFonts w:hint="eastAsia"/>
                <w:b w:val="0"/>
                <w:bCs/>
                <w:color w:val="auto"/>
                <w:sz w:val="24"/>
                <w:lang w:eastAsia="zh-CN"/>
              </w:rPr>
              <w:t>：</w:t>
            </w:r>
            <w:r>
              <w:rPr>
                <w:rFonts w:hint="eastAsia"/>
                <w:b w:val="0"/>
                <w:bCs/>
                <w:color w:val="auto"/>
                <w:sz w:val="24"/>
              </w:rPr>
              <w:t>清理基底杂物后夯实，铺设碎石垫层，支设模板浇筑混凝土沟渠结构，保证振捣密实、养护到位，避免结构开裂渗漏。</w:t>
            </w:r>
          </w:p>
          <w:p w14:paraId="114C514B">
            <w:pPr>
              <w:adjustRightInd w:val="0"/>
              <w:snapToGrid w:val="0"/>
              <w:spacing w:line="360" w:lineRule="auto"/>
              <w:ind w:firstLine="482" w:firstLineChars="200"/>
              <w:rPr>
                <w:b/>
                <w:color w:val="auto"/>
                <w:sz w:val="24"/>
              </w:rPr>
            </w:pPr>
            <w:r>
              <w:rPr>
                <w:b/>
                <w:color w:val="auto"/>
                <w:sz w:val="24"/>
              </w:rPr>
              <w:t>二、主要污染工序：</w:t>
            </w:r>
          </w:p>
          <w:p w14:paraId="3CFC1F85">
            <w:pPr>
              <w:pStyle w:val="7"/>
              <w:adjustRightInd w:val="0"/>
              <w:snapToGrid w:val="0"/>
              <w:spacing w:before="0" w:after="0" w:line="360" w:lineRule="auto"/>
              <w:ind w:firstLine="482" w:firstLineChars="200"/>
              <w:rPr>
                <w:rFonts w:ascii="Times New Roman" w:hAnsi="Times New Roman"/>
                <w:color w:val="auto"/>
                <w:sz w:val="24"/>
              </w:rPr>
            </w:pPr>
            <w:r>
              <w:rPr>
                <w:rFonts w:ascii="Times New Roman" w:hAnsi="Times New Roman"/>
                <w:color w:val="auto"/>
                <w:sz w:val="24"/>
              </w:rPr>
              <w:t>1．基础工程施工</w:t>
            </w:r>
          </w:p>
          <w:p w14:paraId="536848D3">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1 \* GB3 </w:instrText>
            </w:r>
            <w:r>
              <w:rPr>
                <w:rFonts w:eastAsia="宋体"/>
                <w:color w:val="auto"/>
                <w:sz w:val="24"/>
                <w:szCs w:val="24"/>
              </w:rPr>
              <w:fldChar w:fldCharType="separate"/>
            </w:r>
            <w:r>
              <w:rPr>
                <w:rFonts w:eastAsia="宋体"/>
                <w:color w:val="auto"/>
                <w:sz w:val="24"/>
                <w:szCs w:val="24"/>
              </w:rPr>
              <w:t>①</w:t>
            </w:r>
            <w:r>
              <w:rPr>
                <w:rFonts w:eastAsia="宋体"/>
                <w:color w:val="auto"/>
                <w:sz w:val="24"/>
                <w:szCs w:val="24"/>
              </w:rPr>
              <w:fldChar w:fldCharType="end"/>
            </w:r>
            <w:r>
              <w:rPr>
                <w:rFonts w:eastAsia="宋体"/>
                <w:color w:val="auto"/>
                <w:sz w:val="24"/>
                <w:szCs w:val="24"/>
              </w:rPr>
              <w:t>噪声：挖掘机、装载机、推土机、夯实机、压路机等施工机械造成；</w:t>
            </w:r>
          </w:p>
          <w:p w14:paraId="3B5AE209">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2 \* GB3 </w:instrText>
            </w:r>
            <w:r>
              <w:rPr>
                <w:rFonts w:eastAsia="宋体"/>
                <w:color w:val="auto"/>
                <w:sz w:val="24"/>
                <w:szCs w:val="24"/>
              </w:rPr>
              <w:fldChar w:fldCharType="separate"/>
            </w:r>
            <w:r>
              <w:rPr>
                <w:rFonts w:eastAsia="宋体"/>
                <w:color w:val="auto"/>
                <w:sz w:val="24"/>
                <w:szCs w:val="24"/>
              </w:rPr>
              <w:t>②</w:t>
            </w:r>
            <w:r>
              <w:rPr>
                <w:rFonts w:eastAsia="宋体"/>
                <w:color w:val="auto"/>
                <w:sz w:val="24"/>
                <w:szCs w:val="24"/>
              </w:rPr>
              <w:fldChar w:fldCharType="end"/>
            </w:r>
            <w:r>
              <w:rPr>
                <w:rFonts w:eastAsia="宋体"/>
                <w:color w:val="auto"/>
                <w:sz w:val="24"/>
                <w:szCs w:val="24"/>
              </w:rPr>
              <w:t>扬尘：土建工程造成；</w:t>
            </w:r>
          </w:p>
          <w:p w14:paraId="5D4F3F73">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3 \* GB3 </w:instrText>
            </w:r>
            <w:r>
              <w:rPr>
                <w:rFonts w:eastAsia="宋体"/>
                <w:color w:val="auto"/>
                <w:sz w:val="24"/>
                <w:szCs w:val="24"/>
              </w:rPr>
              <w:fldChar w:fldCharType="separate"/>
            </w:r>
            <w:r>
              <w:rPr>
                <w:rFonts w:eastAsia="宋体"/>
                <w:color w:val="auto"/>
                <w:sz w:val="24"/>
                <w:szCs w:val="24"/>
              </w:rPr>
              <w:t>③</w:t>
            </w:r>
            <w:r>
              <w:rPr>
                <w:rFonts w:eastAsia="宋体"/>
                <w:color w:val="auto"/>
                <w:sz w:val="24"/>
                <w:szCs w:val="24"/>
              </w:rPr>
              <w:fldChar w:fldCharType="end"/>
            </w:r>
            <w:r>
              <w:rPr>
                <w:rFonts w:eastAsia="宋体"/>
                <w:color w:val="auto"/>
                <w:sz w:val="24"/>
                <w:szCs w:val="24"/>
              </w:rPr>
              <w:t>弃渣：本工程的基础工程开挖土石方；</w:t>
            </w:r>
          </w:p>
          <w:p w14:paraId="4069FA13">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4 \* GB3 </w:instrText>
            </w:r>
            <w:r>
              <w:rPr>
                <w:rFonts w:eastAsia="宋体"/>
                <w:color w:val="auto"/>
                <w:sz w:val="24"/>
                <w:szCs w:val="24"/>
              </w:rPr>
              <w:fldChar w:fldCharType="separate"/>
            </w:r>
            <w:r>
              <w:rPr>
                <w:rFonts w:eastAsia="宋体"/>
                <w:color w:val="auto"/>
                <w:sz w:val="24"/>
                <w:szCs w:val="24"/>
              </w:rPr>
              <w:t>④</w:t>
            </w:r>
            <w:r>
              <w:rPr>
                <w:rFonts w:eastAsia="宋体"/>
                <w:color w:val="auto"/>
                <w:sz w:val="24"/>
                <w:szCs w:val="24"/>
              </w:rPr>
              <w:fldChar w:fldCharType="end"/>
            </w:r>
            <w:r>
              <w:rPr>
                <w:rFonts w:eastAsia="宋体"/>
                <w:color w:val="auto"/>
                <w:sz w:val="24"/>
                <w:szCs w:val="24"/>
              </w:rPr>
              <w:t>污水：车辆冲洗废水。</w:t>
            </w:r>
          </w:p>
          <w:p w14:paraId="4630373A">
            <w:pPr>
              <w:pStyle w:val="7"/>
              <w:adjustRightInd w:val="0"/>
              <w:snapToGrid w:val="0"/>
              <w:spacing w:before="0" w:after="0" w:line="360" w:lineRule="auto"/>
              <w:ind w:firstLine="482" w:firstLineChars="200"/>
              <w:rPr>
                <w:rFonts w:ascii="Times New Roman" w:hAnsi="Times New Roman"/>
                <w:color w:val="auto"/>
                <w:sz w:val="24"/>
              </w:rPr>
            </w:pPr>
            <w:r>
              <w:rPr>
                <w:rFonts w:ascii="Times New Roman" w:hAnsi="Times New Roman"/>
                <w:color w:val="auto"/>
                <w:sz w:val="24"/>
              </w:rPr>
              <w:t>2．主体工程及附属工程施工</w:t>
            </w:r>
          </w:p>
          <w:p w14:paraId="6341C3B3">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1 \* GB3 </w:instrText>
            </w:r>
            <w:r>
              <w:rPr>
                <w:rFonts w:eastAsia="宋体"/>
                <w:color w:val="auto"/>
                <w:sz w:val="24"/>
                <w:szCs w:val="24"/>
              </w:rPr>
              <w:fldChar w:fldCharType="separate"/>
            </w:r>
            <w:r>
              <w:rPr>
                <w:rFonts w:eastAsia="宋体"/>
                <w:color w:val="auto"/>
                <w:sz w:val="24"/>
                <w:szCs w:val="24"/>
              </w:rPr>
              <w:t>①</w:t>
            </w:r>
            <w:r>
              <w:rPr>
                <w:rFonts w:eastAsia="宋体"/>
                <w:color w:val="auto"/>
                <w:sz w:val="24"/>
                <w:szCs w:val="24"/>
              </w:rPr>
              <w:fldChar w:fldCharType="end"/>
            </w:r>
            <w:r>
              <w:rPr>
                <w:rFonts w:eastAsia="宋体"/>
                <w:color w:val="auto"/>
                <w:sz w:val="24"/>
                <w:szCs w:val="24"/>
              </w:rPr>
              <w:t>噪声：材料运送车等工程机械</w:t>
            </w:r>
            <w:r>
              <w:rPr>
                <w:rFonts w:hint="eastAsia" w:eastAsia="宋体"/>
                <w:color w:val="auto"/>
                <w:sz w:val="24"/>
                <w:szCs w:val="24"/>
              </w:rPr>
              <w:t>，</w:t>
            </w:r>
            <w:r>
              <w:rPr>
                <w:rFonts w:eastAsia="宋体"/>
                <w:color w:val="auto"/>
                <w:sz w:val="24"/>
                <w:szCs w:val="24"/>
              </w:rPr>
              <w:t>钢筋加工机械，吊装机械造成；</w:t>
            </w:r>
          </w:p>
          <w:p w14:paraId="7FC48DF9">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2 \* GB3 </w:instrText>
            </w:r>
            <w:r>
              <w:rPr>
                <w:rFonts w:eastAsia="宋体"/>
                <w:color w:val="auto"/>
                <w:sz w:val="24"/>
                <w:szCs w:val="24"/>
              </w:rPr>
              <w:fldChar w:fldCharType="separate"/>
            </w:r>
            <w:r>
              <w:rPr>
                <w:rFonts w:eastAsia="宋体"/>
                <w:color w:val="auto"/>
                <w:sz w:val="24"/>
                <w:szCs w:val="24"/>
              </w:rPr>
              <w:t>②</w:t>
            </w:r>
            <w:r>
              <w:rPr>
                <w:rFonts w:eastAsia="宋体"/>
                <w:color w:val="auto"/>
                <w:sz w:val="24"/>
                <w:szCs w:val="24"/>
              </w:rPr>
              <w:fldChar w:fldCharType="end"/>
            </w:r>
            <w:r>
              <w:rPr>
                <w:rFonts w:eastAsia="宋体"/>
                <w:color w:val="auto"/>
                <w:sz w:val="24"/>
                <w:szCs w:val="24"/>
              </w:rPr>
              <w:t>扬尘：混凝土工程、地基开挖与回填；</w:t>
            </w:r>
          </w:p>
          <w:p w14:paraId="5BC89608">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3 \* GB3 </w:instrText>
            </w:r>
            <w:r>
              <w:rPr>
                <w:rFonts w:eastAsia="宋体"/>
                <w:color w:val="auto"/>
                <w:sz w:val="24"/>
                <w:szCs w:val="24"/>
              </w:rPr>
              <w:fldChar w:fldCharType="separate"/>
            </w:r>
            <w:r>
              <w:rPr>
                <w:rFonts w:eastAsia="宋体"/>
                <w:color w:val="auto"/>
                <w:sz w:val="24"/>
                <w:szCs w:val="24"/>
              </w:rPr>
              <w:t>③</w:t>
            </w:r>
            <w:r>
              <w:rPr>
                <w:rFonts w:eastAsia="宋体"/>
                <w:color w:val="auto"/>
                <w:sz w:val="24"/>
                <w:szCs w:val="24"/>
              </w:rPr>
              <w:fldChar w:fldCharType="end"/>
            </w:r>
            <w:r>
              <w:rPr>
                <w:rFonts w:eastAsia="宋体"/>
                <w:color w:val="auto"/>
                <w:sz w:val="24"/>
                <w:szCs w:val="24"/>
              </w:rPr>
              <w:t>固废：土建工程施工废弃物、工地生活垃圾；</w:t>
            </w:r>
          </w:p>
          <w:p w14:paraId="37769F53">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4 \* GB3 </w:instrText>
            </w:r>
            <w:r>
              <w:rPr>
                <w:rFonts w:eastAsia="宋体"/>
                <w:color w:val="auto"/>
                <w:sz w:val="24"/>
                <w:szCs w:val="24"/>
              </w:rPr>
              <w:fldChar w:fldCharType="separate"/>
            </w:r>
            <w:r>
              <w:rPr>
                <w:rFonts w:eastAsia="宋体"/>
                <w:color w:val="auto"/>
                <w:sz w:val="24"/>
                <w:szCs w:val="24"/>
              </w:rPr>
              <w:t>④</w:t>
            </w:r>
            <w:r>
              <w:rPr>
                <w:rFonts w:eastAsia="宋体"/>
                <w:color w:val="auto"/>
                <w:sz w:val="24"/>
                <w:szCs w:val="24"/>
              </w:rPr>
              <w:fldChar w:fldCharType="end"/>
            </w:r>
            <w:r>
              <w:rPr>
                <w:rFonts w:eastAsia="宋体"/>
                <w:color w:val="auto"/>
                <w:sz w:val="24"/>
                <w:szCs w:val="24"/>
              </w:rPr>
              <w:t>污水：施工废水、施工人员工地生活污水；</w:t>
            </w:r>
          </w:p>
          <w:p w14:paraId="53DF6F3B">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5 \* GB3 </w:instrText>
            </w:r>
            <w:r>
              <w:rPr>
                <w:rFonts w:eastAsia="宋体"/>
                <w:color w:val="auto"/>
                <w:sz w:val="24"/>
                <w:szCs w:val="24"/>
              </w:rPr>
              <w:fldChar w:fldCharType="separate"/>
            </w:r>
            <w:r>
              <w:rPr>
                <w:rFonts w:eastAsia="宋体"/>
                <w:color w:val="auto"/>
                <w:sz w:val="24"/>
                <w:szCs w:val="24"/>
              </w:rPr>
              <w:t>⑤</w:t>
            </w:r>
            <w:r>
              <w:rPr>
                <w:rFonts w:eastAsia="宋体"/>
                <w:color w:val="auto"/>
                <w:sz w:val="24"/>
                <w:szCs w:val="24"/>
              </w:rPr>
              <w:fldChar w:fldCharType="end"/>
            </w:r>
            <w:r>
              <w:rPr>
                <w:rFonts w:eastAsia="宋体"/>
                <w:color w:val="auto"/>
                <w:sz w:val="24"/>
                <w:szCs w:val="24"/>
              </w:rPr>
              <w:t>废气：施工机械运行排放的尾气。</w:t>
            </w:r>
          </w:p>
          <w:p w14:paraId="551C47D1">
            <w:pPr>
              <w:pStyle w:val="7"/>
              <w:adjustRightInd w:val="0"/>
              <w:snapToGrid w:val="0"/>
              <w:spacing w:before="0" w:after="0" w:line="360" w:lineRule="auto"/>
              <w:ind w:firstLine="482" w:firstLineChars="200"/>
              <w:rPr>
                <w:rFonts w:ascii="Times New Roman" w:hAnsi="Times New Roman"/>
                <w:color w:val="auto"/>
                <w:sz w:val="24"/>
              </w:rPr>
            </w:pPr>
            <w:r>
              <w:rPr>
                <w:rFonts w:ascii="Times New Roman" w:hAnsi="Times New Roman"/>
                <w:color w:val="auto"/>
                <w:sz w:val="24"/>
              </w:rPr>
              <w:t>3．装饰工程施工</w:t>
            </w:r>
          </w:p>
          <w:p w14:paraId="3BFA8595">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1 \* GB3 </w:instrText>
            </w:r>
            <w:r>
              <w:rPr>
                <w:rFonts w:eastAsia="宋体"/>
                <w:color w:val="auto"/>
                <w:sz w:val="24"/>
                <w:szCs w:val="24"/>
              </w:rPr>
              <w:fldChar w:fldCharType="separate"/>
            </w:r>
            <w:r>
              <w:rPr>
                <w:rFonts w:eastAsia="宋体"/>
                <w:color w:val="auto"/>
                <w:sz w:val="24"/>
                <w:szCs w:val="24"/>
              </w:rPr>
              <w:t>①</w:t>
            </w:r>
            <w:r>
              <w:rPr>
                <w:rFonts w:eastAsia="宋体"/>
                <w:color w:val="auto"/>
                <w:sz w:val="24"/>
                <w:szCs w:val="24"/>
              </w:rPr>
              <w:fldChar w:fldCharType="end"/>
            </w:r>
            <w:r>
              <w:rPr>
                <w:rFonts w:eastAsia="宋体"/>
                <w:color w:val="auto"/>
                <w:sz w:val="24"/>
                <w:szCs w:val="24"/>
              </w:rPr>
              <w:t>噪声：刨平机、电锤、喷枪等装饰工程机械造成；</w:t>
            </w:r>
          </w:p>
          <w:p w14:paraId="4104BDD0">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2 \* GB3 </w:instrText>
            </w:r>
            <w:r>
              <w:rPr>
                <w:rFonts w:eastAsia="宋体"/>
                <w:color w:val="auto"/>
                <w:sz w:val="24"/>
                <w:szCs w:val="24"/>
              </w:rPr>
              <w:fldChar w:fldCharType="separate"/>
            </w:r>
            <w:r>
              <w:rPr>
                <w:rFonts w:eastAsia="宋体"/>
                <w:color w:val="auto"/>
                <w:sz w:val="24"/>
                <w:szCs w:val="24"/>
              </w:rPr>
              <w:t>②</w:t>
            </w:r>
            <w:r>
              <w:rPr>
                <w:rFonts w:eastAsia="宋体"/>
                <w:color w:val="auto"/>
                <w:sz w:val="24"/>
                <w:szCs w:val="24"/>
              </w:rPr>
              <w:fldChar w:fldCharType="end"/>
            </w:r>
            <w:r>
              <w:rPr>
                <w:rFonts w:eastAsia="宋体"/>
                <w:color w:val="auto"/>
                <w:sz w:val="24"/>
                <w:szCs w:val="24"/>
              </w:rPr>
              <w:t>扬尘：喷、涂、磨、刨、钻、砂等装饰工程机械引起的扬尘；</w:t>
            </w:r>
          </w:p>
          <w:p w14:paraId="3E0418FD">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3 \* GB3 </w:instrText>
            </w:r>
            <w:r>
              <w:rPr>
                <w:rFonts w:eastAsia="宋体"/>
                <w:color w:val="auto"/>
                <w:sz w:val="24"/>
                <w:szCs w:val="24"/>
              </w:rPr>
              <w:fldChar w:fldCharType="separate"/>
            </w:r>
            <w:r>
              <w:rPr>
                <w:rFonts w:eastAsia="宋体"/>
                <w:color w:val="auto"/>
                <w:sz w:val="24"/>
                <w:szCs w:val="24"/>
              </w:rPr>
              <w:t>③</w:t>
            </w:r>
            <w:r>
              <w:rPr>
                <w:rFonts w:eastAsia="宋体"/>
                <w:color w:val="auto"/>
                <w:sz w:val="24"/>
                <w:szCs w:val="24"/>
              </w:rPr>
              <w:fldChar w:fldCharType="end"/>
            </w:r>
            <w:r>
              <w:rPr>
                <w:rFonts w:eastAsia="宋体"/>
                <w:color w:val="auto"/>
                <w:sz w:val="24"/>
                <w:szCs w:val="24"/>
              </w:rPr>
              <w:t>固废：主要是在室内装修产生的废弃物，可以清运解决；</w:t>
            </w:r>
          </w:p>
          <w:p w14:paraId="54D38F4D">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4 \* GB3 </w:instrText>
            </w:r>
            <w:r>
              <w:rPr>
                <w:rFonts w:eastAsia="宋体"/>
                <w:color w:val="auto"/>
                <w:sz w:val="24"/>
                <w:szCs w:val="24"/>
              </w:rPr>
              <w:fldChar w:fldCharType="separate"/>
            </w:r>
            <w:r>
              <w:rPr>
                <w:rFonts w:eastAsia="宋体"/>
                <w:color w:val="auto"/>
                <w:sz w:val="24"/>
                <w:szCs w:val="24"/>
              </w:rPr>
              <w:t>④</w:t>
            </w:r>
            <w:r>
              <w:rPr>
                <w:rFonts w:eastAsia="宋体"/>
                <w:color w:val="auto"/>
                <w:sz w:val="24"/>
                <w:szCs w:val="24"/>
              </w:rPr>
              <w:fldChar w:fldCharType="end"/>
            </w:r>
            <w:r>
              <w:rPr>
                <w:rFonts w:eastAsia="宋体"/>
                <w:color w:val="auto"/>
                <w:sz w:val="24"/>
                <w:szCs w:val="24"/>
              </w:rPr>
              <w:t>污水：量少、可以忽略；</w:t>
            </w:r>
          </w:p>
          <w:p w14:paraId="1F0EDADE">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5 \* GB3 </w:instrText>
            </w:r>
            <w:r>
              <w:rPr>
                <w:rFonts w:eastAsia="宋体"/>
                <w:color w:val="auto"/>
                <w:sz w:val="24"/>
                <w:szCs w:val="24"/>
              </w:rPr>
              <w:fldChar w:fldCharType="separate"/>
            </w:r>
            <w:r>
              <w:rPr>
                <w:rFonts w:eastAsia="宋体"/>
                <w:color w:val="auto"/>
                <w:sz w:val="24"/>
                <w:szCs w:val="24"/>
              </w:rPr>
              <w:t>⑤</w:t>
            </w:r>
            <w:r>
              <w:rPr>
                <w:rFonts w:eastAsia="宋体"/>
                <w:color w:val="auto"/>
                <w:sz w:val="24"/>
                <w:szCs w:val="24"/>
              </w:rPr>
              <w:fldChar w:fldCharType="end"/>
            </w:r>
            <w:r>
              <w:rPr>
                <w:rFonts w:eastAsia="宋体"/>
                <w:color w:val="auto"/>
                <w:sz w:val="24"/>
                <w:szCs w:val="24"/>
              </w:rPr>
              <w:t>废气：随装饰材料而异，重点控制苯系物污染。</w:t>
            </w:r>
          </w:p>
          <w:p w14:paraId="5BA30BC0">
            <w:pPr>
              <w:pStyle w:val="7"/>
              <w:adjustRightInd w:val="0"/>
              <w:snapToGrid w:val="0"/>
              <w:spacing w:before="0" w:after="0" w:line="360" w:lineRule="auto"/>
              <w:ind w:firstLine="482" w:firstLineChars="200"/>
              <w:rPr>
                <w:rFonts w:ascii="Times New Roman" w:hAnsi="Times New Roman"/>
                <w:color w:val="auto"/>
                <w:sz w:val="24"/>
              </w:rPr>
            </w:pPr>
            <w:r>
              <w:rPr>
                <w:rFonts w:ascii="Times New Roman" w:hAnsi="Times New Roman"/>
                <w:color w:val="auto"/>
                <w:sz w:val="24"/>
              </w:rPr>
              <w:t>4．设备安装及景观打造</w:t>
            </w:r>
          </w:p>
          <w:p w14:paraId="51730338">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1 \* GB3 </w:instrText>
            </w:r>
            <w:r>
              <w:rPr>
                <w:rFonts w:eastAsia="宋体"/>
                <w:color w:val="auto"/>
                <w:sz w:val="24"/>
                <w:szCs w:val="24"/>
              </w:rPr>
              <w:fldChar w:fldCharType="separate"/>
            </w:r>
            <w:r>
              <w:rPr>
                <w:rFonts w:eastAsia="宋体"/>
                <w:color w:val="auto"/>
                <w:sz w:val="24"/>
                <w:szCs w:val="24"/>
              </w:rPr>
              <w:t>①</w:t>
            </w:r>
            <w:r>
              <w:rPr>
                <w:rFonts w:eastAsia="宋体"/>
                <w:color w:val="auto"/>
                <w:sz w:val="24"/>
                <w:szCs w:val="24"/>
              </w:rPr>
              <w:fldChar w:fldCharType="end"/>
            </w:r>
            <w:r>
              <w:rPr>
                <w:rFonts w:eastAsia="宋体"/>
                <w:color w:val="auto"/>
                <w:sz w:val="24"/>
                <w:szCs w:val="24"/>
              </w:rPr>
              <w:t>噪声：动力噪声；</w:t>
            </w:r>
          </w:p>
          <w:p w14:paraId="3FFE0163">
            <w:pPr>
              <w:adjustRightInd w:val="0"/>
              <w:snapToGrid w:val="0"/>
              <w:spacing w:line="360" w:lineRule="auto"/>
              <w:ind w:firstLine="480" w:firstLineChars="200"/>
              <w:rPr>
                <w:color w:val="auto"/>
                <w:sz w:val="24"/>
              </w:rPr>
            </w:pPr>
            <w:r>
              <w:rPr>
                <w:color w:val="auto"/>
                <w:sz w:val="24"/>
              </w:rPr>
              <w:fldChar w:fldCharType="begin"/>
            </w:r>
            <w:r>
              <w:rPr>
                <w:color w:val="auto"/>
                <w:sz w:val="24"/>
              </w:rPr>
              <w:instrText xml:space="preserve"> = 2 \* GB3 </w:instrText>
            </w:r>
            <w:r>
              <w:rPr>
                <w:color w:val="auto"/>
                <w:sz w:val="24"/>
              </w:rPr>
              <w:fldChar w:fldCharType="separate"/>
            </w:r>
            <w:r>
              <w:rPr>
                <w:color w:val="auto"/>
                <w:sz w:val="24"/>
              </w:rPr>
              <w:t>②</w:t>
            </w:r>
            <w:r>
              <w:rPr>
                <w:color w:val="auto"/>
                <w:sz w:val="24"/>
              </w:rPr>
              <w:fldChar w:fldCharType="end"/>
            </w:r>
            <w:r>
              <w:rPr>
                <w:color w:val="auto"/>
                <w:sz w:val="24"/>
              </w:rPr>
              <w:t>扬尘：主要为景观打造过程中运输车辆进出及带泥根部泥土散落产生；</w:t>
            </w:r>
          </w:p>
          <w:p w14:paraId="349F7D37">
            <w:pPr>
              <w:pStyle w:val="19"/>
              <w:adjustRightInd w:val="0"/>
              <w:snapToGrid w:val="0"/>
              <w:spacing w:line="360" w:lineRule="auto"/>
              <w:ind w:firstLine="480"/>
              <w:rPr>
                <w:rFonts w:hint="eastAsia" w:eastAsia="宋体"/>
                <w:color w:val="auto"/>
                <w:lang w:eastAsia="zh-CN"/>
              </w:rPr>
            </w:pPr>
            <w:r>
              <w:rPr>
                <w:color w:val="auto"/>
                <w:sz w:val="24"/>
              </w:rPr>
              <w:fldChar w:fldCharType="begin"/>
            </w:r>
            <w:r>
              <w:rPr>
                <w:color w:val="auto"/>
                <w:sz w:val="24"/>
              </w:rPr>
              <w:instrText xml:space="preserve"> = 3 \* GB3 </w:instrText>
            </w:r>
            <w:r>
              <w:rPr>
                <w:color w:val="auto"/>
                <w:sz w:val="24"/>
              </w:rPr>
              <w:fldChar w:fldCharType="separate"/>
            </w:r>
            <w:r>
              <w:rPr>
                <w:color w:val="auto"/>
                <w:sz w:val="24"/>
              </w:rPr>
              <w:t>③</w:t>
            </w:r>
            <w:r>
              <w:rPr>
                <w:color w:val="auto"/>
                <w:sz w:val="24"/>
              </w:rPr>
              <w:fldChar w:fldCharType="end"/>
            </w:r>
            <w:r>
              <w:rPr>
                <w:color w:val="auto"/>
                <w:sz w:val="24"/>
              </w:rPr>
              <w:t>固废：废包装物、落叶等</w:t>
            </w:r>
            <w:r>
              <w:rPr>
                <w:rFonts w:hint="eastAsia"/>
                <w:color w:val="auto"/>
                <w:sz w:val="24"/>
                <w:lang w:eastAsia="zh-CN"/>
              </w:rPr>
              <w:t>。</w:t>
            </w:r>
          </w:p>
        </w:tc>
      </w:tr>
      <w:tr w14:paraId="06B2B2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Align w:val="center"/>
          </w:tcPr>
          <w:p w14:paraId="18914259">
            <w:pPr>
              <w:adjustRightInd w:val="0"/>
              <w:snapToGrid w:val="0"/>
              <w:jc w:val="center"/>
              <w:rPr>
                <w:color w:val="auto"/>
                <w:kern w:val="0"/>
                <w:sz w:val="24"/>
              </w:rPr>
            </w:pPr>
            <w:r>
              <w:rPr>
                <w:color w:val="auto"/>
                <w:kern w:val="0"/>
                <w:sz w:val="24"/>
              </w:rPr>
              <w:t>其他</w:t>
            </w:r>
          </w:p>
        </w:tc>
        <w:tc>
          <w:tcPr>
            <w:tcW w:w="8426" w:type="dxa"/>
          </w:tcPr>
          <w:p w14:paraId="11846E42">
            <w:pPr>
              <w:adjustRightInd w:val="0"/>
              <w:snapToGrid w:val="0"/>
              <w:spacing w:before="120" w:beforeLines="50" w:line="360" w:lineRule="auto"/>
              <w:ind w:firstLine="480" w:firstLineChars="200"/>
              <w:rPr>
                <w:rFonts w:hint="eastAsia"/>
                <w:color w:val="auto"/>
                <w:lang w:eastAsia="zh-CN"/>
              </w:rPr>
            </w:pPr>
            <w:r>
              <w:rPr>
                <w:rFonts w:hint="eastAsia"/>
                <w:color w:val="auto"/>
                <w:kern w:val="0"/>
                <w:sz w:val="24"/>
              </w:rPr>
              <w:t>项目营运期主要为</w:t>
            </w:r>
            <w:r>
              <w:rPr>
                <w:rFonts w:hint="eastAsia"/>
                <w:color w:val="auto"/>
                <w:kern w:val="0"/>
                <w:sz w:val="24"/>
                <w:lang w:eastAsia="zh-CN"/>
              </w:rPr>
              <w:t>租</w:t>
            </w:r>
            <w:r>
              <w:rPr>
                <w:rFonts w:hint="eastAsia"/>
                <w:color w:val="auto"/>
                <w:kern w:val="0"/>
                <w:sz w:val="24"/>
              </w:rPr>
              <w:t>户生活，主要产生的污染物为住宅生活污水、油烟、汽车尾气、柴油发电机尾气、社会噪声、车辆交通噪声、生活垃圾等。</w:t>
            </w:r>
          </w:p>
          <w:p w14:paraId="54717C27">
            <w:pPr>
              <w:adjustRightInd w:val="0"/>
              <w:snapToGrid w:val="0"/>
              <w:spacing w:before="120" w:beforeLines="50" w:line="360" w:lineRule="auto"/>
              <w:ind w:firstLine="420" w:firstLineChars="200"/>
              <w:rPr>
                <w:rFonts w:hint="eastAsia" w:eastAsia="宋体"/>
                <w:color w:val="auto"/>
                <w:lang w:eastAsia="zh-CN"/>
              </w:rPr>
            </w:pPr>
          </w:p>
        </w:tc>
      </w:tr>
    </w:tbl>
    <w:p w14:paraId="62E8740D">
      <w:pPr>
        <w:rPr>
          <w:rFonts w:eastAsia="黑体"/>
          <w:snapToGrid w:val="0"/>
          <w:color w:val="auto"/>
          <w:sz w:val="30"/>
          <w:szCs w:val="30"/>
        </w:rPr>
      </w:pPr>
      <w:r>
        <w:rPr>
          <w:rFonts w:eastAsia="黑体"/>
          <w:snapToGrid w:val="0"/>
          <w:color w:val="auto"/>
          <w:sz w:val="30"/>
          <w:szCs w:val="30"/>
        </w:rPr>
        <w:br w:type="page"/>
      </w:r>
    </w:p>
    <w:p w14:paraId="3DACEF86">
      <w:pPr>
        <w:pStyle w:val="30"/>
        <w:widowControl w:val="0"/>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sz w:val="30"/>
          <w:szCs w:val="30"/>
        </w:rPr>
        <w:t>三、生态环境现状、保护目标及评价标准</w:t>
      </w:r>
    </w:p>
    <w:tbl>
      <w:tblPr>
        <w:tblStyle w:val="34"/>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21"/>
        <w:gridCol w:w="8098"/>
      </w:tblGrid>
      <w:tr w14:paraId="5FB813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Align w:val="center"/>
          </w:tcPr>
          <w:p w14:paraId="16839D5C">
            <w:pPr>
              <w:adjustRightInd w:val="0"/>
              <w:snapToGrid w:val="0"/>
              <w:jc w:val="center"/>
              <w:rPr>
                <w:color w:val="auto"/>
                <w:kern w:val="0"/>
                <w:sz w:val="24"/>
              </w:rPr>
            </w:pPr>
            <w:r>
              <w:rPr>
                <w:color w:val="auto"/>
                <w:kern w:val="0"/>
                <w:sz w:val="24"/>
              </w:rPr>
              <w:t>生态环境现状</w:t>
            </w:r>
          </w:p>
        </w:tc>
        <w:tc>
          <w:tcPr>
            <w:tcW w:w="4752" w:type="pct"/>
          </w:tcPr>
          <w:p w14:paraId="3F6F3014">
            <w:pPr>
              <w:adjustRightInd w:val="0"/>
              <w:snapToGrid w:val="0"/>
              <w:spacing w:before="120" w:beforeLines="50" w:line="360" w:lineRule="auto"/>
              <w:ind w:firstLine="482" w:firstLineChars="200"/>
              <w:rPr>
                <w:b/>
                <w:bCs/>
                <w:color w:val="auto"/>
                <w:kern w:val="0"/>
                <w:sz w:val="24"/>
              </w:rPr>
            </w:pPr>
            <w:r>
              <w:rPr>
                <w:b/>
                <w:bCs/>
                <w:color w:val="auto"/>
                <w:kern w:val="0"/>
                <w:sz w:val="24"/>
              </w:rPr>
              <w:t>一、生态功能定位</w:t>
            </w:r>
          </w:p>
          <w:p w14:paraId="01D9DD2C">
            <w:pPr>
              <w:spacing w:line="360" w:lineRule="auto"/>
              <w:ind w:firstLine="482" w:firstLineChars="200"/>
              <w:jc w:val="left"/>
              <w:rPr>
                <w:b/>
                <w:bCs/>
                <w:color w:val="auto"/>
                <w:kern w:val="0"/>
                <w:sz w:val="24"/>
              </w:rPr>
            </w:pPr>
            <w:r>
              <w:rPr>
                <w:b/>
                <w:bCs/>
                <w:color w:val="auto"/>
                <w:kern w:val="0"/>
                <w:sz w:val="24"/>
              </w:rPr>
              <w:t>1、评价区在四川省主体功能区中的定位</w:t>
            </w:r>
          </w:p>
          <w:p w14:paraId="55826B1C">
            <w:pPr>
              <w:spacing w:line="360" w:lineRule="auto"/>
              <w:ind w:firstLine="480" w:firstLineChars="200"/>
              <w:jc w:val="left"/>
              <w:rPr>
                <w:color w:val="auto"/>
                <w:kern w:val="0"/>
                <w:sz w:val="24"/>
              </w:rPr>
            </w:pPr>
            <w:r>
              <w:rPr>
                <w:color w:val="auto"/>
                <w:kern w:val="0"/>
                <w:sz w:val="24"/>
              </w:rPr>
              <w:t>根据四川省人民政府《关于印发四川省主体功能区规划的通知》（川府发〔2013〕16号），四川省国土空间分为以下主体功能区：按开发方式，分为重点开发区域、限制开发区域和禁止开发区域，重点开发和限制开发区域原则上以县级行政区为基本单元，禁止开发区域以自然或法定边界为基本单元，分布在其他类型主体功能区域之中；按开发内容，分为城市化地区、农产品主产区和重点生态功能区；按层级，分为国家和省级两个层面。</w:t>
            </w:r>
          </w:p>
          <w:p w14:paraId="7FE1273A">
            <w:pPr>
              <w:spacing w:line="360" w:lineRule="auto"/>
              <w:jc w:val="center"/>
              <w:rPr>
                <w:color w:val="auto"/>
                <w:kern w:val="0"/>
                <w:sz w:val="24"/>
              </w:rPr>
            </w:pPr>
            <w:r>
              <w:rPr>
                <w:color w:val="auto"/>
              </w:rPr>
              <mc:AlternateContent>
                <mc:Choice Requires="wps">
                  <w:drawing>
                    <wp:anchor distT="0" distB="0" distL="114300" distR="114300" simplePos="0" relativeHeight="251661312" behindDoc="0" locked="0" layoutInCell="1" allowOverlap="1">
                      <wp:simplePos x="0" y="0"/>
                      <wp:positionH relativeFrom="column">
                        <wp:posOffset>3965575</wp:posOffset>
                      </wp:positionH>
                      <wp:positionV relativeFrom="paragraph">
                        <wp:posOffset>753110</wp:posOffset>
                      </wp:positionV>
                      <wp:extent cx="716915" cy="192405"/>
                      <wp:effectExtent l="6350" t="6350" r="19685" b="106045"/>
                      <wp:wrapNone/>
                      <wp:docPr id="4" name="矩形标注 4"/>
                      <wp:cNvGraphicFramePr/>
                      <a:graphic xmlns:a="http://schemas.openxmlformats.org/drawingml/2006/main">
                        <a:graphicData uri="http://schemas.microsoft.com/office/word/2010/wordprocessingShape">
                          <wps:wsp>
                            <wps:cNvSpPr/>
                            <wps:spPr>
                              <a:xfrm>
                                <a:off x="5147945" y="2527935"/>
                                <a:ext cx="716915" cy="192405"/>
                              </a:xfrm>
                              <a:prstGeom prst="wedgeRectCallout">
                                <a:avLst>
                                  <a:gd name="adj1" fmla="val -40434"/>
                                  <a:gd name="adj2" fmla="val 95544"/>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C1E7FB">
                                  <w:pPr>
                                    <w:jc w:val="center"/>
                                    <w:rPr>
                                      <w:color w:val="FF0000"/>
                                    </w:rPr>
                                  </w:pPr>
                                  <w:r>
                                    <w:rPr>
                                      <w:rFonts w:hint="eastAsia"/>
                                      <w:color w:val="FF0000"/>
                                    </w:rPr>
                                    <w:t>本项目位置</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_x0000_s1026" o:spid="_x0000_s1026" o:spt="61" type="#_x0000_t61" style="position:absolute;left:0pt;margin-left:312.25pt;margin-top:59.3pt;height:15.15pt;width:56.45pt;z-index:251661312;v-text-anchor:middle;mso-width-relative:page;mso-height-relative:page;" filled="f" stroked="t" coordsize="21600,21600" o:gfxdata="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Fr0839gAAAALAQAADwAAAAAAAAABACAAAAAiAAAAZHJz&#10;L2Rvd25yZXYueG1sUEsBAhQAFAAAAAgAh07iQJeqDCqvAgAANQUAAA4AAAAAAAAAAQAgAAAAJwEA&#10;AGRycy9lMm9Eb2MueG1sUEsFBgAAAAAGAAYAWQEAAEgGAAAAAA==&#10;" adj="2066,31438">
                      <v:fill on="f" focussize="0,0"/>
                      <v:stroke weight="1pt" color="#FF0000 [3204]" miterlimit="8" joinstyle="miter"/>
                      <v:imagedata o:title=""/>
                      <o:lock v:ext="edit" aspectratio="f"/>
                      <v:textbox inset="0mm,0mm,0mm,0mm">
                        <w:txbxContent>
                          <w:p w14:paraId="1EC1E7FB">
                            <w:pPr>
                              <w:jc w:val="center"/>
                              <w:rPr>
                                <w:color w:val="FF0000"/>
                              </w:rPr>
                            </w:pPr>
                            <w:r>
                              <w:rPr>
                                <w:rFonts w:hint="eastAsia"/>
                                <w:color w:val="FF0000"/>
                              </w:rPr>
                              <w:t>本项目位置</w:t>
                            </w:r>
                          </w:p>
                        </w:txbxContent>
                      </v:textbox>
                    </v:shape>
                  </w:pict>
                </mc:Fallback>
              </mc:AlternateContent>
            </w:r>
            <w:r>
              <w:rPr>
                <w:color w:val="auto"/>
              </w:rPr>
              <w:drawing>
                <wp:inline distT="0" distB="0" distL="114300" distR="114300">
                  <wp:extent cx="4972685" cy="3893185"/>
                  <wp:effectExtent l="0" t="0" r="18415" b="12065"/>
                  <wp:docPr id="3" name="图片 3" descr="新图8 四川省主体功能区域划分总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新图8 四川省主体功能区域划分总图"/>
                          <pic:cNvPicPr>
                            <a:picLocks noChangeAspect="1"/>
                          </pic:cNvPicPr>
                        </pic:nvPicPr>
                        <pic:blipFill>
                          <a:blip r:embed="rId16"/>
                          <a:srcRect l="13963" t="3883" r="12477"/>
                          <a:stretch>
                            <a:fillRect/>
                          </a:stretch>
                        </pic:blipFill>
                        <pic:spPr>
                          <a:xfrm>
                            <a:off x="0" y="0"/>
                            <a:ext cx="4972685" cy="3893185"/>
                          </a:xfrm>
                          <a:prstGeom prst="rect">
                            <a:avLst/>
                          </a:prstGeom>
                          <a:noFill/>
                          <a:ln>
                            <a:noFill/>
                          </a:ln>
                        </pic:spPr>
                      </pic:pic>
                    </a:graphicData>
                  </a:graphic>
                </wp:inline>
              </w:drawing>
            </w:r>
          </w:p>
          <w:p w14:paraId="4192E53A">
            <w:pPr>
              <w:spacing w:line="360" w:lineRule="auto"/>
              <w:jc w:val="center"/>
              <w:rPr>
                <w:b/>
                <w:bCs/>
                <w:color w:val="auto"/>
                <w:kern w:val="0"/>
                <w:sz w:val="24"/>
              </w:rPr>
            </w:pPr>
            <w:r>
              <w:rPr>
                <w:b/>
                <w:bCs/>
                <w:color w:val="auto"/>
                <w:kern w:val="0"/>
                <w:szCs w:val="21"/>
              </w:rPr>
              <w:t>图3-1  四川省主体功能区划分总图</w:t>
            </w:r>
          </w:p>
          <w:p w14:paraId="30407BE3">
            <w:pPr>
              <w:spacing w:line="360" w:lineRule="auto"/>
              <w:ind w:firstLine="480" w:firstLineChars="200"/>
              <w:jc w:val="left"/>
              <w:rPr>
                <w:color w:val="auto"/>
                <w:kern w:val="0"/>
                <w:sz w:val="24"/>
              </w:rPr>
            </w:pPr>
            <w:r>
              <w:rPr>
                <w:color w:val="auto"/>
                <w:kern w:val="0"/>
                <w:sz w:val="24"/>
              </w:rPr>
              <w:t>从四川省主体功能区划分总图可以看出，项目所在区域属于</w:t>
            </w:r>
            <w:r>
              <w:rPr>
                <w:b/>
                <w:bCs/>
                <w:color w:val="auto"/>
                <w:kern w:val="0"/>
                <w:sz w:val="24"/>
              </w:rPr>
              <w:t>国家层面限制开发区域（重点生态功能区）</w:t>
            </w:r>
            <w:r>
              <w:rPr>
                <w:color w:val="auto"/>
                <w:kern w:val="0"/>
                <w:sz w:val="24"/>
              </w:rPr>
              <w:t>中秦巴生物多样性生态功能区（四川省部分）。</w:t>
            </w:r>
          </w:p>
          <w:p w14:paraId="28E91D92">
            <w:pPr>
              <w:spacing w:line="360" w:lineRule="auto"/>
              <w:ind w:firstLine="480" w:firstLineChars="200"/>
              <w:jc w:val="left"/>
              <w:rPr>
                <w:color w:val="auto"/>
                <w:kern w:val="0"/>
                <w:sz w:val="24"/>
              </w:rPr>
            </w:pPr>
            <w:r>
              <w:rPr>
                <w:color w:val="auto"/>
                <w:kern w:val="0"/>
                <w:sz w:val="24"/>
              </w:rPr>
              <w:t>该区域主体功能定位：四川重要的原始森林、野生珍稀物种栖息地与生物多样性保护的关键地区和生态屏障区域；全国生物多样性、涵养水源与土壤保持重要区，最大的天然生物种质的“基因库”，世界同纬度地区重要的绿色宝库。</w:t>
            </w:r>
          </w:p>
          <w:p w14:paraId="1D67D08A">
            <w:pPr>
              <w:spacing w:line="360" w:lineRule="auto"/>
              <w:ind w:firstLine="480" w:firstLineChars="200"/>
              <w:jc w:val="left"/>
              <w:rPr>
                <w:color w:val="auto"/>
                <w:kern w:val="0"/>
                <w:sz w:val="24"/>
              </w:rPr>
            </w:pPr>
            <w:r>
              <w:rPr>
                <w:color w:val="auto"/>
                <w:kern w:val="0"/>
                <w:sz w:val="24"/>
              </w:rPr>
              <w:t>——重点保护原生森林、流域生态系统，加强造林绿化、野生动植物保护和自然保护区建设、小流域治理、矿山生态恢复等生态工程，提高水源涵养、水土保持和野生动植物保护等生态功能。加强防洪基础设施建设，加强山洪灾害防治，提高水旱灾害应对能力。</w:t>
            </w:r>
          </w:p>
          <w:p w14:paraId="55437FEC">
            <w:pPr>
              <w:spacing w:line="360" w:lineRule="auto"/>
              <w:ind w:firstLine="480" w:firstLineChars="200"/>
              <w:jc w:val="left"/>
              <w:rPr>
                <w:color w:val="auto"/>
                <w:kern w:val="0"/>
                <w:sz w:val="24"/>
              </w:rPr>
            </w:pPr>
            <w:r>
              <w:rPr>
                <w:color w:val="auto"/>
                <w:kern w:val="0"/>
                <w:sz w:val="24"/>
              </w:rPr>
              <w:t>——建设珍稀、濒危中药资源和动植物资源等指向明确的生态功能保护区，对现有植被和自然生态系统严加保护，防止生态环境的破坏和生态功能的退化。</w:t>
            </w:r>
          </w:p>
          <w:p w14:paraId="5FE77D64">
            <w:pPr>
              <w:spacing w:line="360" w:lineRule="auto"/>
              <w:ind w:firstLine="480" w:firstLineChars="200"/>
              <w:jc w:val="left"/>
              <w:rPr>
                <w:color w:val="auto"/>
                <w:kern w:val="0"/>
                <w:sz w:val="24"/>
              </w:rPr>
            </w:pPr>
            <w:r>
              <w:rPr>
                <w:color w:val="auto"/>
                <w:kern w:val="0"/>
                <w:sz w:val="24"/>
              </w:rPr>
              <w:t>——巩固和扩大天然林资源保护成果、扩大保护范围，加强生物物种资源保护，依法禁止一切形式的捕杀、采集濒危野生动植物的活动，保护物种多样性和确保生物安全，强化引进外来物种生物安全管理，防止国外有害物种进入。</w:t>
            </w:r>
          </w:p>
          <w:p w14:paraId="1944A9A2">
            <w:pPr>
              <w:spacing w:line="360" w:lineRule="auto"/>
              <w:ind w:firstLine="480" w:firstLineChars="200"/>
              <w:jc w:val="left"/>
              <w:rPr>
                <w:color w:val="auto"/>
                <w:kern w:val="0"/>
                <w:sz w:val="24"/>
              </w:rPr>
            </w:pPr>
            <w:r>
              <w:rPr>
                <w:color w:val="auto"/>
                <w:kern w:val="0"/>
                <w:sz w:val="24"/>
              </w:rPr>
              <w:t>——引导人口转移，降低人口密度，停止导致生态功能继续退化的开发活动和其他人为破坏活动，以及产生严重环境污染的工程项目建设，遏制生态环境恶化趋势。</w:t>
            </w:r>
          </w:p>
          <w:p w14:paraId="4CDA4CF2">
            <w:pPr>
              <w:spacing w:line="360" w:lineRule="auto"/>
              <w:ind w:firstLine="480" w:firstLineChars="200"/>
              <w:jc w:val="left"/>
              <w:rPr>
                <w:color w:val="auto"/>
                <w:kern w:val="0"/>
                <w:sz w:val="24"/>
              </w:rPr>
            </w:pPr>
            <w:r>
              <w:rPr>
                <w:color w:val="auto"/>
                <w:kern w:val="0"/>
                <w:sz w:val="24"/>
              </w:rPr>
              <w:t>——发展以养殖业、经济林为主的生态农林牧业和农产品深加工业，合理开发旅游文化资源，发展生态旅游，点状开发天然气、水能、矿产资源。</w:t>
            </w:r>
          </w:p>
          <w:p w14:paraId="58AA0DE4">
            <w:pPr>
              <w:tabs>
                <w:tab w:val="left" w:pos="395"/>
              </w:tabs>
              <w:spacing w:line="360" w:lineRule="auto"/>
              <w:ind w:firstLine="480" w:firstLineChars="200"/>
              <w:jc w:val="left"/>
              <w:rPr>
                <w:color w:val="auto"/>
                <w:kern w:val="0"/>
                <w:sz w:val="24"/>
                <w:lang w:bidi="ar"/>
              </w:rPr>
            </w:pPr>
            <w:r>
              <w:rPr>
                <w:rFonts w:hint="eastAsia"/>
                <w:color w:val="auto"/>
                <w:sz w:val="24"/>
              </w:rPr>
              <w:t>本项目为关坝</w:t>
            </w:r>
            <w:r>
              <w:rPr>
                <w:rFonts w:hint="eastAsia"/>
                <w:color w:val="auto"/>
                <w:sz w:val="24"/>
                <w:lang w:eastAsia="zh-CN"/>
              </w:rPr>
              <w:t>镇保障性租赁住房</w:t>
            </w:r>
            <w:r>
              <w:rPr>
                <w:rFonts w:hint="eastAsia"/>
                <w:color w:val="auto"/>
                <w:sz w:val="24"/>
              </w:rPr>
              <w:t>项目，项目建成后有利于加快关坝片区农民市民化进程，可推进当地旅游发展</w:t>
            </w:r>
            <w:r>
              <w:rPr>
                <w:color w:val="auto"/>
                <w:kern w:val="0"/>
                <w:sz w:val="24"/>
                <w:lang w:bidi="ar"/>
              </w:rPr>
              <w:t>，符合</w:t>
            </w:r>
            <w:r>
              <w:rPr>
                <w:color w:val="auto"/>
                <w:kern w:val="0"/>
                <w:sz w:val="24"/>
              </w:rPr>
              <w:t>国家层面限制开发区域（重点生态功能区）中秦巴生物多样性生态功能区（四川省部分）主体功能定位。</w:t>
            </w:r>
          </w:p>
          <w:p w14:paraId="33EB9AEA">
            <w:pPr>
              <w:tabs>
                <w:tab w:val="left" w:pos="395"/>
              </w:tabs>
              <w:spacing w:line="360" w:lineRule="auto"/>
              <w:ind w:firstLine="482" w:firstLineChars="200"/>
              <w:jc w:val="left"/>
              <w:rPr>
                <w:color w:val="auto"/>
                <w:kern w:val="0"/>
                <w:sz w:val="24"/>
                <w:lang w:bidi="ar"/>
              </w:rPr>
            </w:pPr>
            <w:r>
              <w:rPr>
                <w:b/>
                <w:bCs/>
                <w:color w:val="auto"/>
                <w:kern w:val="0"/>
                <w:sz w:val="24"/>
                <w:lang w:bidi="ar"/>
              </w:rPr>
              <w:t>2、评价区在四川省生态功能区中的定位</w:t>
            </w:r>
          </w:p>
          <w:p w14:paraId="3ABAE2FF">
            <w:pPr>
              <w:spacing w:line="360" w:lineRule="auto"/>
              <w:ind w:firstLine="480" w:firstLineChars="200"/>
              <w:rPr>
                <w:color w:val="auto"/>
                <w:kern w:val="0"/>
                <w:sz w:val="24"/>
              </w:rPr>
            </w:pPr>
            <w:r>
              <w:rPr>
                <w:color w:val="auto"/>
                <w:kern w:val="0"/>
                <w:sz w:val="24"/>
              </w:rPr>
              <w:t>根据《四川省生态功能区划》（川府函〔2006〕100号，2006年5月31日），本项目所在区域属四川省生态功能区划中的：I四川盆地亚热带农林生态区—I3盆北秦巴山地常绿阔叶林-针阔混交林生态亚区—I3-1米仓山水源涵养与生物多样性保护生态功能区。</w:t>
            </w:r>
          </w:p>
          <w:p w14:paraId="3863B319">
            <w:pPr>
              <w:spacing w:line="360" w:lineRule="auto"/>
              <w:ind w:firstLine="480" w:firstLineChars="200"/>
              <w:rPr>
                <w:color w:val="auto"/>
                <w:kern w:val="0"/>
                <w:sz w:val="24"/>
              </w:rPr>
            </w:pPr>
            <w:r>
              <w:rPr>
                <w:color w:val="auto"/>
                <w:kern w:val="0"/>
                <w:sz w:val="24"/>
              </w:rPr>
              <w:t>项目区生态功能分区特征见下表。</w:t>
            </w:r>
          </w:p>
          <w:p w14:paraId="30A523E3">
            <w:pPr>
              <w:adjustRightInd w:val="0"/>
              <w:jc w:val="center"/>
              <w:rPr>
                <w:b/>
                <w:bCs/>
                <w:color w:val="auto"/>
                <w:kern w:val="0"/>
                <w:szCs w:val="21"/>
                <w:lang w:bidi="ar"/>
              </w:rPr>
            </w:pPr>
            <w:r>
              <w:rPr>
                <w:b/>
                <w:bCs/>
                <w:color w:val="auto"/>
                <w:kern w:val="0"/>
                <w:szCs w:val="21"/>
                <w:lang w:bidi="ar"/>
              </w:rPr>
              <w:t xml:space="preserve">表3-1  </w:t>
            </w:r>
            <w:r>
              <w:rPr>
                <w:b/>
                <w:bCs/>
                <w:color w:val="auto"/>
                <w:szCs w:val="21"/>
              </w:rPr>
              <w:t>四川省生态功能区划三级区特征一览表</w:t>
            </w:r>
          </w:p>
          <w:tbl>
            <w:tblPr>
              <w:tblStyle w:val="34"/>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73"/>
              <w:gridCol w:w="432"/>
              <w:gridCol w:w="683"/>
              <w:gridCol w:w="976"/>
              <w:gridCol w:w="804"/>
              <w:gridCol w:w="785"/>
              <w:gridCol w:w="862"/>
              <w:gridCol w:w="1078"/>
              <w:gridCol w:w="1789"/>
            </w:tblGrid>
            <w:tr w14:paraId="7EFF23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blHeader/>
              </w:trPr>
              <w:tc>
                <w:tcPr>
                  <w:tcW w:w="301" w:type="pct"/>
                  <w:tcBorders>
                    <w:tl2br w:val="nil"/>
                    <w:tr2bl w:val="nil"/>
                  </w:tcBorders>
                  <w:vAlign w:val="center"/>
                </w:tcPr>
                <w:p w14:paraId="3A2BCDDC">
                  <w:pPr>
                    <w:adjustRightInd w:val="0"/>
                    <w:snapToGrid w:val="0"/>
                    <w:jc w:val="center"/>
                    <w:rPr>
                      <w:b/>
                      <w:color w:val="auto"/>
                      <w:szCs w:val="21"/>
                    </w:rPr>
                  </w:pPr>
                  <w:r>
                    <w:rPr>
                      <w:b/>
                      <w:color w:val="auto"/>
                      <w:szCs w:val="21"/>
                    </w:rPr>
                    <w:t>生态区</w:t>
                  </w:r>
                </w:p>
              </w:tc>
              <w:tc>
                <w:tcPr>
                  <w:tcW w:w="274" w:type="pct"/>
                  <w:tcBorders>
                    <w:tl2br w:val="nil"/>
                    <w:tr2bl w:val="nil"/>
                  </w:tcBorders>
                  <w:vAlign w:val="center"/>
                </w:tcPr>
                <w:p w14:paraId="38C38242">
                  <w:pPr>
                    <w:adjustRightInd w:val="0"/>
                    <w:snapToGrid w:val="0"/>
                    <w:jc w:val="center"/>
                    <w:rPr>
                      <w:b/>
                      <w:color w:val="auto"/>
                      <w:szCs w:val="21"/>
                    </w:rPr>
                  </w:pPr>
                  <w:r>
                    <w:rPr>
                      <w:b/>
                      <w:color w:val="auto"/>
                      <w:szCs w:val="21"/>
                    </w:rPr>
                    <w:t>生态</w:t>
                  </w:r>
                </w:p>
                <w:p w14:paraId="20CFD286">
                  <w:pPr>
                    <w:adjustRightInd w:val="0"/>
                    <w:snapToGrid w:val="0"/>
                    <w:jc w:val="center"/>
                    <w:rPr>
                      <w:b/>
                      <w:color w:val="auto"/>
                      <w:szCs w:val="21"/>
                    </w:rPr>
                  </w:pPr>
                  <w:r>
                    <w:rPr>
                      <w:b/>
                      <w:color w:val="auto"/>
                      <w:szCs w:val="21"/>
                    </w:rPr>
                    <w:t>亚区</w:t>
                  </w:r>
                </w:p>
              </w:tc>
              <w:tc>
                <w:tcPr>
                  <w:tcW w:w="432" w:type="pct"/>
                  <w:tcBorders>
                    <w:tl2br w:val="nil"/>
                    <w:tr2bl w:val="nil"/>
                  </w:tcBorders>
                  <w:vAlign w:val="center"/>
                </w:tcPr>
                <w:p w14:paraId="242DF2AC">
                  <w:pPr>
                    <w:adjustRightInd w:val="0"/>
                    <w:snapToGrid w:val="0"/>
                    <w:jc w:val="center"/>
                    <w:rPr>
                      <w:b/>
                      <w:color w:val="auto"/>
                      <w:szCs w:val="21"/>
                    </w:rPr>
                  </w:pPr>
                  <w:r>
                    <w:rPr>
                      <w:b/>
                      <w:color w:val="auto"/>
                      <w:szCs w:val="21"/>
                    </w:rPr>
                    <w:t>生态功能区</w:t>
                  </w:r>
                </w:p>
              </w:tc>
              <w:tc>
                <w:tcPr>
                  <w:tcW w:w="618" w:type="pct"/>
                  <w:tcBorders>
                    <w:tl2br w:val="nil"/>
                    <w:tr2bl w:val="nil"/>
                  </w:tcBorders>
                  <w:vAlign w:val="center"/>
                </w:tcPr>
                <w:p w14:paraId="6B10FAFA">
                  <w:pPr>
                    <w:adjustRightInd w:val="0"/>
                    <w:snapToGrid w:val="0"/>
                    <w:jc w:val="center"/>
                    <w:rPr>
                      <w:b/>
                      <w:color w:val="auto"/>
                      <w:szCs w:val="21"/>
                    </w:rPr>
                  </w:pPr>
                  <w:r>
                    <w:rPr>
                      <w:b/>
                      <w:color w:val="auto"/>
                      <w:szCs w:val="21"/>
                    </w:rPr>
                    <w:t>所在区域与面积</w:t>
                  </w:r>
                </w:p>
              </w:tc>
              <w:tc>
                <w:tcPr>
                  <w:tcW w:w="509" w:type="pct"/>
                  <w:tcBorders>
                    <w:tl2br w:val="nil"/>
                    <w:tr2bl w:val="nil"/>
                  </w:tcBorders>
                  <w:vAlign w:val="center"/>
                </w:tcPr>
                <w:p w14:paraId="6D7FEBF7">
                  <w:pPr>
                    <w:adjustRightInd w:val="0"/>
                    <w:snapToGrid w:val="0"/>
                    <w:jc w:val="center"/>
                    <w:rPr>
                      <w:b/>
                      <w:color w:val="auto"/>
                      <w:szCs w:val="21"/>
                    </w:rPr>
                  </w:pPr>
                  <w:r>
                    <w:rPr>
                      <w:b/>
                      <w:color w:val="auto"/>
                      <w:szCs w:val="21"/>
                    </w:rPr>
                    <w:t>典型生态系统</w:t>
                  </w:r>
                </w:p>
              </w:tc>
              <w:tc>
                <w:tcPr>
                  <w:tcW w:w="497" w:type="pct"/>
                  <w:tcBorders>
                    <w:tl2br w:val="nil"/>
                    <w:tr2bl w:val="nil"/>
                  </w:tcBorders>
                  <w:vAlign w:val="center"/>
                </w:tcPr>
                <w:p w14:paraId="733D367C">
                  <w:pPr>
                    <w:adjustRightInd w:val="0"/>
                    <w:snapToGrid w:val="0"/>
                    <w:jc w:val="center"/>
                    <w:rPr>
                      <w:b/>
                      <w:color w:val="auto"/>
                      <w:szCs w:val="21"/>
                    </w:rPr>
                  </w:pPr>
                  <w:r>
                    <w:rPr>
                      <w:b/>
                      <w:color w:val="auto"/>
                      <w:szCs w:val="21"/>
                    </w:rPr>
                    <w:t>主要生态问题</w:t>
                  </w:r>
                </w:p>
              </w:tc>
              <w:tc>
                <w:tcPr>
                  <w:tcW w:w="546" w:type="pct"/>
                  <w:tcBorders>
                    <w:tl2br w:val="nil"/>
                    <w:tr2bl w:val="nil"/>
                  </w:tcBorders>
                  <w:vAlign w:val="center"/>
                </w:tcPr>
                <w:p w14:paraId="53AF6164">
                  <w:pPr>
                    <w:adjustRightInd w:val="0"/>
                    <w:snapToGrid w:val="0"/>
                    <w:jc w:val="center"/>
                    <w:rPr>
                      <w:b/>
                      <w:color w:val="auto"/>
                      <w:szCs w:val="21"/>
                    </w:rPr>
                  </w:pPr>
                  <w:r>
                    <w:rPr>
                      <w:b/>
                      <w:color w:val="auto"/>
                      <w:szCs w:val="21"/>
                    </w:rPr>
                    <w:t>生态环境敏感性</w:t>
                  </w:r>
                </w:p>
              </w:tc>
              <w:tc>
                <w:tcPr>
                  <w:tcW w:w="683" w:type="pct"/>
                  <w:tcBorders>
                    <w:tl2br w:val="nil"/>
                    <w:tr2bl w:val="nil"/>
                  </w:tcBorders>
                  <w:vAlign w:val="center"/>
                </w:tcPr>
                <w:p w14:paraId="424052FB">
                  <w:pPr>
                    <w:adjustRightInd w:val="0"/>
                    <w:snapToGrid w:val="0"/>
                    <w:jc w:val="center"/>
                    <w:rPr>
                      <w:b/>
                      <w:color w:val="auto"/>
                      <w:szCs w:val="21"/>
                    </w:rPr>
                  </w:pPr>
                  <w:r>
                    <w:rPr>
                      <w:b/>
                      <w:color w:val="auto"/>
                      <w:szCs w:val="21"/>
                    </w:rPr>
                    <w:t>主要生态服务功能</w:t>
                  </w:r>
                </w:p>
              </w:tc>
              <w:tc>
                <w:tcPr>
                  <w:tcW w:w="1134" w:type="pct"/>
                  <w:tcBorders>
                    <w:tl2br w:val="nil"/>
                    <w:tr2bl w:val="nil"/>
                  </w:tcBorders>
                  <w:vAlign w:val="center"/>
                </w:tcPr>
                <w:p w14:paraId="3B588B03">
                  <w:pPr>
                    <w:adjustRightInd w:val="0"/>
                    <w:snapToGrid w:val="0"/>
                    <w:jc w:val="center"/>
                    <w:rPr>
                      <w:b/>
                      <w:color w:val="auto"/>
                      <w:szCs w:val="21"/>
                    </w:rPr>
                  </w:pPr>
                  <w:r>
                    <w:rPr>
                      <w:b/>
                      <w:color w:val="auto"/>
                      <w:szCs w:val="21"/>
                    </w:rPr>
                    <w:t>生态保护与发展方向</w:t>
                  </w:r>
                </w:p>
              </w:tc>
            </w:tr>
            <w:tr w14:paraId="67ACAA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01" w:type="pct"/>
                  <w:tcBorders>
                    <w:tl2br w:val="nil"/>
                    <w:tr2bl w:val="nil"/>
                  </w:tcBorders>
                  <w:vAlign w:val="center"/>
                </w:tcPr>
                <w:p w14:paraId="3D1D0CC9">
                  <w:pPr>
                    <w:adjustRightInd w:val="0"/>
                    <w:snapToGrid w:val="0"/>
                    <w:jc w:val="center"/>
                    <w:rPr>
                      <w:color w:val="auto"/>
                      <w:szCs w:val="21"/>
                    </w:rPr>
                  </w:pPr>
                  <w:r>
                    <w:rPr>
                      <w:color w:val="auto"/>
                      <w:szCs w:val="21"/>
                    </w:rPr>
                    <w:t>Ⅰ</w:t>
                  </w:r>
                </w:p>
                <w:p w14:paraId="6BAFCDF9">
                  <w:pPr>
                    <w:adjustRightInd w:val="0"/>
                    <w:snapToGrid w:val="0"/>
                    <w:jc w:val="center"/>
                    <w:rPr>
                      <w:color w:val="auto"/>
                      <w:szCs w:val="21"/>
                    </w:rPr>
                  </w:pPr>
                  <w:r>
                    <w:rPr>
                      <w:color w:val="auto"/>
                      <w:szCs w:val="21"/>
                    </w:rPr>
                    <w:t>四川盆地亚热带农林生态区</w:t>
                  </w:r>
                </w:p>
              </w:tc>
              <w:tc>
                <w:tcPr>
                  <w:tcW w:w="274" w:type="pct"/>
                  <w:tcBorders>
                    <w:tl2br w:val="nil"/>
                    <w:tr2bl w:val="nil"/>
                  </w:tcBorders>
                  <w:vAlign w:val="center"/>
                </w:tcPr>
                <w:p w14:paraId="43AA5619">
                  <w:pPr>
                    <w:adjustRightInd w:val="0"/>
                    <w:snapToGrid w:val="0"/>
                    <w:jc w:val="center"/>
                    <w:rPr>
                      <w:color w:val="auto"/>
                      <w:szCs w:val="21"/>
                    </w:rPr>
                  </w:pPr>
                  <w:r>
                    <w:rPr>
                      <w:color w:val="auto"/>
                      <w:szCs w:val="21"/>
                    </w:rPr>
                    <w:t>I3盆北秦巴山地常绿阔叶林-针阔混交林生态亚区</w:t>
                  </w:r>
                </w:p>
              </w:tc>
              <w:tc>
                <w:tcPr>
                  <w:tcW w:w="432" w:type="pct"/>
                  <w:tcBorders>
                    <w:tl2br w:val="nil"/>
                    <w:tr2bl w:val="nil"/>
                  </w:tcBorders>
                  <w:vAlign w:val="center"/>
                </w:tcPr>
                <w:p w14:paraId="41AC8A24">
                  <w:pPr>
                    <w:adjustRightInd w:val="0"/>
                    <w:snapToGrid w:val="0"/>
                    <w:jc w:val="center"/>
                    <w:rPr>
                      <w:color w:val="auto"/>
                      <w:szCs w:val="21"/>
                    </w:rPr>
                  </w:pPr>
                  <w:r>
                    <w:rPr>
                      <w:color w:val="auto"/>
                      <w:szCs w:val="21"/>
                    </w:rPr>
                    <w:t>I3-1米仓山水源涵养与生物多样性保护生态功能区</w:t>
                  </w:r>
                </w:p>
              </w:tc>
              <w:tc>
                <w:tcPr>
                  <w:tcW w:w="618" w:type="pct"/>
                  <w:tcBorders>
                    <w:tl2br w:val="nil"/>
                    <w:tr2bl w:val="nil"/>
                  </w:tcBorders>
                  <w:vAlign w:val="center"/>
                </w:tcPr>
                <w:p w14:paraId="2F14D7D4">
                  <w:pPr>
                    <w:adjustRightInd w:val="0"/>
                    <w:snapToGrid w:val="0"/>
                    <w:jc w:val="center"/>
                    <w:rPr>
                      <w:color w:val="auto"/>
                      <w:szCs w:val="21"/>
                    </w:rPr>
                  </w:pPr>
                  <w:r>
                    <w:rPr>
                      <w:color w:val="auto"/>
                      <w:szCs w:val="21"/>
                    </w:rPr>
                    <w:t>在四川东北边缘，跨广元巴中市的6个县级行政区。面积0.88万km</w:t>
                  </w:r>
                  <w:r>
                    <w:rPr>
                      <w:color w:val="auto"/>
                      <w:szCs w:val="21"/>
                      <w:vertAlign w:val="superscript"/>
                    </w:rPr>
                    <w:t>2</w:t>
                  </w:r>
                </w:p>
              </w:tc>
              <w:tc>
                <w:tcPr>
                  <w:tcW w:w="509" w:type="pct"/>
                  <w:tcBorders>
                    <w:tl2br w:val="nil"/>
                    <w:tr2bl w:val="nil"/>
                  </w:tcBorders>
                  <w:vAlign w:val="center"/>
                </w:tcPr>
                <w:p w14:paraId="620533E3">
                  <w:pPr>
                    <w:adjustRightInd w:val="0"/>
                    <w:snapToGrid w:val="0"/>
                    <w:jc w:val="center"/>
                    <w:rPr>
                      <w:color w:val="auto"/>
                      <w:szCs w:val="21"/>
                    </w:rPr>
                  </w:pPr>
                  <w:r>
                    <w:rPr>
                      <w:color w:val="auto"/>
                      <w:szCs w:val="21"/>
                    </w:rPr>
                    <w:t>农田和森林生态系统</w:t>
                  </w:r>
                </w:p>
              </w:tc>
              <w:tc>
                <w:tcPr>
                  <w:tcW w:w="497" w:type="pct"/>
                  <w:tcBorders>
                    <w:tl2br w:val="nil"/>
                    <w:tr2bl w:val="nil"/>
                  </w:tcBorders>
                  <w:vAlign w:val="center"/>
                </w:tcPr>
                <w:p w14:paraId="557D222D">
                  <w:pPr>
                    <w:adjustRightInd w:val="0"/>
                    <w:snapToGrid w:val="0"/>
                    <w:jc w:val="center"/>
                    <w:rPr>
                      <w:color w:val="auto"/>
                      <w:szCs w:val="21"/>
                    </w:rPr>
                  </w:pPr>
                  <w:r>
                    <w:rPr>
                      <w:color w:val="auto"/>
                      <w:szCs w:val="21"/>
                    </w:rPr>
                    <w:t>荒山荒坡面积较大，水源涵养能力下降，多洪灾水土流失严重。</w:t>
                  </w:r>
                </w:p>
                <w:p w14:paraId="5B836F1F">
                  <w:pPr>
                    <w:adjustRightInd w:val="0"/>
                    <w:snapToGrid w:val="0"/>
                    <w:jc w:val="center"/>
                    <w:rPr>
                      <w:color w:val="auto"/>
                      <w:szCs w:val="21"/>
                    </w:rPr>
                  </w:pPr>
                </w:p>
              </w:tc>
              <w:tc>
                <w:tcPr>
                  <w:tcW w:w="546" w:type="pct"/>
                  <w:tcBorders>
                    <w:tl2br w:val="nil"/>
                    <w:tr2bl w:val="nil"/>
                  </w:tcBorders>
                  <w:vAlign w:val="center"/>
                </w:tcPr>
                <w:p w14:paraId="048096FD">
                  <w:pPr>
                    <w:adjustRightInd w:val="0"/>
                    <w:snapToGrid w:val="0"/>
                    <w:jc w:val="center"/>
                    <w:rPr>
                      <w:color w:val="auto"/>
                      <w:szCs w:val="21"/>
                    </w:rPr>
                  </w:pPr>
                  <w:r>
                    <w:rPr>
                      <w:color w:val="auto"/>
                      <w:szCs w:val="21"/>
                    </w:rPr>
                    <w:t>土壤侵蚀极敏感，野生动物生境极敏感。</w:t>
                  </w:r>
                </w:p>
              </w:tc>
              <w:tc>
                <w:tcPr>
                  <w:tcW w:w="683" w:type="pct"/>
                  <w:tcBorders>
                    <w:tl2br w:val="nil"/>
                    <w:tr2bl w:val="nil"/>
                  </w:tcBorders>
                  <w:vAlign w:val="center"/>
                </w:tcPr>
                <w:p w14:paraId="2FE9ECC3">
                  <w:pPr>
                    <w:adjustRightInd w:val="0"/>
                    <w:snapToGrid w:val="0"/>
                    <w:jc w:val="center"/>
                    <w:rPr>
                      <w:color w:val="auto"/>
                      <w:szCs w:val="21"/>
                    </w:rPr>
                  </w:pPr>
                  <w:r>
                    <w:rPr>
                      <w:color w:val="auto"/>
                      <w:szCs w:val="21"/>
                    </w:rPr>
                    <w:t>农林业发展，水源涵养，生物多样性维持，土壤保持。</w:t>
                  </w:r>
                </w:p>
              </w:tc>
              <w:tc>
                <w:tcPr>
                  <w:tcW w:w="1134" w:type="pct"/>
                  <w:tcBorders>
                    <w:tl2br w:val="nil"/>
                    <w:tr2bl w:val="nil"/>
                  </w:tcBorders>
                  <w:vAlign w:val="center"/>
                </w:tcPr>
                <w:p w14:paraId="474AA66A">
                  <w:pPr>
                    <w:adjustRightInd w:val="0"/>
                    <w:snapToGrid w:val="0"/>
                    <w:jc w:val="center"/>
                    <w:rPr>
                      <w:color w:val="auto"/>
                      <w:szCs w:val="21"/>
                    </w:rPr>
                  </w:pPr>
                  <w:r>
                    <w:rPr>
                      <w:color w:val="auto"/>
                      <w:szCs w:val="21"/>
                    </w:rPr>
                    <w:t>发挥山区优势，发展用材林和林副特产品，发展黄牛、山羊等草食牲畜饲养业；规范和严格管理矿产资源的开发，保护森林植被；防止矿产开发和农林业开发对生态环境和生态系统的不利影响。</w:t>
                  </w:r>
                </w:p>
              </w:tc>
            </w:tr>
          </w:tbl>
          <w:p w14:paraId="761A96FB">
            <w:pPr>
              <w:tabs>
                <w:tab w:val="left" w:pos="395"/>
              </w:tabs>
              <w:spacing w:before="120" w:beforeLines="50" w:line="360" w:lineRule="auto"/>
              <w:jc w:val="left"/>
              <w:rPr>
                <w:b/>
                <w:bCs/>
                <w:color w:val="auto"/>
                <w:kern w:val="0"/>
                <w:sz w:val="24"/>
                <w:lang w:bidi="ar"/>
              </w:rPr>
            </w:pPr>
            <w:r>
              <w:rPr>
                <w:color w:val="auto"/>
              </w:rPr>
              <mc:AlternateContent>
                <mc:Choice Requires="wps">
                  <w:drawing>
                    <wp:anchor distT="0" distB="0" distL="114300" distR="114300" simplePos="0" relativeHeight="251662336" behindDoc="0" locked="0" layoutInCell="1" allowOverlap="1">
                      <wp:simplePos x="0" y="0"/>
                      <wp:positionH relativeFrom="column">
                        <wp:posOffset>2604770</wp:posOffset>
                      </wp:positionH>
                      <wp:positionV relativeFrom="paragraph">
                        <wp:posOffset>622300</wp:posOffset>
                      </wp:positionV>
                      <wp:extent cx="716915" cy="192405"/>
                      <wp:effectExtent l="6350" t="6350" r="19685" b="315595"/>
                      <wp:wrapNone/>
                      <wp:docPr id="8" name="矩形标注 8"/>
                      <wp:cNvGraphicFramePr/>
                      <a:graphic xmlns:a="http://schemas.openxmlformats.org/drawingml/2006/main">
                        <a:graphicData uri="http://schemas.microsoft.com/office/word/2010/wordprocessingShape">
                          <wps:wsp>
                            <wps:cNvSpPr/>
                            <wps:spPr>
                              <a:xfrm>
                                <a:off x="0" y="0"/>
                                <a:ext cx="716915" cy="192405"/>
                              </a:xfrm>
                              <a:prstGeom prst="wedgeRectCallout">
                                <a:avLst>
                                  <a:gd name="adj1" fmla="val 39813"/>
                                  <a:gd name="adj2" fmla="val 196204"/>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199802">
                                  <w:pPr>
                                    <w:jc w:val="center"/>
                                    <w:rPr>
                                      <w:color w:val="FF0000"/>
                                    </w:rPr>
                                  </w:pPr>
                                  <w:r>
                                    <w:rPr>
                                      <w:rFonts w:hint="eastAsia"/>
                                      <w:color w:val="FF0000"/>
                                    </w:rPr>
                                    <w:t>本项目位置</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_x0000_s1026" o:spid="_x0000_s1026" o:spt="61" type="#_x0000_t61" style="position:absolute;left:0pt;margin-left:205.1pt;margin-top:49pt;height:15.15pt;width:56.45pt;z-index:251662336;v-text-anchor:middle;mso-width-relative:page;mso-height-relative:page;" filled="f" stroked="t" coordsize="21600,21600" o:gfxdata="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InGyVHaAAAACgEAAA8AAAAAAAAAAQAgAAAAIgAAAGRycy9kb3ducmV2LnhtbFBL&#10;AQIUABQAAAAIAIdO4kDlLn4qnwIAACkFAAAOAAAAAAAAAAEAIAAAACkBAABkcnMvZTJvRG9jLnht&#10;bFBLBQYAAAAABgAGAFkBAAA6BgAAAAA=&#10;" adj="19400,53180">
                      <v:fill on="f" focussize="0,0"/>
                      <v:stroke weight="1pt" color="#FF0000 [3204]" miterlimit="8" joinstyle="miter"/>
                      <v:imagedata o:title=""/>
                      <o:lock v:ext="edit" aspectratio="f"/>
                      <v:textbox inset="0mm,0mm,0mm,0mm">
                        <w:txbxContent>
                          <w:p w14:paraId="4C199802">
                            <w:pPr>
                              <w:jc w:val="center"/>
                              <w:rPr>
                                <w:color w:val="FF0000"/>
                              </w:rPr>
                            </w:pPr>
                            <w:r>
                              <w:rPr>
                                <w:rFonts w:hint="eastAsia"/>
                                <w:color w:val="FF0000"/>
                              </w:rPr>
                              <w:t>本项目位置</w:t>
                            </w:r>
                          </w:p>
                        </w:txbxContent>
                      </v:textbox>
                    </v:shape>
                  </w:pict>
                </mc:Fallback>
              </mc:AlternateContent>
            </w:r>
            <w:r>
              <w:rPr>
                <w:b/>
                <w:bCs/>
                <w:color w:val="auto"/>
                <w:kern w:val="0"/>
                <w:sz w:val="24"/>
              </w:rPr>
              <w:drawing>
                <wp:inline distT="0" distB="0" distL="114300" distR="114300">
                  <wp:extent cx="5002530" cy="3535680"/>
                  <wp:effectExtent l="0" t="0" r="7620" b="7620"/>
                  <wp:docPr id="18" name="图片 18" descr="cd0c42a2d59a5f7dd71cedb0003b3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d0c42a2d59a5f7dd71cedb0003b3fe"/>
                          <pic:cNvPicPr>
                            <a:picLocks noChangeAspect="1"/>
                          </pic:cNvPicPr>
                        </pic:nvPicPr>
                        <pic:blipFill>
                          <a:blip r:embed="rId17"/>
                          <a:stretch>
                            <a:fillRect/>
                          </a:stretch>
                        </pic:blipFill>
                        <pic:spPr>
                          <a:xfrm>
                            <a:off x="0" y="0"/>
                            <a:ext cx="5002530" cy="3535680"/>
                          </a:xfrm>
                          <a:prstGeom prst="rect">
                            <a:avLst/>
                          </a:prstGeom>
                        </pic:spPr>
                      </pic:pic>
                    </a:graphicData>
                  </a:graphic>
                </wp:inline>
              </w:drawing>
            </w:r>
          </w:p>
          <w:p w14:paraId="4D310C2C">
            <w:pPr>
              <w:spacing w:line="360" w:lineRule="auto"/>
              <w:jc w:val="center"/>
              <w:rPr>
                <w:b/>
                <w:bCs/>
                <w:color w:val="auto"/>
                <w:kern w:val="0"/>
                <w:sz w:val="24"/>
              </w:rPr>
            </w:pPr>
            <w:r>
              <w:rPr>
                <w:b/>
                <w:bCs/>
                <w:color w:val="auto"/>
                <w:kern w:val="0"/>
                <w:szCs w:val="21"/>
              </w:rPr>
              <w:t>图3-2  四川省生态功能区划图</w:t>
            </w:r>
          </w:p>
          <w:p w14:paraId="6422932C">
            <w:pPr>
              <w:tabs>
                <w:tab w:val="left" w:pos="395"/>
              </w:tabs>
              <w:spacing w:before="120" w:beforeLines="50" w:line="360" w:lineRule="auto"/>
              <w:ind w:firstLine="480" w:firstLineChars="200"/>
              <w:jc w:val="left"/>
              <w:rPr>
                <w:color w:val="auto"/>
                <w:kern w:val="0"/>
                <w:sz w:val="24"/>
                <w:lang w:bidi="ar"/>
              </w:rPr>
            </w:pPr>
            <w:r>
              <w:rPr>
                <w:color w:val="auto"/>
                <w:kern w:val="0"/>
                <w:sz w:val="24"/>
                <w:lang w:bidi="ar"/>
              </w:rPr>
              <w:t>本项目</w:t>
            </w:r>
            <w:r>
              <w:rPr>
                <w:rFonts w:hint="eastAsia"/>
                <w:color w:val="auto"/>
                <w:kern w:val="0"/>
                <w:sz w:val="24"/>
                <w:lang w:bidi="ar"/>
              </w:rPr>
              <w:t>为</w:t>
            </w:r>
            <w:r>
              <w:rPr>
                <w:rFonts w:hint="eastAsia"/>
                <w:color w:val="auto"/>
                <w:sz w:val="24"/>
              </w:rPr>
              <w:t>关坝</w:t>
            </w:r>
            <w:r>
              <w:rPr>
                <w:rFonts w:hint="eastAsia"/>
                <w:color w:val="auto"/>
                <w:sz w:val="24"/>
                <w:lang w:eastAsia="zh-CN"/>
              </w:rPr>
              <w:t>镇保障性租赁住房</w:t>
            </w:r>
            <w:r>
              <w:rPr>
                <w:rFonts w:hint="eastAsia"/>
                <w:color w:val="auto"/>
                <w:sz w:val="24"/>
              </w:rPr>
              <w:t>项目，</w:t>
            </w:r>
            <w:r>
              <w:rPr>
                <w:color w:val="auto"/>
                <w:kern w:val="0"/>
                <w:sz w:val="24"/>
              </w:rPr>
              <w:t>与米仓山水源涵养与生物多样性保护生态功能区生态保护与发展方向不冲突。</w:t>
            </w:r>
          </w:p>
          <w:p w14:paraId="062DBB3D">
            <w:pPr>
              <w:tabs>
                <w:tab w:val="left" w:pos="395"/>
              </w:tabs>
              <w:spacing w:line="360" w:lineRule="auto"/>
              <w:ind w:firstLine="482" w:firstLineChars="200"/>
              <w:jc w:val="left"/>
              <w:rPr>
                <w:color w:val="auto"/>
                <w:kern w:val="0"/>
                <w:sz w:val="24"/>
                <w:lang w:bidi="ar"/>
              </w:rPr>
            </w:pPr>
            <w:r>
              <w:rPr>
                <w:b/>
                <w:bCs/>
                <w:color w:val="auto"/>
                <w:kern w:val="0"/>
                <w:sz w:val="24"/>
                <w:lang w:bidi="ar"/>
              </w:rPr>
              <w:t>3、评价区在巴中市生态功能区划中的定位</w:t>
            </w:r>
          </w:p>
          <w:p w14:paraId="3651D30D">
            <w:pPr>
              <w:adjustRightInd w:val="0"/>
              <w:spacing w:line="360" w:lineRule="auto"/>
              <w:ind w:firstLine="480" w:firstLineChars="200"/>
              <w:jc w:val="left"/>
              <w:rPr>
                <w:color w:val="auto"/>
                <w:kern w:val="0"/>
                <w:sz w:val="24"/>
                <w:lang w:bidi="ar"/>
              </w:rPr>
            </w:pPr>
            <w:r>
              <w:rPr>
                <w:color w:val="auto"/>
                <w:kern w:val="0"/>
                <w:sz w:val="24"/>
                <w:lang w:bidi="ar"/>
              </w:rPr>
              <w:t>根据巴中市生态环境局关于印发《巴中市生态功能区划》的函（巴环境函</w:t>
            </w:r>
            <w:r>
              <w:rPr>
                <w:color w:val="auto"/>
                <w:kern w:val="0"/>
                <w:sz w:val="24"/>
              </w:rPr>
              <w:t>〔2019〕8号</w:t>
            </w:r>
            <w:r>
              <w:rPr>
                <w:color w:val="auto"/>
                <w:kern w:val="0"/>
                <w:sz w:val="24"/>
                <w:lang w:bidi="ar"/>
              </w:rPr>
              <w:t>），本项目位于秦巴山地常绿阔叶林生态区（I）——米仓山-大巴山常绿阔叶-针阔混交林生态亚区（I-1）——南江-通江中山生物多样性生态功能区（I-1-2）。</w:t>
            </w:r>
          </w:p>
          <w:p w14:paraId="5D4D7836">
            <w:pPr>
              <w:adjustRightInd w:val="0"/>
              <w:snapToGrid w:val="0"/>
              <w:jc w:val="center"/>
              <w:rPr>
                <w:b/>
                <w:bCs/>
                <w:color w:val="auto"/>
                <w:kern w:val="0"/>
                <w:szCs w:val="21"/>
                <w:lang w:bidi="ar"/>
              </w:rPr>
            </w:pPr>
            <w:r>
              <w:rPr>
                <w:b/>
                <w:bCs/>
                <w:color w:val="auto"/>
                <w:kern w:val="0"/>
                <w:szCs w:val="21"/>
                <w:lang w:bidi="ar"/>
              </w:rPr>
              <w:t>表3-2  南江-通江中山生物多样性生态功能区一览表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2878"/>
              <w:gridCol w:w="980"/>
              <w:gridCol w:w="679"/>
              <w:gridCol w:w="772"/>
              <w:gridCol w:w="1812"/>
              <w:gridCol w:w="761"/>
            </w:tblGrid>
            <w:tr w14:paraId="30514A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2863" w:type="dxa"/>
                  <w:tcBorders>
                    <w:tl2br w:val="nil"/>
                    <w:tr2bl w:val="nil"/>
                  </w:tcBorders>
                  <w:vAlign w:val="center"/>
                </w:tcPr>
                <w:p w14:paraId="7D7957F8">
                  <w:pPr>
                    <w:jc w:val="center"/>
                    <w:rPr>
                      <w:color w:val="auto"/>
                      <w:szCs w:val="21"/>
                    </w:rPr>
                  </w:pPr>
                  <w:r>
                    <w:rPr>
                      <w:color w:val="auto"/>
                      <w:szCs w:val="21"/>
                    </w:rPr>
                    <w:t>行政单位</w:t>
                  </w:r>
                </w:p>
              </w:tc>
              <w:tc>
                <w:tcPr>
                  <w:tcW w:w="975" w:type="dxa"/>
                  <w:tcBorders>
                    <w:tl2br w:val="nil"/>
                    <w:tr2bl w:val="nil"/>
                  </w:tcBorders>
                  <w:vAlign w:val="center"/>
                </w:tcPr>
                <w:p w14:paraId="1DA75F75">
                  <w:pPr>
                    <w:jc w:val="center"/>
                    <w:rPr>
                      <w:color w:val="auto"/>
                      <w:szCs w:val="21"/>
                    </w:rPr>
                  </w:pPr>
                  <w:r>
                    <w:rPr>
                      <w:color w:val="auto"/>
                      <w:szCs w:val="21"/>
                    </w:rPr>
                    <w:t>面积（km</w:t>
                  </w:r>
                  <w:r>
                    <w:rPr>
                      <w:color w:val="auto"/>
                      <w:szCs w:val="21"/>
                      <w:vertAlign w:val="superscript"/>
                    </w:rPr>
                    <w:t>2</w:t>
                  </w:r>
                  <w:r>
                    <w:rPr>
                      <w:color w:val="auto"/>
                      <w:szCs w:val="21"/>
                    </w:rPr>
                    <w:t>）</w:t>
                  </w:r>
                </w:p>
              </w:tc>
              <w:tc>
                <w:tcPr>
                  <w:tcW w:w="675" w:type="dxa"/>
                  <w:tcBorders>
                    <w:tl2br w:val="nil"/>
                    <w:tr2bl w:val="nil"/>
                  </w:tcBorders>
                  <w:vAlign w:val="center"/>
                </w:tcPr>
                <w:p w14:paraId="2602A6F5">
                  <w:pPr>
                    <w:jc w:val="center"/>
                    <w:rPr>
                      <w:color w:val="auto"/>
                      <w:szCs w:val="21"/>
                    </w:rPr>
                  </w:pPr>
                  <w:r>
                    <w:rPr>
                      <w:color w:val="auto"/>
                      <w:szCs w:val="21"/>
                    </w:rPr>
                    <w:t>功能区</w:t>
                  </w:r>
                </w:p>
              </w:tc>
              <w:tc>
                <w:tcPr>
                  <w:tcW w:w="768" w:type="dxa"/>
                  <w:tcBorders>
                    <w:tl2br w:val="nil"/>
                    <w:tr2bl w:val="nil"/>
                  </w:tcBorders>
                  <w:vAlign w:val="center"/>
                </w:tcPr>
                <w:p w14:paraId="534A62CE">
                  <w:pPr>
                    <w:jc w:val="center"/>
                    <w:rPr>
                      <w:color w:val="auto"/>
                      <w:szCs w:val="21"/>
                    </w:rPr>
                  </w:pPr>
                  <w:r>
                    <w:rPr>
                      <w:color w:val="auto"/>
                      <w:szCs w:val="21"/>
                    </w:rPr>
                    <w:t>主要服务功能</w:t>
                  </w:r>
                </w:p>
              </w:tc>
              <w:tc>
                <w:tcPr>
                  <w:tcW w:w="1803" w:type="dxa"/>
                  <w:tcBorders>
                    <w:tl2br w:val="nil"/>
                    <w:tr2bl w:val="nil"/>
                  </w:tcBorders>
                  <w:vAlign w:val="center"/>
                </w:tcPr>
                <w:p w14:paraId="67B0B779">
                  <w:pPr>
                    <w:jc w:val="center"/>
                    <w:rPr>
                      <w:color w:val="auto"/>
                      <w:szCs w:val="21"/>
                    </w:rPr>
                  </w:pPr>
                  <w:r>
                    <w:rPr>
                      <w:color w:val="auto"/>
                      <w:szCs w:val="21"/>
                    </w:rPr>
                    <w:t>次要服务功能</w:t>
                  </w:r>
                </w:p>
              </w:tc>
              <w:tc>
                <w:tcPr>
                  <w:tcW w:w="757" w:type="dxa"/>
                  <w:tcBorders>
                    <w:tl2br w:val="nil"/>
                    <w:tr2bl w:val="nil"/>
                  </w:tcBorders>
                  <w:vAlign w:val="center"/>
                </w:tcPr>
                <w:p w14:paraId="44B14F69">
                  <w:pPr>
                    <w:jc w:val="center"/>
                    <w:rPr>
                      <w:color w:val="auto"/>
                      <w:szCs w:val="21"/>
                    </w:rPr>
                  </w:pPr>
                  <w:r>
                    <w:rPr>
                      <w:color w:val="auto"/>
                      <w:szCs w:val="21"/>
                    </w:rPr>
                    <w:t>辅助服务功能</w:t>
                  </w:r>
                </w:p>
              </w:tc>
            </w:tr>
            <w:tr w14:paraId="6D239B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42" w:hRule="atLeast"/>
                <w:jc w:val="center"/>
              </w:trPr>
              <w:tc>
                <w:tcPr>
                  <w:tcW w:w="2863" w:type="dxa"/>
                  <w:tcBorders>
                    <w:tl2br w:val="nil"/>
                    <w:tr2bl w:val="nil"/>
                  </w:tcBorders>
                  <w:vAlign w:val="center"/>
                </w:tcPr>
                <w:p w14:paraId="0FF80F7F">
                  <w:pPr>
                    <w:jc w:val="center"/>
                    <w:rPr>
                      <w:color w:val="auto"/>
                      <w:szCs w:val="21"/>
                    </w:rPr>
                  </w:pPr>
                  <w:r>
                    <w:rPr>
                      <w:color w:val="auto"/>
                      <w:szCs w:val="21"/>
                    </w:rPr>
                    <w:t>烟溪乡、沙溪镇、新场乡、永安镇、青浴乡、胜利乡、板桥口乡、泥溪乡、沙坪镇、关田乡、长坪乡、铁溪镇、铁厂乡、红岩乡、两河口镇、诺水河镇、汇滩乡、贵民乡、空山镇、柳湾乡、沙坝乡、关坝镇、光雾山镇</w:t>
                  </w:r>
                </w:p>
              </w:tc>
              <w:tc>
                <w:tcPr>
                  <w:tcW w:w="975" w:type="dxa"/>
                  <w:tcBorders>
                    <w:tl2br w:val="nil"/>
                    <w:tr2bl w:val="nil"/>
                  </w:tcBorders>
                  <w:vAlign w:val="center"/>
                </w:tcPr>
                <w:p w14:paraId="7A0E6DC8">
                  <w:pPr>
                    <w:jc w:val="center"/>
                    <w:rPr>
                      <w:color w:val="auto"/>
                      <w:szCs w:val="21"/>
                    </w:rPr>
                  </w:pPr>
                  <w:r>
                    <w:rPr>
                      <w:color w:val="auto"/>
                      <w:kern w:val="0"/>
                      <w:szCs w:val="21"/>
                    </w:rPr>
                    <w:t>2840.89</w:t>
                  </w:r>
                </w:p>
              </w:tc>
              <w:tc>
                <w:tcPr>
                  <w:tcW w:w="675" w:type="dxa"/>
                  <w:tcBorders>
                    <w:tl2br w:val="nil"/>
                    <w:tr2bl w:val="nil"/>
                  </w:tcBorders>
                  <w:vAlign w:val="center"/>
                </w:tcPr>
                <w:p w14:paraId="5909D6EB">
                  <w:pPr>
                    <w:jc w:val="center"/>
                    <w:rPr>
                      <w:color w:val="auto"/>
                      <w:szCs w:val="21"/>
                    </w:rPr>
                  </w:pPr>
                  <w:r>
                    <w:rPr>
                      <w:color w:val="auto"/>
                      <w:kern w:val="0"/>
                      <w:szCs w:val="21"/>
                    </w:rPr>
                    <w:t>I-1-2</w:t>
                  </w:r>
                </w:p>
              </w:tc>
              <w:tc>
                <w:tcPr>
                  <w:tcW w:w="768" w:type="dxa"/>
                  <w:tcBorders>
                    <w:tl2br w:val="nil"/>
                    <w:tr2bl w:val="nil"/>
                  </w:tcBorders>
                  <w:vAlign w:val="center"/>
                </w:tcPr>
                <w:p w14:paraId="00CA4DBB">
                  <w:pPr>
                    <w:jc w:val="center"/>
                    <w:rPr>
                      <w:color w:val="auto"/>
                      <w:szCs w:val="21"/>
                    </w:rPr>
                  </w:pPr>
                  <w:r>
                    <w:rPr>
                      <w:color w:val="auto"/>
                      <w:szCs w:val="21"/>
                    </w:rPr>
                    <w:t>生物多样性</w:t>
                  </w:r>
                </w:p>
              </w:tc>
              <w:tc>
                <w:tcPr>
                  <w:tcW w:w="1803" w:type="dxa"/>
                  <w:tcBorders>
                    <w:tl2br w:val="nil"/>
                    <w:tr2bl w:val="nil"/>
                  </w:tcBorders>
                  <w:vAlign w:val="center"/>
                </w:tcPr>
                <w:p w14:paraId="628FDAC3">
                  <w:pPr>
                    <w:jc w:val="center"/>
                    <w:rPr>
                      <w:color w:val="auto"/>
                      <w:szCs w:val="21"/>
                    </w:rPr>
                  </w:pPr>
                  <w:r>
                    <w:rPr>
                      <w:color w:val="auto"/>
                      <w:szCs w:val="21"/>
                    </w:rPr>
                    <w:t>水源涵养、土壤保持</w:t>
                  </w:r>
                </w:p>
              </w:tc>
              <w:tc>
                <w:tcPr>
                  <w:tcW w:w="757" w:type="dxa"/>
                  <w:tcBorders>
                    <w:tl2br w:val="nil"/>
                    <w:tr2bl w:val="nil"/>
                  </w:tcBorders>
                  <w:vAlign w:val="center"/>
                </w:tcPr>
                <w:p w14:paraId="7D9599C4">
                  <w:pPr>
                    <w:jc w:val="center"/>
                    <w:rPr>
                      <w:color w:val="auto"/>
                      <w:szCs w:val="21"/>
                    </w:rPr>
                  </w:pPr>
                  <w:r>
                    <w:rPr>
                      <w:color w:val="auto"/>
                      <w:szCs w:val="21"/>
                    </w:rPr>
                    <w:t>营养物质保持</w:t>
                  </w:r>
                </w:p>
              </w:tc>
            </w:tr>
          </w:tbl>
          <w:p w14:paraId="3056C6C8">
            <w:pPr>
              <w:adjustRightInd w:val="0"/>
              <w:spacing w:before="120" w:beforeLines="50" w:line="360" w:lineRule="auto"/>
              <w:jc w:val="left"/>
              <w:rPr>
                <w:color w:val="auto"/>
                <w:kern w:val="0"/>
                <w:sz w:val="24"/>
                <w:lang w:bidi="ar"/>
              </w:rPr>
            </w:pPr>
            <w:r>
              <w:rPr>
                <w:color w:val="auto"/>
              </w:rPr>
              <mc:AlternateContent>
                <mc:Choice Requires="wps">
                  <w:drawing>
                    <wp:anchor distT="0" distB="0" distL="114300" distR="114300" simplePos="0" relativeHeight="251663360" behindDoc="0" locked="0" layoutInCell="1" allowOverlap="1">
                      <wp:simplePos x="0" y="0"/>
                      <wp:positionH relativeFrom="column">
                        <wp:posOffset>2386330</wp:posOffset>
                      </wp:positionH>
                      <wp:positionV relativeFrom="paragraph">
                        <wp:posOffset>1063625</wp:posOffset>
                      </wp:positionV>
                      <wp:extent cx="716915" cy="192405"/>
                      <wp:effectExtent l="166370" t="6350" r="12065" b="182245"/>
                      <wp:wrapNone/>
                      <wp:docPr id="12" name="矩形标注 12"/>
                      <wp:cNvGraphicFramePr/>
                      <a:graphic xmlns:a="http://schemas.openxmlformats.org/drawingml/2006/main">
                        <a:graphicData uri="http://schemas.microsoft.com/office/word/2010/wordprocessingShape">
                          <wps:wsp>
                            <wps:cNvSpPr/>
                            <wps:spPr>
                              <a:xfrm>
                                <a:off x="0" y="0"/>
                                <a:ext cx="716915" cy="192405"/>
                              </a:xfrm>
                              <a:prstGeom prst="wedgeRectCallout">
                                <a:avLst>
                                  <a:gd name="adj1" fmla="val -66740"/>
                                  <a:gd name="adj2" fmla="val 127227"/>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1BF09D">
                                  <w:pPr>
                                    <w:jc w:val="center"/>
                                    <w:rPr>
                                      <w:color w:val="FF0000"/>
                                    </w:rPr>
                                  </w:pPr>
                                  <w:r>
                                    <w:rPr>
                                      <w:rFonts w:hint="eastAsia"/>
                                      <w:color w:val="FF0000"/>
                                    </w:rPr>
                                    <w:t>本项目位置</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_x0000_s1026" o:spid="_x0000_s1026" o:spt="61" type="#_x0000_t61" style="position:absolute;left:0pt;margin-left:187.9pt;margin-top:83.75pt;height:15.15pt;width:56.45pt;z-index:251663360;v-text-anchor:middle;mso-width-relative:page;mso-height-relative:page;" filled="f" stroked="t" coordsize="21600,21600" o:gfxdata="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PvgzEtwAAAALAQAADwAAAAAAAAABACAAAAAiAAAAZHJzL2Rvd25yZXYu&#10;eG1sUEsBAhQAFAAAAAgAh07iQGJd88aiAgAALAUAAA4AAAAAAAAAAQAgAAAAKwEAAGRycy9lMm9E&#10;b2MueG1sUEsFBgAAAAAGAAYAWQEAAD8GAAAAAA==&#10;" adj="-3616,38281">
                      <v:fill on="f" focussize="0,0"/>
                      <v:stroke weight="1pt" color="#FF0000 [3204]" miterlimit="8" joinstyle="miter"/>
                      <v:imagedata o:title=""/>
                      <o:lock v:ext="edit" aspectratio="f"/>
                      <v:textbox inset="0mm,0mm,0mm,0mm">
                        <w:txbxContent>
                          <w:p w14:paraId="691BF09D">
                            <w:pPr>
                              <w:jc w:val="center"/>
                              <w:rPr>
                                <w:color w:val="FF0000"/>
                              </w:rPr>
                            </w:pPr>
                            <w:r>
                              <w:rPr>
                                <w:rFonts w:hint="eastAsia"/>
                                <w:color w:val="FF0000"/>
                              </w:rPr>
                              <w:t>本项目位置</w:t>
                            </w:r>
                          </w:p>
                        </w:txbxContent>
                      </v:textbox>
                    </v:shape>
                  </w:pict>
                </mc:Fallback>
              </mc:AlternateContent>
            </w:r>
            <w:r>
              <w:rPr>
                <w:color w:val="auto"/>
              </w:rPr>
              <w:drawing>
                <wp:inline distT="0" distB="0" distL="114300" distR="114300">
                  <wp:extent cx="5004435" cy="6713855"/>
                  <wp:effectExtent l="0" t="0" r="5715" b="10795"/>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18"/>
                          <a:stretch>
                            <a:fillRect/>
                          </a:stretch>
                        </pic:blipFill>
                        <pic:spPr>
                          <a:xfrm>
                            <a:off x="0" y="0"/>
                            <a:ext cx="5004435" cy="6713855"/>
                          </a:xfrm>
                          <a:prstGeom prst="rect">
                            <a:avLst/>
                          </a:prstGeom>
                          <a:noFill/>
                          <a:ln>
                            <a:noFill/>
                          </a:ln>
                        </pic:spPr>
                      </pic:pic>
                    </a:graphicData>
                  </a:graphic>
                </wp:inline>
              </w:drawing>
            </w:r>
          </w:p>
          <w:p w14:paraId="29AC30E8">
            <w:pPr>
              <w:spacing w:line="360" w:lineRule="auto"/>
              <w:jc w:val="center"/>
              <w:rPr>
                <w:b/>
                <w:bCs/>
                <w:color w:val="auto"/>
                <w:kern w:val="0"/>
                <w:sz w:val="24"/>
              </w:rPr>
            </w:pPr>
            <w:r>
              <w:rPr>
                <w:b/>
                <w:bCs/>
                <w:color w:val="auto"/>
                <w:kern w:val="0"/>
                <w:szCs w:val="21"/>
              </w:rPr>
              <w:t>图3-3  巴中市生态功能区划图</w:t>
            </w:r>
          </w:p>
          <w:p w14:paraId="702C0165">
            <w:pPr>
              <w:adjustRightInd w:val="0"/>
              <w:spacing w:line="360" w:lineRule="auto"/>
              <w:ind w:firstLine="482" w:firstLineChars="200"/>
              <w:jc w:val="left"/>
              <w:rPr>
                <w:color w:val="auto"/>
                <w:kern w:val="0"/>
                <w:sz w:val="24"/>
                <w:lang w:bidi="ar"/>
              </w:rPr>
            </w:pPr>
            <w:r>
              <w:rPr>
                <w:b/>
                <w:bCs/>
                <w:color w:val="auto"/>
                <w:kern w:val="0"/>
                <w:sz w:val="24"/>
                <w:lang w:bidi="ar"/>
              </w:rPr>
              <w:t>生态功能为：</w:t>
            </w:r>
            <w:r>
              <w:rPr>
                <w:color w:val="auto"/>
                <w:kern w:val="0"/>
                <w:sz w:val="24"/>
                <w:lang w:bidi="ar"/>
              </w:rPr>
              <w:t>加强区域内光雾山国家森林公园，空山国家森林公园、空山天盆风景区建设和管理，对核心生态区域要严格加以保护，对核心保护区的外围地带，以生态保护为主，适度发展以自然生态资源为主的观光旅游。要防止资源开发、旅游开发及休闲娱乐活动对山体自然形态和植被的破坏。严格执行国家和地方的法规和有关规范标准；禁止有损生态系统的一切开发活动，包括建设污染型企业，侵占和开山取石采土，采矿等，并有计划有针对性地建立水源保护区。对一般保护区域，以生态保护为主，控制开发强度；禁止污染型工业企业的迁入。开展以滑坡为代表的地质灾害重点治理，严格控制地质灾害区的各类工程活动，加强工程、工矿建设废弃地、裸露石山的植被恢复；全面实施侵蚀劣地的植被恢复，防止土壤侵蚀加剧化，防止侵蚀山地的石漠化。区内资源以保护为主，可以适度开发利用，但须保持资源的持续利用。通过新型山地轮歇农业技术和中药资源保护技术的发展，以可持续的方式利用山区以黄连为主的、具有本区特色的中药资源和提高山地农业系统的中药生产力，加强和倡导当地生态农业的传统知识和实践，加强当地传统文化在生态农业和中药资源管理方面中的作用，以此来协调山地生计和中药资源保护的需要。在保护野生药用动植物资源的基础上，确保野生中药资源不被毁灭。在发展中除了考虑到对本区生物性的保护，还要确保不会对周边水源涵养区不造成影响；以及要注意保护森林林地，此区域为典型的高山农业，地方政府应因地制宜开发发展。</w:t>
            </w:r>
          </w:p>
          <w:p w14:paraId="7B10823B">
            <w:pPr>
              <w:adjustRightInd w:val="0"/>
              <w:spacing w:line="360" w:lineRule="auto"/>
              <w:ind w:firstLine="480" w:firstLineChars="200"/>
              <w:jc w:val="left"/>
              <w:rPr>
                <w:color w:val="auto"/>
                <w:kern w:val="0"/>
                <w:sz w:val="24"/>
                <w:lang w:bidi="ar"/>
              </w:rPr>
            </w:pPr>
            <w:r>
              <w:rPr>
                <w:color w:val="auto"/>
                <w:kern w:val="0"/>
                <w:sz w:val="24"/>
                <w:lang w:bidi="ar"/>
              </w:rPr>
              <w:t>本项目</w:t>
            </w:r>
            <w:r>
              <w:rPr>
                <w:rFonts w:hint="eastAsia"/>
                <w:color w:val="auto"/>
                <w:kern w:val="0"/>
                <w:sz w:val="24"/>
                <w:lang w:bidi="ar"/>
              </w:rPr>
              <w:t>为</w:t>
            </w:r>
            <w:r>
              <w:rPr>
                <w:rFonts w:hint="eastAsia"/>
                <w:color w:val="auto"/>
                <w:sz w:val="24"/>
              </w:rPr>
              <w:t>关坝</w:t>
            </w:r>
            <w:r>
              <w:rPr>
                <w:rFonts w:hint="eastAsia"/>
                <w:color w:val="auto"/>
                <w:sz w:val="24"/>
                <w:lang w:eastAsia="zh-CN"/>
              </w:rPr>
              <w:t>镇保障性租赁住房</w:t>
            </w:r>
            <w:r>
              <w:rPr>
                <w:rFonts w:hint="eastAsia"/>
                <w:color w:val="auto"/>
                <w:sz w:val="24"/>
              </w:rPr>
              <w:t>项目，</w:t>
            </w:r>
            <w:r>
              <w:rPr>
                <w:color w:val="auto"/>
                <w:kern w:val="0"/>
                <w:sz w:val="24"/>
                <w:lang w:bidi="ar"/>
              </w:rPr>
              <w:t>符合</w:t>
            </w:r>
            <w:r>
              <w:rPr>
                <w:color w:val="auto"/>
                <w:kern w:val="0"/>
                <w:sz w:val="24"/>
              </w:rPr>
              <w:t>巴中市南江-通江中山生物多样性生态功能区（I-1-2）功能定位。</w:t>
            </w:r>
          </w:p>
          <w:p w14:paraId="77017DC4">
            <w:pPr>
              <w:spacing w:line="360" w:lineRule="auto"/>
              <w:ind w:firstLine="482" w:firstLineChars="200"/>
              <w:jc w:val="left"/>
              <w:rPr>
                <w:b/>
                <w:bCs/>
                <w:color w:val="auto"/>
                <w:kern w:val="0"/>
                <w:sz w:val="24"/>
                <w:lang w:bidi="ar"/>
              </w:rPr>
            </w:pPr>
            <w:r>
              <w:rPr>
                <w:b/>
                <w:bCs/>
                <w:color w:val="auto"/>
                <w:kern w:val="0"/>
                <w:sz w:val="24"/>
                <w:lang w:bidi="ar"/>
              </w:rPr>
              <w:t>二、生态环境质量现状</w:t>
            </w:r>
          </w:p>
          <w:p w14:paraId="1FE98F12">
            <w:pPr>
              <w:spacing w:line="360" w:lineRule="auto"/>
              <w:ind w:firstLine="482" w:firstLineChars="200"/>
              <w:jc w:val="left"/>
              <w:rPr>
                <w:b/>
                <w:color w:val="auto"/>
                <w:kern w:val="0"/>
                <w:sz w:val="24"/>
                <w:lang w:bidi="ar"/>
              </w:rPr>
            </w:pPr>
            <w:r>
              <w:rPr>
                <w:b/>
                <w:color w:val="auto"/>
                <w:kern w:val="0"/>
                <w:sz w:val="24"/>
                <w:lang w:bidi="ar"/>
              </w:rPr>
              <w:t>本项目不涉及占用水域，不涉水施工。本次主要针对项目区域陆生生态系统植物、动物现状进行调查。</w:t>
            </w:r>
            <w:r>
              <w:rPr>
                <w:rFonts w:hint="eastAsia"/>
                <w:b/>
                <w:color w:val="auto"/>
                <w:kern w:val="0"/>
                <w:sz w:val="24"/>
                <w:lang w:bidi="ar"/>
              </w:rPr>
              <w:t>本项目进行生态环境影响专项评价，生态环境现状调查详细资料见生态专项，此章节仅简要介绍。</w:t>
            </w:r>
          </w:p>
          <w:p w14:paraId="73BC78C7">
            <w:pPr>
              <w:spacing w:line="360" w:lineRule="auto"/>
              <w:ind w:firstLine="482" w:firstLineChars="200"/>
              <w:jc w:val="left"/>
              <w:rPr>
                <w:b/>
                <w:color w:val="auto"/>
                <w:kern w:val="0"/>
                <w:sz w:val="24"/>
                <w:lang w:bidi="ar"/>
              </w:rPr>
            </w:pPr>
            <w:r>
              <w:rPr>
                <w:b/>
                <w:color w:val="auto"/>
                <w:kern w:val="0"/>
                <w:sz w:val="24"/>
                <w:lang w:bidi="ar"/>
              </w:rPr>
              <w:t>（一）植物</w:t>
            </w:r>
          </w:p>
          <w:p w14:paraId="60BD0604">
            <w:pPr>
              <w:spacing w:line="360" w:lineRule="auto"/>
              <w:ind w:firstLine="480" w:firstLineChars="200"/>
              <w:rPr>
                <w:color w:val="auto"/>
                <w:sz w:val="24"/>
              </w:rPr>
            </w:pPr>
            <w:r>
              <w:rPr>
                <w:color w:val="auto"/>
                <w:kern w:val="0"/>
                <w:sz w:val="24"/>
                <w:lang w:bidi="ar"/>
              </w:rPr>
              <w:t>根据野外</w:t>
            </w:r>
            <w:r>
              <w:rPr>
                <w:rFonts w:hint="eastAsia"/>
                <w:color w:val="auto"/>
                <w:kern w:val="0"/>
                <w:sz w:val="24"/>
                <w:lang w:bidi="ar"/>
              </w:rPr>
              <w:t>实地</w:t>
            </w:r>
            <w:r>
              <w:rPr>
                <w:color w:val="auto"/>
                <w:kern w:val="0"/>
                <w:sz w:val="24"/>
                <w:lang w:bidi="ar"/>
              </w:rPr>
              <w:t>调查访问</w:t>
            </w:r>
            <w:r>
              <w:rPr>
                <w:rFonts w:hint="eastAsia"/>
                <w:color w:val="auto"/>
                <w:kern w:val="0"/>
                <w:sz w:val="24"/>
                <w:highlight w:val="none"/>
                <w:lang w:eastAsia="zh-CN" w:bidi="ar"/>
              </w:rPr>
              <w:t>，参考相关文献资料</w:t>
            </w:r>
            <w:r>
              <w:rPr>
                <w:rFonts w:hint="eastAsia"/>
                <w:bCs/>
                <w:color w:val="auto"/>
                <w:sz w:val="24"/>
              </w:rPr>
              <w:t>并对其分析，确认</w:t>
            </w:r>
            <w:r>
              <w:rPr>
                <w:bCs/>
                <w:color w:val="auto"/>
                <w:sz w:val="24"/>
              </w:rPr>
              <w:t>评价区域共有维管束植物</w:t>
            </w:r>
            <w:r>
              <w:rPr>
                <w:rFonts w:hint="default" w:ascii="Times New Roman" w:hAnsi="Times New Roman" w:eastAsia="宋体" w:cs="Times New Roman"/>
                <w:bCs/>
                <w:color w:val="auto"/>
                <w:sz w:val="24"/>
              </w:rPr>
              <w:t>3</w:t>
            </w:r>
            <w:r>
              <w:rPr>
                <w:rFonts w:hint="default" w:ascii="Times New Roman" w:hAnsi="Times New Roman" w:eastAsia="宋体" w:cs="Times New Roman"/>
                <w:bCs/>
                <w:color w:val="auto"/>
                <w:sz w:val="24"/>
                <w:lang w:val="en-US" w:eastAsia="zh-CN"/>
              </w:rPr>
              <w:t>4</w:t>
            </w:r>
            <w:r>
              <w:rPr>
                <w:rFonts w:hint="default" w:ascii="Times New Roman" w:hAnsi="Times New Roman" w:eastAsia="宋体" w:cs="Times New Roman"/>
                <w:bCs/>
                <w:color w:val="auto"/>
                <w:sz w:val="24"/>
              </w:rPr>
              <w:t>目</w:t>
            </w:r>
            <w:r>
              <w:rPr>
                <w:rFonts w:hint="default" w:ascii="Times New Roman" w:hAnsi="Times New Roman" w:eastAsia="宋体" w:cs="Times New Roman"/>
                <w:bCs/>
                <w:color w:val="auto"/>
                <w:sz w:val="24"/>
                <w:lang w:val="en-US" w:eastAsia="zh-CN"/>
              </w:rPr>
              <w:t>86</w:t>
            </w:r>
            <w:r>
              <w:rPr>
                <w:rFonts w:hint="default" w:ascii="Times New Roman" w:hAnsi="Times New Roman" w:eastAsia="宋体" w:cs="Times New Roman"/>
                <w:bCs/>
                <w:color w:val="auto"/>
                <w:sz w:val="24"/>
              </w:rPr>
              <w:t>科</w:t>
            </w:r>
            <w:r>
              <w:rPr>
                <w:rFonts w:hint="default" w:ascii="Times New Roman" w:hAnsi="Times New Roman" w:eastAsia="宋体" w:cs="Times New Roman"/>
                <w:bCs/>
                <w:color w:val="auto"/>
                <w:sz w:val="24"/>
                <w:lang w:val="en-US" w:eastAsia="zh-CN"/>
              </w:rPr>
              <w:t>214</w:t>
            </w:r>
            <w:r>
              <w:rPr>
                <w:rFonts w:hint="default" w:ascii="Times New Roman" w:hAnsi="Times New Roman" w:eastAsia="宋体" w:cs="Times New Roman"/>
                <w:bCs/>
                <w:color w:val="auto"/>
                <w:sz w:val="24"/>
              </w:rPr>
              <w:t>属</w:t>
            </w:r>
            <w:r>
              <w:rPr>
                <w:rFonts w:hint="default" w:ascii="Times New Roman" w:hAnsi="Times New Roman" w:eastAsia="宋体" w:cs="Times New Roman"/>
                <w:bCs/>
                <w:color w:val="auto"/>
                <w:sz w:val="24"/>
                <w:lang w:val="en-US" w:eastAsia="zh-CN"/>
              </w:rPr>
              <w:t>274</w:t>
            </w:r>
            <w:r>
              <w:rPr>
                <w:rFonts w:hint="default" w:ascii="Times New Roman" w:hAnsi="Times New Roman" w:eastAsia="宋体" w:cs="Times New Roman"/>
                <w:bCs/>
                <w:color w:val="auto"/>
                <w:sz w:val="24"/>
              </w:rPr>
              <w:t>种：其中蕨类植物共有2目</w:t>
            </w:r>
            <w:r>
              <w:rPr>
                <w:rFonts w:hint="default" w:ascii="Times New Roman" w:hAnsi="Times New Roman" w:eastAsia="宋体" w:cs="Times New Roman"/>
                <w:bCs/>
                <w:color w:val="auto"/>
                <w:sz w:val="24"/>
                <w:lang w:val="en-US" w:eastAsia="zh-CN"/>
              </w:rPr>
              <w:t>12</w:t>
            </w:r>
            <w:r>
              <w:rPr>
                <w:rFonts w:hint="default" w:ascii="Times New Roman" w:hAnsi="Times New Roman" w:eastAsia="宋体" w:cs="Times New Roman"/>
                <w:bCs/>
                <w:color w:val="auto"/>
                <w:sz w:val="24"/>
              </w:rPr>
              <w:t>科1</w:t>
            </w:r>
            <w:r>
              <w:rPr>
                <w:rFonts w:hint="default" w:ascii="Times New Roman" w:hAnsi="Times New Roman" w:eastAsia="宋体" w:cs="Times New Roman"/>
                <w:bCs/>
                <w:color w:val="auto"/>
                <w:sz w:val="24"/>
                <w:lang w:val="en-US" w:eastAsia="zh-CN"/>
              </w:rPr>
              <w:t>5</w:t>
            </w:r>
            <w:r>
              <w:rPr>
                <w:rFonts w:hint="default" w:ascii="Times New Roman" w:hAnsi="Times New Roman" w:eastAsia="宋体" w:cs="Times New Roman"/>
                <w:bCs/>
                <w:color w:val="auto"/>
                <w:sz w:val="24"/>
              </w:rPr>
              <w:t>属2</w:t>
            </w:r>
            <w:r>
              <w:rPr>
                <w:rFonts w:hint="default" w:ascii="Times New Roman" w:hAnsi="Times New Roman" w:eastAsia="宋体" w:cs="Times New Roman"/>
                <w:bCs/>
                <w:color w:val="auto"/>
                <w:sz w:val="24"/>
                <w:lang w:val="en-US" w:eastAsia="zh-CN"/>
              </w:rPr>
              <w:t>2</w:t>
            </w:r>
            <w:r>
              <w:rPr>
                <w:rFonts w:hint="default" w:ascii="Times New Roman" w:hAnsi="Times New Roman" w:eastAsia="宋体" w:cs="Times New Roman"/>
                <w:bCs/>
                <w:color w:val="auto"/>
                <w:sz w:val="24"/>
              </w:rPr>
              <w:t>种，占总科数的</w:t>
            </w:r>
            <w:r>
              <w:rPr>
                <w:rFonts w:hint="default" w:ascii="Times New Roman" w:hAnsi="Times New Roman" w:eastAsia="宋体" w:cs="Times New Roman"/>
                <w:bCs/>
                <w:color w:val="auto"/>
                <w:sz w:val="24"/>
                <w:lang w:val="en-US" w:eastAsia="zh-CN"/>
              </w:rPr>
              <w:t>13.95</w:t>
            </w:r>
            <w:r>
              <w:rPr>
                <w:rFonts w:hint="default" w:ascii="Times New Roman" w:hAnsi="Times New Roman" w:eastAsia="宋体" w:cs="Times New Roman"/>
                <w:bCs/>
                <w:color w:val="auto"/>
                <w:sz w:val="24"/>
              </w:rPr>
              <w:t>%，总属数的</w:t>
            </w:r>
            <w:r>
              <w:rPr>
                <w:rFonts w:hint="default" w:ascii="Times New Roman" w:hAnsi="Times New Roman" w:eastAsia="宋体" w:cs="Times New Roman"/>
                <w:bCs/>
                <w:color w:val="auto"/>
                <w:sz w:val="24"/>
                <w:lang w:val="en-US" w:eastAsia="zh-CN"/>
              </w:rPr>
              <w:t>6.98</w:t>
            </w:r>
            <w:r>
              <w:rPr>
                <w:rFonts w:hint="default" w:ascii="Times New Roman" w:hAnsi="Times New Roman" w:eastAsia="宋体" w:cs="Times New Roman"/>
                <w:bCs/>
                <w:color w:val="auto"/>
                <w:sz w:val="24"/>
              </w:rPr>
              <w:t>%，总种数的</w:t>
            </w:r>
            <w:r>
              <w:rPr>
                <w:rFonts w:hint="default" w:ascii="Times New Roman" w:hAnsi="Times New Roman" w:eastAsia="宋体" w:cs="Times New Roman"/>
                <w:bCs/>
                <w:color w:val="auto"/>
                <w:sz w:val="24"/>
                <w:lang w:val="en-US" w:eastAsia="zh-CN"/>
              </w:rPr>
              <w:t>7.86</w:t>
            </w:r>
            <w:r>
              <w:rPr>
                <w:rFonts w:hint="default" w:ascii="Times New Roman" w:hAnsi="Times New Roman" w:eastAsia="宋体" w:cs="Times New Roman"/>
                <w:bCs/>
                <w:color w:val="auto"/>
                <w:sz w:val="24"/>
              </w:rPr>
              <w:t>%；裸子植</w:t>
            </w:r>
            <w:r>
              <w:rPr>
                <w:rFonts w:hint="default" w:ascii="Times New Roman" w:hAnsi="Times New Roman" w:eastAsia="宋体" w:cs="Times New Roman"/>
                <w:bCs/>
                <w:color w:val="auto"/>
                <w:sz w:val="24"/>
                <w:lang w:val="en-US" w:eastAsia="zh-CN"/>
              </w:rPr>
              <w:t>1</w:t>
            </w:r>
            <w:r>
              <w:rPr>
                <w:rFonts w:hint="default" w:ascii="Times New Roman" w:hAnsi="Times New Roman" w:eastAsia="宋体" w:cs="Times New Roman"/>
                <w:bCs/>
                <w:color w:val="auto"/>
                <w:sz w:val="24"/>
              </w:rPr>
              <w:t>目</w:t>
            </w:r>
            <w:r>
              <w:rPr>
                <w:rFonts w:hint="default" w:ascii="Times New Roman" w:hAnsi="Times New Roman" w:eastAsia="宋体" w:cs="Times New Roman"/>
                <w:bCs/>
                <w:color w:val="auto"/>
                <w:sz w:val="24"/>
                <w:lang w:val="en-US" w:eastAsia="zh-CN"/>
              </w:rPr>
              <w:t>3</w:t>
            </w:r>
            <w:r>
              <w:rPr>
                <w:rFonts w:hint="default" w:ascii="Times New Roman" w:hAnsi="Times New Roman" w:eastAsia="宋体" w:cs="Times New Roman"/>
                <w:bCs/>
                <w:color w:val="auto"/>
                <w:sz w:val="24"/>
              </w:rPr>
              <w:t>科</w:t>
            </w:r>
            <w:r>
              <w:rPr>
                <w:rFonts w:hint="default" w:ascii="Times New Roman" w:hAnsi="Times New Roman" w:eastAsia="宋体" w:cs="Times New Roman"/>
                <w:bCs/>
                <w:color w:val="auto"/>
                <w:sz w:val="24"/>
                <w:lang w:val="en-US" w:eastAsia="zh-CN"/>
              </w:rPr>
              <w:t>5</w:t>
            </w:r>
            <w:r>
              <w:rPr>
                <w:rFonts w:hint="default" w:ascii="Times New Roman" w:hAnsi="Times New Roman" w:eastAsia="宋体" w:cs="Times New Roman"/>
                <w:bCs/>
                <w:color w:val="auto"/>
                <w:sz w:val="24"/>
              </w:rPr>
              <w:t>属</w:t>
            </w:r>
            <w:r>
              <w:rPr>
                <w:rFonts w:hint="default" w:ascii="Times New Roman" w:hAnsi="Times New Roman" w:eastAsia="宋体" w:cs="Times New Roman"/>
                <w:bCs/>
                <w:color w:val="auto"/>
                <w:sz w:val="24"/>
                <w:lang w:val="en-US" w:eastAsia="zh-CN"/>
              </w:rPr>
              <w:t>6</w:t>
            </w:r>
            <w:r>
              <w:rPr>
                <w:rFonts w:hint="default" w:ascii="Times New Roman" w:hAnsi="Times New Roman" w:eastAsia="宋体" w:cs="Times New Roman"/>
                <w:bCs/>
                <w:color w:val="auto"/>
                <w:sz w:val="24"/>
              </w:rPr>
              <w:t>种，占评价区域总科数的</w:t>
            </w:r>
            <w:r>
              <w:rPr>
                <w:rFonts w:hint="default" w:ascii="Times New Roman" w:hAnsi="Times New Roman" w:eastAsia="宋体" w:cs="Times New Roman"/>
                <w:bCs/>
                <w:color w:val="auto"/>
                <w:sz w:val="24"/>
                <w:lang w:val="en-US" w:eastAsia="zh-CN"/>
              </w:rPr>
              <w:t>3.49</w:t>
            </w:r>
            <w:r>
              <w:rPr>
                <w:rFonts w:hint="default" w:ascii="Times New Roman" w:hAnsi="Times New Roman" w:eastAsia="宋体" w:cs="Times New Roman"/>
                <w:bCs/>
                <w:color w:val="auto"/>
                <w:sz w:val="24"/>
              </w:rPr>
              <w:t>%，总属数的</w:t>
            </w:r>
            <w:r>
              <w:rPr>
                <w:rFonts w:hint="default" w:ascii="Times New Roman" w:hAnsi="Times New Roman" w:eastAsia="宋体" w:cs="Times New Roman"/>
                <w:bCs/>
                <w:color w:val="auto"/>
                <w:sz w:val="24"/>
                <w:lang w:val="en-US" w:eastAsia="zh-CN"/>
              </w:rPr>
              <w:t>2.34</w:t>
            </w:r>
            <w:r>
              <w:rPr>
                <w:rFonts w:hint="default" w:ascii="Times New Roman" w:hAnsi="Times New Roman" w:eastAsia="宋体" w:cs="Times New Roman"/>
                <w:bCs/>
                <w:color w:val="auto"/>
                <w:sz w:val="24"/>
              </w:rPr>
              <w:t>%，总种数的</w:t>
            </w:r>
            <w:r>
              <w:rPr>
                <w:rFonts w:hint="default" w:ascii="Times New Roman" w:hAnsi="Times New Roman" w:eastAsia="宋体" w:cs="Times New Roman"/>
                <w:bCs/>
                <w:color w:val="auto"/>
                <w:sz w:val="24"/>
                <w:lang w:val="en-US" w:eastAsia="zh-CN"/>
              </w:rPr>
              <w:t>2.19</w:t>
            </w:r>
            <w:r>
              <w:rPr>
                <w:rFonts w:hint="default" w:ascii="Times New Roman" w:hAnsi="Times New Roman" w:eastAsia="宋体" w:cs="Times New Roman"/>
                <w:bCs/>
                <w:color w:val="auto"/>
                <w:sz w:val="24"/>
              </w:rPr>
              <w:t>%；被子植物物种数最多，共有</w:t>
            </w:r>
            <w:r>
              <w:rPr>
                <w:rFonts w:hint="default" w:ascii="Times New Roman" w:hAnsi="Times New Roman" w:eastAsia="宋体" w:cs="Times New Roman"/>
                <w:bCs/>
                <w:color w:val="auto"/>
                <w:sz w:val="24"/>
                <w:lang w:val="en-US" w:eastAsia="zh-CN"/>
              </w:rPr>
              <w:t>31</w:t>
            </w:r>
            <w:r>
              <w:rPr>
                <w:rFonts w:hint="default" w:ascii="Times New Roman" w:hAnsi="Times New Roman" w:eastAsia="宋体" w:cs="Times New Roman"/>
                <w:bCs/>
                <w:color w:val="auto"/>
                <w:sz w:val="24"/>
              </w:rPr>
              <w:t>目</w:t>
            </w:r>
            <w:r>
              <w:rPr>
                <w:rFonts w:hint="default" w:ascii="Times New Roman" w:hAnsi="Times New Roman" w:eastAsia="宋体" w:cs="Times New Roman"/>
                <w:bCs/>
                <w:color w:val="auto"/>
                <w:sz w:val="24"/>
                <w:lang w:val="en-US" w:eastAsia="zh-CN"/>
              </w:rPr>
              <w:t>71</w:t>
            </w:r>
            <w:r>
              <w:rPr>
                <w:rFonts w:hint="default" w:ascii="Times New Roman" w:hAnsi="Times New Roman" w:eastAsia="宋体" w:cs="Times New Roman"/>
                <w:bCs/>
                <w:color w:val="auto"/>
                <w:sz w:val="24"/>
              </w:rPr>
              <w:t>科</w:t>
            </w:r>
            <w:r>
              <w:rPr>
                <w:rFonts w:hint="default" w:ascii="Times New Roman" w:hAnsi="Times New Roman" w:eastAsia="宋体" w:cs="Times New Roman"/>
                <w:bCs/>
                <w:color w:val="auto"/>
                <w:sz w:val="24"/>
                <w:lang w:val="en-US" w:eastAsia="zh-CN"/>
              </w:rPr>
              <w:t>194</w:t>
            </w:r>
            <w:r>
              <w:rPr>
                <w:rFonts w:hint="default" w:ascii="Times New Roman" w:hAnsi="Times New Roman" w:eastAsia="宋体" w:cs="Times New Roman"/>
                <w:bCs/>
                <w:color w:val="auto"/>
                <w:sz w:val="24"/>
              </w:rPr>
              <w:t>属</w:t>
            </w:r>
            <w:r>
              <w:rPr>
                <w:rFonts w:hint="default" w:ascii="Times New Roman" w:hAnsi="Times New Roman" w:eastAsia="宋体" w:cs="Times New Roman"/>
                <w:bCs/>
                <w:color w:val="auto"/>
                <w:sz w:val="24"/>
                <w:lang w:val="en-US" w:eastAsia="zh-CN"/>
              </w:rPr>
              <w:t>246</w:t>
            </w:r>
            <w:r>
              <w:rPr>
                <w:rFonts w:hint="default" w:ascii="Times New Roman" w:hAnsi="Times New Roman" w:eastAsia="宋体" w:cs="Times New Roman"/>
                <w:bCs/>
                <w:color w:val="auto"/>
                <w:sz w:val="24"/>
              </w:rPr>
              <w:t>种，占评价区域总科数的82.</w:t>
            </w:r>
            <w:r>
              <w:rPr>
                <w:rFonts w:hint="default" w:ascii="Times New Roman" w:hAnsi="Times New Roman" w:eastAsia="宋体" w:cs="Times New Roman"/>
                <w:bCs/>
                <w:color w:val="auto"/>
                <w:sz w:val="24"/>
                <w:lang w:val="en-US" w:eastAsia="zh-CN"/>
              </w:rPr>
              <w:t>56</w:t>
            </w:r>
            <w:r>
              <w:rPr>
                <w:rFonts w:hint="default" w:ascii="Times New Roman" w:hAnsi="Times New Roman" w:eastAsia="宋体" w:cs="Times New Roman"/>
                <w:bCs/>
                <w:color w:val="auto"/>
                <w:sz w:val="24"/>
              </w:rPr>
              <w:t>%，总属数的</w:t>
            </w:r>
            <w:r>
              <w:rPr>
                <w:rFonts w:hint="default" w:ascii="Times New Roman" w:hAnsi="Times New Roman" w:eastAsia="宋体" w:cs="Times New Roman"/>
                <w:bCs/>
                <w:color w:val="auto"/>
                <w:sz w:val="24"/>
                <w:lang w:val="en-US" w:eastAsia="zh-CN"/>
              </w:rPr>
              <w:t>90.65</w:t>
            </w:r>
            <w:r>
              <w:rPr>
                <w:rFonts w:hint="default" w:ascii="Times New Roman" w:hAnsi="Times New Roman" w:eastAsia="宋体" w:cs="Times New Roman"/>
                <w:bCs/>
                <w:color w:val="auto"/>
                <w:sz w:val="24"/>
              </w:rPr>
              <w:t>%，总种数的</w:t>
            </w:r>
            <w:r>
              <w:rPr>
                <w:rFonts w:hint="default" w:ascii="Times New Roman" w:hAnsi="Times New Roman" w:eastAsia="宋体" w:cs="Times New Roman"/>
                <w:bCs/>
                <w:color w:val="auto"/>
                <w:sz w:val="24"/>
                <w:lang w:val="en-US" w:eastAsia="zh-CN"/>
              </w:rPr>
              <w:t>89.78</w:t>
            </w:r>
            <w:r>
              <w:rPr>
                <w:rFonts w:hint="default" w:ascii="Times New Roman" w:hAnsi="Times New Roman" w:eastAsia="宋体" w:cs="Times New Roman"/>
                <w:bCs/>
                <w:color w:val="auto"/>
                <w:sz w:val="24"/>
              </w:rPr>
              <w:t>%。</w:t>
            </w:r>
          </w:p>
          <w:p w14:paraId="56268F1D">
            <w:pPr>
              <w:spacing w:line="360" w:lineRule="auto"/>
              <w:ind w:firstLine="480" w:firstLineChars="200"/>
              <w:rPr>
                <w:color w:val="auto"/>
                <w:sz w:val="24"/>
                <w:highlight w:val="yellow"/>
              </w:rPr>
            </w:pPr>
            <w:r>
              <w:rPr>
                <w:color w:val="auto"/>
                <w:sz w:val="24"/>
              </w:rPr>
              <w:t>项目建设区域植物资源现状如下（具体名单见附</w:t>
            </w:r>
            <w:r>
              <w:rPr>
                <w:rFonts w:hint="eastAsia"/>
                <w:color w:val="auto"/>
                <w:sz w:val="24"/>
              </w:rPr>
              <w:t>表</w:t>
            </w:r>
            <w:r>
              <w:rPr>
                <w:color w:val="auto"/>
                <w:sz w:val="24"/>
              </w:rPr>
              <w:t>）：</w:t>
            </w:r>
          </w:p>
          <w:p w14:paraId="7F0B3583">
            <w:pPr>
              <w:spacing w:line="360" w:lineRule="auto"/>
              <w:ind w:firstLine="480" w:firstLineChars="200"/>
              <w:rPr>
                <w:bCs/>
                <w:color w:val="auto"/>
                <w:sz w:val="24"/>
              </w:rPr>
            </w:pPr>
            <w:r>
              <w:rPr>
                <w:color w:val="auto"/>
                <w:sz w:val="24"/>
              </w:rPr>
              <w:t>评价区</w:t>
            </w:r>
            <w:r>
              <w:rPr>
                <w:rFonts w:hint="eastAsia"/>
                <w:color w:val="auto"/>
                <w:sz w:val="24"/>
              </w:rPr>
              <w:t>内</w:t>
            </w:r>
            <w:r>
              <w:rPr>
                <w:bCs/>
                <w:color w:val="auto"/>
                <w:sz w:val="24"/>
              </w:rPr>
              <w:t>森林植被主要为常绿阔叶林和亚高山常绿针叶林。</w:t>
            </w:r>
            <w:r>
              <w:rPr>
                <w:rFonts w:hint="eastAsia"/>
                <w:bCs/>
                <w:color w:val="auto"/>
                <w:sz w:val="24"/>
                <w:lang w:eastAsia="zh-CN"/>
              </w:rPr>
              <w:t>评价范围主要分布耕地、</w:t>
            </w:r>
            <w:r>
              <w:rPr>
                <w:bCs/>
                <w:color w:val="auto"/>
                <w:sz w:val="24"/>
              </w:rPr>
              <w:t>林地、</w:t>
            </w:r>
            <w:r>
              <w:rPr>
                <w:rFonts w:hint="eastAsia"/>
                <w:bCs/>
                <w:color w:val="auto"/>
                <w:sz w:val="24"/>
                <w:lang w:eastAsia="zh-CN"/>
              </w:rPr>
              <w:t>建设用地等</w:t>
            </w:r>
            <w:r>
              <w:rPr>
                <w:bCs/>
                <w:color w:val="auto"/>
                <w:sz w:val="24"/>
              </w:rPr>
              <w:t>，根据</w:t>
            </w:r>
            <w:r>
              <w:rPr>
                <w:rFonts w:hint="eastAsia"/>
                <w:bCs/>
                <w:color w:val="auto"/>
                <w:sz w:val="24"/>
                <w:lang w:eastAsia="zh-CN"/>
              </w:rPr>
              <w:t>植被类型分布图</w:t>
            </w:r>
            <w:r>
              <w:rPr>
                <w:bCs/>
                <w:color w:val="auto"/>
                <w:sz w:val="24"/>
              </w:rPr>
              <w:t>可知，该区域主要为自然植被和栽培植被。</w:t>
            </w:r>
          </w:p>
          <w:p w14:paraId="72E6AB00">
            <w:pPr>
              <w:spacing w:line="360" w:lineRule="auto"/>
              <w:ind w:firstLine="480" w:firstLineChars="200"/>
              <w:rPr>
                <w:bCs/>
                <w:color w:val="auto"/>
                <w:sz w:val="24"/>
              </w:rPr>
            </w:pPr>
            <w:r>
              <w:rPr>
                <w:rFonts w:hint="eastAsia"/>
                <w:bCs/>
                <w:color w:val="auto"/>
                <w:sz w:val="24"/>
                <w:lang w:eastAsia="zh-CN"/>
              </w:rPr>
              <w:t>评价范围</w:t>
            </w:r>
            <w:r>
              <w:rPr>
                <w:rFonts w:hint="eastAsia"/>
                <w:bCs/>
                <w:color w:val="auto"/>
                <w:sz w:val="24"/>
              </w:rPr>
              <w:t>主要</w:t>
            </w:r>
            <w:r>
              <w:rPr>
                <w:bCs/>
                <w:color w:val="auto"/>
                <w:sz w:val="24"/>
              </w:rPr>
              <w:t>植被为：柳杉、</w:t>
            </w:r>
            <w:r>
              <w:rPr>
                <w:rFonts w:hint="eastAsia"/>
                <w:bCs/>
                <w:color w:val="auto"/>
                <w:sz w:val="24"/>
              </w:rPr>
              <w:t>水青冈</w:t>
            </w:r>
            <w:r>
              <w:rPr>
                <w:bCs/>
                <w:color w:val="auto"/>
                <w:sz w:val="24"/>
              </w:rPr>
              <w:t>、</w:t>
            </w:r>
            <w:r>
              <w:rPr>
                <w:rFonts w:hint="eastAsia"/>
                <w:bCs/>
                <w:color w:val="auto"/>
                <w:sz w:val="24"/>
              </w:rPr>
              <w:t>黄荆</w:t>
            </w:r>
            <w:r>
              <w:rPr>
                <w:bCs/>
                <w:color w:val="auto"/>
                <w:sz w:val="24"/>
              </w:rPr>
              <w:t>、</w:t>
            </w:r>
            <w:r>
              <w:rPr>
                <w:rFonts w:hint="eastAsia"/>
                <w:bCs/>
                <w:color w:val="auto"/>
                <w:sz w:val="24"/>
                <w:lang w:eastAsia="zh-CN"/>
              </w:rPr>
              <w:t>盐麸木</w:t>
            </w:r>
            <w:r>
              <w:rPr>
                <w:bCs/>
                <w:color w:val="auto"/>
                <w:sz w:val="24"/>
              </w:rPr>
              <w:t>、</w:t>
            </w:r>
            <w:r>
              <w:rPr>
                <w:rFonts w:hint="eastAsia"/>
                <w:bCs/>
                <w:color w:val="auto"/>
                <w:sz w:val="24"/>
              </w:rPr>
              <w:t>水麻、</w:t>
            </w:r>
            <w:r>
              <w:rPr>
                <w:bCs/>
                <w:color w:val="auto"/>
                <w:sz w:val="24"/>
              </w:rPr>
              <w:t>箭竹、里白、凤尾蕨、</w:t>
            </w:r>
            <w:r>
              <w:rPr>
                <w:rFonts w:hint="eastAsia"/>
                <w:bCs/>
                <w:color w:val="auto"/>
                <w:sz w:val="24"/>
              </w:rPr>
              <w:t>细柄草、</w:t>
            </w:r>
            <w:r>
              <w:rPr>
                <w:bCs/>
                <w:color w:val="auto"/>
                <w:sz w:val="24"/>
              </w:rPr>
              <w:t>鸢尾</w:t>
            </w:r>
            <w:r>
              <w:rPr>
                <w:rFonts w:hint="eastAsia"/>
                <w:bCs/>
                <w:color w:val="auto"/>
                <w:sz w:val="24"/>
              </w:rPr>
              <w:t>、</w:t>
            </w:r>
            <w:r>
              <w:rPr>
                <w:bCs/>
                <w:color w:val="auto"/>
                <w:sz w:val="24"/>
              </w:rPr>
              <w:t>川莓、</w:t>
            </w:r>
            <w:r>
              <w:rPr>
                <w:rFonts w:hint="eastAsia"/>
                <w:bCs/>
                <w:color w:val="auto"/>
                <w:sz w:val="24"/>
              </w:rPr>
              <w:t>马桑、火棘、艾蒿、蕨、</w:t>
            </w:r>
            <w:r>
              <w:rPr>
                <w:bCs/>
                <w:color w:val="auto"/>
                <w:sz w:val="24"/>
              </w:rPr>
              <w:t>慈竹、</w:t>
            </w:r>
            <w:r>
              <w:rPr>
                <w:rFonts w:hint="eastAsia"/>
                <w:bCs/>
                <w:color w:val="auto"/>
                <w:sz w:val="24"/>
              </w:rPr>
              <w:t>剪股颖、</w:t>
            </w:r>
            <w:r>
              <w:rPr>
                <w:bCs/>
                <w:color w:val="auto"/>
                <w:sz w:val="24"/>
              </w:rPr>
              <w:t>接骨草、芦苇</w:t>
            </w:r>
            <w:r>
              <w:rPr>
                <w:rFonts w:hint="eastAsia"/>
                <w:bCs/>
                <w:color w:val="auto"/>
                <w:sz w:val="24"/>
              </w:rPr>
              <w:t>、欧洲油菜、白菜、蚕豆、萝卜、芥蓝、玉蜀黍等</w:t>
            </w:r>
            <w:r>
              <w:rPr>
                <w:bCs/>
                <w:color w:val="auto"/>
                <w:sz w:val="24"/>
              </w:rPr>
              <w:t>。</w:t>
            </w:r>
          </w:p>
          <w:p w14:paraId="6210F1E2">
            <w:pPr>
              <w:snapToGrid w:val="0"/>
              <w:spacing w:line="360" w:lineRule="auto"/>
              <w:ind w:firstLine="480" w:firstLineChars="200"/>
              <w:rPr>
                <w:bCs/>
                <w:color w:val="auto"/>
                <w:sz w:val="24"/>
              </w:rPr>
            </w:pPr>
            <w:r>
              <w:rPr>
                <w:color w:val="auto"/>
                <w:sz w:val="24"/>
              </w:rPr>
              <w:t>根据调查访问、资料文献并结合中国生物多样性红色名录-高等植物卷，发现此次评价区内</w:t>
            </w:r>
            <w:r>
              <w:rPr>
                <w:rFonts w:hint="eastAsia"/>
                <w:color w:val="auto"/>
                <w:sz w:val="24"/>
                <w:lang w:val="en-US" w:eastAsia="zh-CN"/>
              </w:rPr>
              <w:t>274</w:t>
            </w:r>
            <w:r>
              <w:rPr>
                <w:color w:val="auto"/>
                <w:sz w:val="24"/>
              </w:rPr>
              <w:t>种维管束植物中共有</w:t>
            </w:r>
            <w:r>
              <w:rPr>
                <w:rFonts w:hint="eastAsia"/>
                <w:color w:val="auto"/>
                <w:sz w:val="24"/>
                <w:lang w:val="en-US" w:eastAsia="zh-CN"/>
              </w:rPr>
              <w:t>29</w:t>
            </w:r>
            <w:r>
              <w:rPr>
                <w:color w:val="auto"/>
                <w:sz w:val="24"/>
              </w:rPr>
              <w:t>种重要野生植物，</w:t>
            </w:r>
            <w:r>
              <w:rPr>
                <w:rFonts w:hint="eastAsia"/>
                <w:color w:val="auto"/>
                <w:sz w:val="24"/>
              </w:rPr>
              <w:t>均为特有种</w:t>
            </w:r>
            <w:r>
              <w:rPr>
                <w:color w:val="auto"/>
                <w:sz w:val="24"/>
              </w:rPr>
              <w:t>；无极小种群野生植物。</w:t>
            </w:r>
            <w:r>
              <w:rPr>
                <w:rFonts w:hint="eastAsia"/>
                <w:color w:val="auto"/>
                <w:sz w:val="24"/>
              </w:rPr>
              <w:t>无国家</w:t>
            </w:r>
            <w:r>
              <w:rPr>
                <w:rFonts w:hint="eastAsia"/>
                <w:bCs/>
                <w:color w:val="auto"/>
                <w:sz w:val="24"/>
              </w:rPr>
              <w:t>级重要野生保护植物。</w:t>
            </w:r>
            <w:r>
              <w:rPr>
                <w:color w:val="auto"/>
                <w:sz w:val="24"/>
              </w:rPr>
              <w:t>对于工程占用情况，大部分重要野生植物均未被工程占用。</w:t>
            </w:r>
            <w:r>
              <w:rPr>
                <w:rFonts w:hint="eastAsia"/>
                <w:color w:val="auto"/>
                <w:sz w:val="24"/>
              </w:rPr>
              <w:t>重要野生植物主要为：柳杉、宝兴报春、铁仔、川莓、打破碗花花、豪猪刺、杨叶木姜子、尾尖凤了蕨、贯众、柏木、大火草、四川山胡椒、湖北小檗、马尾松、桤木、慈竹、短序荚蒾、蕊帽忍冬、西南绣球、火棘、箭竹、薄叶鼠李、蟹甲草、女贞、锦鸡儿、绣球蔷薇、醉鱼草、猫儿刺、筋骨草</w:t>
            </w:r>
            <w:r>
              <w:rPr>
                <w:rFonts w:hint="eastAsia"/>
                <w:bCs/>
                <w:color w:val="auto"/>
                <w:sz w:val="24"/>
              </w:rPr>
              <w:t>。</w:t>
            </w:r>
          </w:p>
          <w:p w14:paraId="568429D1">
            <w:pPr>
              <w:spacing w:line="360" w:lineRule="auto"/>
              <w:ind w:firstLine="482" w:firstLineChars="200"/>
              <w:rPr>
                <w:b/>
                <w:bCs/>
                <w:color w:val="auto"/>
                <w:sz w:val="24"/>
              </w:rPr>
            </w:pPr>
            <w:r>
              <w:rPr>
                <w:b/>
                <w:bCs/>
                <w:color w:val="auto"/>
                <w:sz w:val="24"/>
              </w:rPr>
              <w:t>在项目直接占地区</w:t>
            </w:r>
            <w:r>
              <w:rPr>
                <w:rFonts w:hint="eastAsia"/>
                <w:b/>
                <w:bCs/>
                <w:color w:val="auto"/>
                <w:sz w:val="24"/>
              </w:rPr>
              <w:t>位于关坝镇场镇，</w:t>
            </w:r>
            <w:r>
              <w:rPr>
                <w:rFonts w:hint="eastAsia"/>
                <w:b/>
                <w:bCs/>
                <w:color w:val="auto"/>
                <w:sz w:val="24"/>
                <w:lang w:eastAsia="zh-CN"/>
              </w:rPr>
              <w:t>占地范围内为耕地，</w:t>
            </w:r>
            <w:r>
              <w:rPr>
                <w:b/>
                <w:bCs/>
                <w:color w:val="auto"/>
                <w:sz w:val="24"/>
              </w:rPr>
              <w:t>无国家重点保护植物分布，不涉及古树名木分布。</w:t>
            </w:r>
          </w:p>
          <w:p w14:paraId="0102B153">
            <w:pPr>
              <w:spacing w:line="360" w:lineRule="auto"/>
              <w:ind w:firstLine="482" w:firstLineChars="200"/>
              <w:jc w:val="left"/>
              <w:rPr>
                <w:b/>
                <w:bCs/>
                <w:color w:val="auto"/>
                <w:kern w:val="0"/>
                <w:sz w:val="24"/>
                <w:lang w:bidi="ar"/>
              </w:rPr>
            </w:pPr>
            <w:r>
              <w:rPr>
                <w:b/>
                <w:bCs/>
                <w:color w:val="auto"/>
                <w:kern w:val="0"/>
                <w:sz w:val="24"/>
                <w:lang w:bidi="ar"/>
              </w:rPr>
              <w:t>（二）动物</w:t>
            </w:r>
          </w:p>
          <w:p w14:paraId="108ABE52">
            <w:pPr>
              <w:spacing w:line="360" w:lineRule="auto"/>
              <w:ind w:firstLine="480" w:firstLineChars="200"/>
              <w:jc w:val="left"/>
              <w:rPr>
                <w:bCs/>
                <w:color w:val="auto"/>
                <w:kern w:val="0"/>
                <w:sz w:val="24"/>
                <w:lang w:bidi="ar"/>
              </w:rPr>
            </w:pPr>
            <w:r>
              <w:rPr>
                <w:rFonts w:hint="eastAsia"/>
                <w:color w:val="auto"/>
                <w:kern w:val="0"/>
                <w:sz w:val="24"/>
                <w:lang w:bidi="ar"/>
              </w:rPr>
              <w:t>项目</w:t>
            </w:r>
            <w:r>
              <w:rPr>
                <w:color w:val="auto"/>
                <w:kern w:val="0"/>
                <w:sz w:val="24"/>
                <w:lang w:bidi="ar"/>
              </w:rPr>
              <w:t>评价区、各类占地区及影响评价区内的</w:t>
            </w:r>
            <w:r>
              <w:rPr>
                <w:rFonts w:hint="default" w:ascii="Times New Roman" w:hAnsi="Times New Roman" w:eastAsia="宋体" w:cs="Times New Roman"/>
                <w:color w:val="auto"/>
                <w:kern w:val="0"/>
                <w:sz w:val="24"/>
                <w:szCs w:val="24"/>
              </w:rPr>
              <w:t>两栖动物共有1</w:t>
            </w:r>
            <w:r>
              <w:rPr>
                <w:rFonts w:hint="default" w:ascii="Times New Roman" w:hAnsi="Times New Roman" w:eastAsia="宋体" w:cs="Times New Roman"/>
                <w:color w:val="auto"/>
                <w:kern w:val="0"/>
                <w:sz w:val="24"/>
                <w:szCs w:val="24"/>
                <w:lang w:val="en-US" w:eastAsia="zh-CN"/>
              </w:rPr>
              <w:t>2</w:t>
            </w:r>
            <w:r>
              <w:rPr>
                <w:rFonts w:hint="default" w:ascii="Times New Roman" w:hAnsi="Times New Roman" w:eastAsia="宋体" w:cs="Times New Roman"/>
                <w:color w:val="auto"/>
                <w:kern w:val="0"/>
                <w:sz w:val="24"/>
                <w:szCs w:val="24"/>
              </w:rPr>
              <w:t>种，分隶1目、4科；爬行动物共有7种，分隶1目</w:t>
            </w:r>
            <w:r>
              <w:rPr>
                <w:rFonts w:hint="default" w:ascii="Times New Roman" w:hAnsi="Times New Roman" w:eastAsia="宋体" w:cs="Times New Roman"/>
                <w:color w:val="auto"/>
                <w:kern w:val="0"/>
                <w:sz w:val="24"/>
                <w:szCs w:val="24"/>
                <w:lang w:val="en-US" w:eastAsia="zh-CN"/>
              </w:rPr>
              <w:t>3</w:t>
            </w:r>
            <w:r>
              <w:rPr>
                <w:rFonts w:hint="default" w:ascii="Times New Roman" w:hAnsi="Times New Roman" w:eastAsia="宋体" w:cs="Times New Roman"/>
                <w:color w:val="auto"/>
                <w:kern w:val="0"/>
                <w:sz w:val="24"/>
                <w:szCs w:val="24"/>
              </w:rPr>
              <w:t>科；鸟类</w:t>
            </w:r>
            <w:r>
              <w:rPr>
                <w:rFonts w:hint="default" w:ascii="Times New Roman" w:hAnsi="Times New Roman" w:eastAsia="宋体" w:cs="Times New Roman"/>
                <w:color w:val="auto"/>
                <w:kern w:val="0"/>
                <w:sz w:val="24"/>
                <w:szCs w:val="24"/>
                <w:lang w:val="en-US" w:eastAsia="zh-CN"/>
              </w:rPr>
              <w:t>40</w:t>
            </w:r>
            <w:r>
              <w:rPr>
                <w:rFonts w:hint="default" w:ascii="Times New Roman" w:hAnsi="Times New Roman" w:eastAsia="宋体" w:cs="Times New Roman"/>
                <w:color w:val="auto"/>
                <w:kern w:val="0"/>
                <w:sz w:val="24"/>
                <w:szCs w:val="24"/>
              </w:rPr>
              <w:t>种，隶1</w:t>
            </w:r>
            <w:r>
              <w:rPr>
                <w:rFonts w:hint="default" w:ascii="Times New Roman" w:hAnsi="Times New Roman" w:eastAsia="宋体" w:cs="Times New Roman"/>
                <w:color w:val="auto"/>
                <w:kern w:val="0"/>
                <w:sz w:val="24"/>
                <w:szCs w:val="24"/>
                <w:lang w:val="en-US" w:eastAsia="zh-CN"/>
              </w:rPr>
              <w:t>1</w:t>
            </w:r>
            <w:r>
              <w:rPr>
                <w:rFonts w:hint="default" w:ascii="Times New Roman" w:hAnsi="Times New Roman" w:eastAsia="宋体" w:cs="Times New Roman"/>
                <w:color w:val="auto"/>
                <w:kern w:val="0"/>
                <w:sz w:val="24"/>
                <w:szCs w:val="24"/>
              </w:rPr>
              <w:t>目</w:t>
            </w:r>
            <w:r>
              <w:rPr>
                <w:rFonts w:hint="default" w:ascii="Times New Roman" w:hAnsi="Times New Roman" w:eastAsia="宋体" w:cs="Times New Roman"/>
                <w:color w:val="auto"/>
                <w:kern w:val="0"/>
                <w:sz w:val="24"/>
                <w:szCs w:val="24"/>
                <w:lang w:val="en-US" w:eastAsia="zh-CN"/>
              </w:rPr>
              <w:t>25</w:t>
            </w:r>
            <w:r>
              <w:rPr>
                <w:rFonts w:hint="default" w:ascii="Times New Roman" w:hAnsi="Times New Roman" w:eastAsia="宋体" w:cs="Times New Roman"/>
                <w:color w:val="auto"/>
                <w:kern w:val="0"/>
                <w:sz w:val="24"/>
                <w:szCs w:val="24"/>
              </w:rPr>
              <w:t>科；兽类</w:t>
            </w:r>
            <w:r>
              <w:rPr>
                <w:rFonts w:hint="default" w:ascii="Times New Roman" w:hAnsi="Times New Roman" w:eastAsia="宋体" w:cs="Times New Roman"/>
                <w:color w:val="auto"/>
                <w:kern w:val="0"/>
                <w:sz w:val="24"/>
                <w:szCs w:val="24"/>
                <w:lang w:val="en-US" w:eastAsia="zh-CN"/>
              </w:rPr>
              <w:t>16</w:t>
            </w:r>
            <w:r>
              <w:rPr>
                <w:rFonts w:hint="default" w:ascii="Times New Roman" w:hAnsi="Times New Roman" w:eastAsia="宋体" w:cs="Times New Roman"/>
                <w:color w:val="auto"/>
                <w:kern w:val="0"/>
                <w:sz w:val="24"/>
                <w:szCs w:val="24"/>
              </w:rPr>
              <w:t>种，隶</w:t>
            </w:r>
            <w:r>
              <w:rPr>
                <w:rFonts w:hint="default" w:ascii="Times New Roman" w:hAnsi="Times New Roman" w:eastAsia="宋体" w:cs="Times New Roman"/>
                <w:color w:val="auto"/>
                <w:kern w:val="0"/>
                <w:sz w:val="24"/>
                <w:szCs w:val="24"/>
                <w:lang w:val="en-US" w:eastAsia="zh-CN"/>
              </w:rPr>
              <w:t>5</w:t>
            </w:r>
            <w:r>
              <w:rPr>
                <w:rFonts w:hint="default" w:ascii="Times New Roman" w:hAnsi="Times New Roman" w:eastAsia="宋体" w:cs="Times New Roman"/>
                <w:color w:val="auto"/>
                <w:kern w:val="0"/>
                <w:sz w:val="24"/>
                <w:szCs w:val="24"/>
              </w:rPr>
              <w:t>目</w:t>
            </w:r>
            <w:r>
              <w:rPr>
                <w:rFonts w:hint="default" w:ascii="Times New Roman" w:hAnsi="Times New Roman" w:eastAsia="宋体" w:cs="Times New Roman"/>
                <w:color w:val="auto"/>
                <w:kern w:val="0"/>
                <w:sz w:val="24"/>
                <w:szCs w:val="24"/>
                <w:lang w:val="en-US" w:eastAsia="zh-CN"/>
              </w:rPr>
              <w:t>10</w:t>
            </w:r>
            <w:r>
              <w:rPr>
                <w:rFonts w:hint="default" w:ascii="Times New Roman" w:hAnsi="Times New Roman" w:eastAsia="宋体" w:cs="Times New Roman"/>
                <w:color w:val="auto"/>
                <w:kern w:val="0"/>
                <w:sz w:val="24"/>
                <w:szCs w:val="24"/>
              </w:rPr>
              <w:t>科</w:t>
            </w:r>
            <w:r>
              <w:rPr>
                <w:color w:val="auto"/>
                <w:kern w:val="0"/>
                <w:sz w:val="24"/>
                <w:lang w:bidi="ar"/>
              </w:rPr>
              <w:t>。</w:t>
            </w:r>
            <w:r>
              <w:rPr>
                <w:color w:val="auto"/>
                <w:sz w:val="24"/>
              </w:rPr>
              <w:t>（具体名单见附</w:t>
            </w:r>
            <w:r>
              <w:rPr>
                <w:rFonts w:hint="eastAsia"/>
                <w:color w:val="auto"/>
                <w:sz w:val="24"/>
              </w:rPr>
              <w:t>表</w:t>
            </w:r>
            <w:r>
              <w:rPr>
                <w:color w:val="auto"/>
                <w:sz w:val="24"/>
              </w:rPr>
              <w:t>）</w:t>
            </w:r>
          </w:p>
          <w:p w14:paraId="19BBDBFF">
            <w:pPr>
              <w:spacing w:line="360" w:lineRule="auto"/>
              <w:ind w:firstLine="480" w:firstLineChars="200"/>
              <w:rPr>
                <w:color w:val="auto"/>
                <w:sz w:val="24"/>
              </w:rPr>
            </w:pPr>
            <w:r>
              <w:rPr>
                <w:color w:val="auto"/>
                <w:sz w:val="24"/>
              </w:rPr>
              <w:t>评价区中</w:t>
            </w:r>
            <w:r>
              <w:rPr>
                <w:rFonts w:hint="eastAsia"/>
                <w:color w:val="auto"/>
                <w:sz w:val="24"/>
                <w:lang w:eastAsia="zh-CN"/>
              </w:rPr>
              <w:t>有</w:t>
            </w:r>
            <w:r>
              <w:rPr>
                <w:rFonts w:hint="default" w:ascii="Times New Roman" w:hAnsi="Times New Roman" w:eastAsia="宋体" w:cs="Times New Roman"/>
                <w:color w:val="auto"/>
                <w:sz w:val="24"/>
                <w:szCs w:val="24"/>
              </w:rPr>
              <w:t>易危动物</w:t>
            </w:r>
            <w:r>
              <w:rPr>
                <w:rFonts w:hint="default"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rPr>
              <w:t>种（</w:t>
            </w:r>
            <w:r>
              <w:rPr>
                <w:rFonts w:hint="default" w:ascii="Times New Roman" w:hAnsi="Times New Roman" w:eastAsia="宋体" w:cs="Times New Roman"/>
                <w:color w:val="auto"/>
                <w:kern w:val="0"/>
                <w:sz w:val="24"/>
                <w:szCs w:val="24"/>
                <w:lang w:bidi="ar"/>
              </w:rPr>
              <w:t>乌梢蛇</w:t>
            </w:r>
            <w:r>
              <w:rPr>
                <w:rFonts w:hint="default" w:ascii="Times New Roman" w:hAnsi="Times New Roman" w:eastAsia="宋体" w:cs="Times New Roman"/>
                <w:color w:val="auto"/>
                <w:sz w:val="24"/>
                <w:szCs w:val="24"/>
              </w:rPr>
              <w:t>、王锦蛇</w:t>
            </w:r>
            <w:r>
              <w:rPr>
                <w:rFonts w:hint="default" w:ascii="Times New Roman" w:hAnsi="Times New Roman" w:eastAsia="宋体" w:cs="Times New Roman"/>
                <w:color w:val="auto"/>
                <w:kern w:val="0"/>
                <w:sz w:val="24"/>
                <w:szCs w:val="24"/>
                <w:lang w:bidi="ar"/>
              </w:rPr>
              <w:t>、</w:t>
            </w:r>
            <w:r>
              <w:rPr>
                <w:rFonts w:hint="default" w:ascii="Times New Roman" w:hAnsi="Times New Roman" w:eastAsia="宋体" w:cs="Times New Roman"/>
                <w:color w:val="auto"/>
                <w:sz w:val="24"/>
                <w:szCs w:val="24"/>
              </w:rPr>
              <w:t>黑眉锦蛇</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lang w:bidi="ar"/>
              </w:rPr>
              <w:t>光雾臭蛙</w:t>
            </w:r>
            <w:r>
              <w:rPr>
                <w:rFonts w:hint="default" w:ascii="Times New Roman" w:hAnsi="Times New Roman" w:eastAsia="宋体" w:cs="Times New Roman"/>
                <w:color w:val="auto"/>
                <w:sz w:val="24"/>
                <w:szCs w:val="24"/>
              </w:rPr>
              <w:t>）；特有种共</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种</w:t>
            </w:r>
            <w:r>
              <w:rPr>
                <w:rFonts w:hint="default" w:ascii="Times New Roman" w:hAnsi="Times New Roman" w:eastAsia="宋体" w:cs="Times New Roman"/>
                <w:color w:val="auto"/>
                <w:sz w:val="24"/>
                <w:szCs w:val="24"/>
                <w:lang w:eastAsia="zh-CN"/>
              </w:rPr>
              <w:t>（蹼趾壁虎</w:t>
            </w:r>
            <w:r>
              <w:rPr>
                <w:rFonts w:hint="default" w:ascii="Times New Roman" w:hAnsi="Times New Roman" w:eastAsia="宋体" w:cs="Times New Roman"/>
                <w:color w:val="auto"/>
                <w:kern w:val="0"/>
                <w:sz w:val="24"/>
                <w:szCs w:val="24"/>
                <w:lang w:bidi="ar"/>
              </w:rPr>
              <w:t>、光雾臭蛙</w:t>
            </w:r>
            <w:r>
              <w:rPr>
                <w:rFonts w:hint="default" w:ascii="Times New Roman" w:hAnsi="Times New Roman" w:eastAsia="宋体" w:cs="Times New Roman"/>
                <w:color w:val="auto"/>
                <w:kern w:val="0"/>
                <w:sz w:val="24"/>
                <w:szCs w:val="24"/>
                <w:lang w:eastAsia="zh-CN" w:bidi="ar"/>
              </w:rPr>
              <w:t>、峨眉林蛙、南江齿蟾、红白鼯鼠</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评价范围内</w:t>
            </w:r>
            <w:r>
              <w:rPr>
                <w:rFonts w:hint="default" w:ascii="Times New Roman" w:hAnsi="Times New Roman" w:eastAsia="宋体" w:cs="Times New Roman"/>
                <w:color w:val="auto"/>
                <w:sz w:val="24"/>
                <w:szCs w:val="24"/>
                <w:lang w:eastAsia="zh-CN"/>
              </w:rPr>
              <w:t>无</w:t>
            </w:r>
            <w:r>
              <w:rPr>
                <w:rFonts w:hint="default" w:ascii="Times New Roman" w:hAnsi="Times New Roman" w:eastAsia="宋体" w:cs="Times New Roman"/>
                <w:color w:val="auto"/>
                <w:sz w:val="24"/>
                <w:szCs w:val="24"/>
              </w:rPr>
              <w:t>国家级</w:t>
            </w:r>
            <w:r>
              <w:rPr>
                <w:rFonts w:hint="default" w:ascii="Times New Roman" w:hAnsi="Times New Roman" w:eastAsia="宋体" w:cs="Times New Roman"/>
                <w:color w:val="auto"/>
                <w:sz w:val="24"/>
                <w:szCs w:val="24"/>
                <w:lang w:eastAsia="zh-CN"/>
              </w:rPr>
              <w:t>、省级</w:t>
            </w:r>
            <w:r>
              <w:rPr>
                <w:rFonts w:hint="default" w:ascii="Times New Roman" w:hAnsi="Times New Roman" w:eastAsia="宋体" w:cs="Times New Roman"/>
                <w:color w:val="auto"/>
                <w:sz w:val="24"/>
                <w:szCs w:val="24"/>
              </w:rPr>
              <w:t>保护动物</w:t>
            </w:r>
            <w:r>
              <w:rPr>
                <w:color w:val="auto"/>
                <w:sz w:val="24"/>
              </w:rPr>
              <w:t>。</w:t>
            </w:r>
          </w:p>
          <w:p w14:paraId="2416EBA8">
            <w:pPr>
              <w:spacing w:line="360" w:lineRule="auto"/>
              <w:ind w:firstLine="482" w:firstLineChars="200"/>
              <w:jc w:val="left"/>
              <w:rPr>
                <w:b/>
                <w:color w:val="auto"/>
                <w:kern w:val="0"/>
                <w:sz w:val="24"/>
                <w:lang w:bidi="ar"/>
              </w:rPr>
            </w:pPr>
            <w:r>
              <w:rPr>
                <w:b/>
                <w:color w:val="auto"/>
                <w:kern w:val="0"/>
                <w:sz w:val="24"/>
                <w:lang w:bidi="ar"/>
              </w:rPr>
              <w:t>（三）生态系统</w:t>
            </w:r>
          </w:p>
          <w:p w14:paraId="501695BC">
            <w:pPr>
              <w:spacing w:line="360" w:lineRule="auto"/>
              <w:ind w:firstLine="480" w:firstLineChars="200"/>
              <w:rPr>
                <w:color w:val="auto"/>
                <w:kern w:val="0"/>
                <w:sz w:val="24"/>
                <w:highlight w:val="none"/>
                <w:lang w:bidi="ar"/>
              </w:rPr>
            </w:pPr>
            <w:r>
              <w:rPr>
                <w:color w:val="auto"/>
                <w:sz w:val="24"/>
              </w:rPr>
              <w:t>以野外调查</w:t>
            </w:r>
            <w:r>
              <w:rPr>
                <w:color w:val="auto"/>
                <w:sz w:val="24"/>
                <w:highlight w:val="none"/>
              </w:rPr>
              <w:t>为主，综合科学考察报告和监测根据遥感解译和实地调查，评价区主要有</w:t>
            </w:r>
            <w:r>
              <w:rPr>
                <w:rFonts w:hint="eastAsia"/>
                <w:color w:val="auto"/>
                <w:sz w:val="24"/>
                <w:highlight w:val="none"/>
                <w:lang w:val="en-US" w:eastAsia="zh-CN"/>
              </w:rPr>
              <w:t>5</w:t>
            </w:r>
            <w:r>
              <w:rPr>
                <w:color w:val="auto"/>
                <w:sz w:val="24"/>
                <w:highlight w:val="none"/>
              </w:rPr>
              <w:t>种生态系统类型。</w:t>
            </w:r>
          </w:p>
          <w:p w14:paraId="01337A4B">
            <w:pPr>
              <w:spacing w:line="360" w:lineRule="auto"/>
              <w:ind w:firstLine="480" w:firstLineChars="200"/>
              <w:rPr>
                <w:color w:val="auto"/>
                <w:kern w:val="0"/>
                <w:sz w:val="24"/>
                <w:highlight w:val="none"/>
                <w:lang w:bidi="ar"/>
              </w:rPr>
            </w:pPr>
            <w:r>
              <w:rPr>
                <w:color w:val="auto"/>
                <w:sz w:val="24"/>
                <w:highlight w:val="none"/>
              </w:rPr>
              <w:t>森林生态系统面积</w:t>
            </w:r>
            <w:r>
              <w:rPr>
                <w:rFonts w:hint="eastAsia"/>
                <w:color w:val="auto"/>
                <w:sz w:val="24"/>
                <w:highlight w:val="none"/>
                <w:lang w:val="en-US" w:eastAsia="zh-CN"/>
              </w:rPr>
              <w:t>69.19</w:t>
            </w:r>
            <w:r>
              <w:rPr>
                <w:color w:val="auto"/>
                <w:sz w:val="24"/>
                <w:highlight w:val="none"/>
              </w:rPr>
              <w:t>hm</w:t>
            </w:r>
            <w:r>
              <w:rPr>
                <w:color w:val="auto"/>
                <w:sz w:val="24"/>
                <w:highlight w:val="none"/>
                <w:vertAlign w:val="superscript"/>
              </w:rPr>
              <w:t>2</w:t>
            </w:r>
            <w:r>
              <w:rPr>
                <w:color w:val="auto"/>
                <w:sz w:val="24"/>
                <w:highlight w:val="none"/>
              </w:rPr>
              <w:t>，</w:t>
            </w:r>
            <w:r>
              <w:rPr>
                <w:color w:val="auto"/>
                <w:kern w:val="0"/>
                <w:sz w:val="24"/>
                <w:highlight w:val="none"/>
                <w:lang w:bidi="ar"/>
              </w:rPr>
              <w:t>是评价区内分布面积最大的类型，</w:t>
            </w:r>
            <w:r>
              <w:rPr>
                <w:color w:val="auto"/>
                <w:sz w:val="24"/>
                <w:highlight w:val="none"/>
              </w:rPr>
              <w:t>占评价区总面积的</w:t>
            </w:r>
            <w:r>
              <w:rPr>
                <w:rFonts w:hint="eastAsia" w:cs="Times New Roman"/>
                <w:color w:val="auto"/>
                <w:sz w:val="24"/>
                <w:szCs w:val="24"/>
                <w:highlight w:val="none"/>
                <w:lang w:val="en-US" w:eastAsia="zh-CN"/>
              </w:rPr>
              <w:t>41.98</w:t>
            </w:r>
            <w:r>
              <w:rPr>
                <w:color w:val="auto"/>
                <w:sz w:val="24"/>
                <w:highlight w:val="none"/>
              </w:rPr>
              <w:t>%</w:t>
            </w:r>
            <w:r>
              <w:rPr>
                <w:rFonts w:hint="eastAsia"/>
                <w:color w:val="auto"/>
                <w:sz w:val="24"/>
                <w:highlight w:val="none"/>
              </w:rPr>
              <w:t>；</w:t>
            </w:r>
            <w:r>
              <w:rPr>
                <w:color w:val="auto"/>
                <w:sz w:val="24"/>
                <w:highlight w:val="none"/>
              </w:rPr>
              <w:t>灌丛生态系统总面积</w:t>
            </w:r>
            <w:r>
              <w:rPr>
                <w:rFonts w:hint="eastAsia" w:cs="Times New Roman"/>
                <w:color w:val="auto"/>
                <w:kern w:val="0"/>
                <w:sz w:val="24"/>
                <w:szCs w:val="24"/>
                <w:highlight w:val="none"/>
                <w:lang w:val="en-US" w:eastAsia="zh-CN" w:bidi="ar"/>
              </w:rPr>
              <w:t>18.21</w:t>
            </w:r>
            <w:r>
              <w:rPr>
                <w:color w:val="auto"/>
                <w:sz w:val="24"/>
                <w:highlight w:val="none"/>
              </w:rPr>
              <w:t>hm</w:t>
            </w:r>
            <w:r>
              <w:rPr>
                <w:color w:val="auto"/>
                <w:sz w:val="24"/>
                <w:highlight w:val="none"/>
                <w:vertAlign w:val="superscript"/>
              </w:rPr>
              <w:t>2</w:t>
            </w:r>
            <w:r>
              <w:rPr>
                <w:color w:val="auto"/>
                <w:sz w:val="24"/>
                <w:highlight w:val="none"/>
              </w:rPr>
              <w:t>，占评价区总面积的</w:t>
            </w:r>
            <w:r>
              <w:rPr>
                <w:rFonts w:hint="eastAsia"/>
                <w:color w:val="auto"/>
                <w:kern w:val="0"/>
                <w:sz w:val="24"/>
                <w:highlight w:val="none"/>
                <w:lang w:val="en-US" w:eastAsia="zh-CN" w:bidi="ar"/>
              </w:rPr>
              <w:t>11.05</w:t>
            </w:r>
            <w:r>
              <w:rPr>
                <w:color w:val="auto"/>
                <w:sz w:val="24"/>
                <w:highlight w:val="none"/>
              </w:rPr>
              <w:t>%</w:t>
            </w:r>
            <w:r>
              <w:rPr>
                <w:rFonts w:hint="eastAsia"/>
                <w:color w:val="auto"/>
                <w:sz w:val="24"/>
                <w:highlight w:val="none"/>
              </w:rPr>
              <w:t>；湿地</w:t>
            </w:r>
            <w:r>
              <w:rPr>
                <w:color w:val="auto"/>
                <w:sz w:val="24"/>
                <w:highlight w:val="none"/>
              </w:rPr>
              <w:t>生态系统面积为</w:t>
            </w:r>
            <w:r>
              <w:rPr>
                <w:rFonts w:hint="eastAsia"/>
                <w:color w:val="auto"/>
                <w:sz w:val="24"/>
                <w:szCs w:val="24"/>
                <w:highlight w:val="none"/>
                <w:lang w:val="en-US" w:eastAsia="zh-CN"/>
              </w:rPr>
              <w:t>0.72</w:t>
            </w:r>
            <w:r>
              <w:rPr>
                <w:color w:val="auto"/>
                <w:sz w:val="24"/>
                <w:highlight w:val="none"/>
              </w:rPr>
              <w:t>hm</w:t>
            </w:r>
            <w:r>
              <w:rPr>
                <w:color w:val="auto"/>
                <w:sz w:val="24"/>
                <w:highlight w:val="none"/>
                <w:vertAlign w:val="superscript"/>
              </w:rPr>
              <w:t>2</w:t>
            </w:r>
            <w:r>
              <w:rPr>
                <w:color w:val="auto"/>
                <w:sz w:val="24"/>
                <w:highlight w:val="none"/>
              </w:rPr>
              <w:t>，占评价区总面的</w:t>
            </w:r>
            <w:r>
              <w:rPr>
                <w:rFonts w:hint="eastAsia"/>
                <w:color w:val="auto"/>
                <w:sz w:val="24"/>
                <w:highlight w:val="none"/>
                <w:lang w:val="en-US" w:eastAsia="zh-CN"/>
              </w:rPr>
              <w:t>0.44</w:t>
            </w:r>
            <w:r>
              <w:rPr>
                <w:color w:val="auto"/>
                <w:sz w:val="24"/>
                <w:highlight w:val="none"/>
              </w:rPr>
              <w:t>%</w:t>
            </w:r>
            <w:r>
              <w:rPr>
                <w:rFonts w:hint="eastAsia"/>
                <w:color w:val="auto"/>
                <w:sz w:val="24"/>
                <w:highlight w:val="none"/>
              </w:rPr>
              <w:t>；农田</w:t>
            </w:r>
            <w:r>
              <w:rPr>
                <w:color w:val="auto"/>
                <w:sz w:val="24"/>
                <w:highlight w:val="none"/>
              </w:rPr>
              <w:t>生态系统面积为</w:t>
            </w:r>
            <w:r>
              <w:rPr>
                <w:rFonts w:hint="eastAsia"/>
                <w:color w:val="auto"/>
                <w:sz w:val="24"/>
                <w:szCs w:val="24"/>
                <w:highlight w:val="none"/>
                <w:lang w:val="en-US" w:eastAsia="zh-CN"/>
              </w:rPr>
              <w:t>52.86</w:t>
            </w:r>
            <w:r>
              <w:rPr>
                <w:color w:val="auto"/>
                <w:sz w:val="24"/>
                <w:highlight w:val="none"/>
              </w:rPr>
              <w:t>hm</w:t>
            </w:r>
            <w:r>
              <w:rPr>
                <w:color w:val="auto"/>
                <w:sz w:val="24"/>
                <w:highlight w:val="none"/>
                <w:vertAlign w:val="superscript"/>
              </w:rPr>
              <w:t>2</w:t>
            </w:r>
            <w:r>
              <w:rPr>
                <w:color w:val="auto"/>
                <w:sz w:val="24"/>
                <w:highlight w:val="none"/>
              </w:rPr>
              <w:t>，占评价区总面的</w:t>
            </w:r>
            <w:r>
              <w:rPr>
                <w:rFonts w:hint="eastAsia"/>
                <w:color w:val="auto"/>
                <w:sz w:val="24"/>
                <w:highlight w:val="none"/>
                <w:lang w:val="en-US" w:eastAsia="zh-CN"/>
              </w:rPr>
              <w:t>32.08</w:t>
            </w:r>
            <w:r>
              <w:rPr>
                <w:color w:val="auto"/>
                <w:sz w:val="24"/>
                <w:highlight w:val="none"/>
              </w:rPr>
              <w:t>%</w:t>
            </w:r>
            <w:r>
              <w:rPr>
                <w:rFonts w:hint="eastAsia"/>
                <w:color w:val="auto"/>
                <w:sz w:val="24"/>
                <w:highlight w:val="none"/>
              </w:rPr>
              <w:t>；</w:t>
            </w:r>
            <w:r>
              <w:rPr>
                <w:color w:val="auto"/>
                <w:sz w:val="24"/>
                <w:highlight w:val="none"/>
              </w:rPr>
              <w:t>城镇生态系统面积为</w:t>
            </w:r>
            <w:r>
              <w:rPr>
                <w:rFonts w:hint="eastAsia" w:cs="Times New Roman"/>
                <w:color w:val="auto"/>
                <w:sz w:val="24"/>
                <w:szCs w:val="24"/>
                <w:highlight w:val="none"/>
                <w:lang w:val="en-US" w:eastAsia="zh-CN"/>
              </w:rPr>
              <w:t>23.81</w:t>
            </w:r>
            <w:r>
              <w:rPr>
                <w:color w:val="auto"/>
                <w:sz w:val="24"/>
                <w:highlight w:val="none"/>
              </w:rPr>
              <w:t>hm</w:t>
            </w:r>
            <w:r>
              <w:rPr>
                <w:color w:val="auto"/>
                <w:sz w:val="24"/>
                <w:highlight w:val="none"/>
                <w:vertAlign w:val="superscript"/>
              </w:rPr>
              <w:t>2</w:t>
            </w:r>
            <w:r>
              <w:rPr>
                <w:color w:val="auto"/>
                <w:sz w:val="24"/>
                <w:highlight w:val="none"/>
              </w:rPr>
              <w:t>，占评价区总面的</w:t>
            </w:r>
            <w:r>
              <w:rPr>
                <w:rFonts w:hint="eastAsia"/>
                <w:color w:val="auto"/>
                <w:sz w:val="24"/>
                <w:highlight w:val="none"/>
                <w:lang w:val="en-US" w:eastAsia="zh-CN"/>
              </w:rPr>
              <w:t>14.45</w:t>
            </w:r>
            <w:r>
              <w:rPr>
                <w:color w:val="auto"/>
                <w:sz w:val="24"/>
                <w:highlight w:val="none"/>
              </w:rPr>
              <w:t>%</w:t>
            </w:r>
            <w:r>
              <w:rPr>
                <w:rFonts w:hint="eastAsia"/>
                <w:color w:val="auto"/>
                <w:sz w:val="24"/>
                <w:highlight w:val="none"/>
              </w:rPr>
              <w:t>。</w:t>
            </w:r>
          </w:p>
          <w:p w14:paraId="238A0577">
            <w:pPr>
              <w:spacing w:line="360" w:lineRule="auto"/>
              <w:ind w:firstLine="482" w:firstLineChars="200"/>
              <w:jc w:val="left"/>
              <w:rPr>
                <w:b/>
                <w:bCs/>
                <w:color w:val="auto"/>
                <w:kern w:val="0"/>
                <w:sz w:val="24"/>
                <w:lang w:bidi="ar"/>
              </w:rPr>
            </w:pPr>
            <w:r>
              <w:rPr>
                <w:rFonts w:hint="eastAsia"/>
                <w:b/>
                <w:bCs/>
                <w:color w:val="auto"/>
                <w:kern w:val="0"/>
                <w:sz w:val="24"/>
                <w:lang w:bidi="ar"/>
              </w:rPr>
              <w:t>（四）区域地质情况</w:t>
            </w:r>
          </w:p>
          <w:p w14:paraId="71478D1B">
            <w:pPr>
              <w:spacing w:line="360" w:lineRule="auto"/>
              <w:ind w:firstLine="480" w:firstLineChars="200"/>
              <w:jc w:val="left"/>
              <w:rPr>
                <w:rFonts w:hint="default" w:ascii="Times New Roman" w:hAnsi="Times New Roman" w:cs="Times New Roman"/>
                <w:color w:val="auto"/>
                <w:sz w:val="24"/>
              </w:rPr>
            </w:pPr>
            <w:r>
              <w:rPr>
                <w:rFonts w:hint="eastAsia" w:ascii="宋体" w:hAnsi="宋体"/>
                <w:color w:val="auto"/>
                <w:sz w:val="24"/>
              </w:rPr>
              <w:t>项目场地地</w:t>
            </w:r>
            <w:r>
              <w:rPr>
                <w:rFonts w:hint="default" w:ascii="Times New Roman" w:hAnsi="Times New Roman" w:cs="Times New Roman"/>
                <w:color w:val="auto"/>
                <w:sz w:val="24"/>
              </w:rPr>
              <w:t>层结构较简单，连续性较差，上覆第四系土层为粉砂（Q</w:t>
            </w:r>
            <w:r>
              <w:rPr>
                <w:rFonts w:hint="default" w:ascii="Times New Roman" w:hAnsi="Times New Roman" w:cs="Times New Roman"/>
                <w:color w:val="auto"/>
                <w:sz w:val="24"/>
                <w:vertAlign w:val="subscript"/>
              </w:rPr>
              <w:t>4</w:t>
            </w:r>
            <w:r>
              <w:rPr>
                <w:rFonts w:hint="default" w:ascii="Times New Roman" w:hAnsi="Times New Roman" w:cs="Times New Roman"/>
                <w:color w:val="auto"/>
                <w:sz w:val="24"/>
                <w:vertAlign w:val="superscript"/>
              </w:rPr>
              <w:t>pl</w:t>
            </w:r>
            <w:r>
              <w:rPr>
                <w:rFonts w:hint="default" w:ascii="Times New Roman" w:hAnsi="Times New Roman" w:cs="Times New Roman"/>
                <w:color w:val="auto"/>
                <w:sz w:val="24"/>
              </w:rPr>
              <w:t>）、粉质粘土（Q</w:t>
            </w:r>
            <w:r>
              <w:rPr>
                <w:rFonts w:hint="default" w:ascii="Times New Roman" w:hAnsi="Times New Roman" w:cs="Times New Roman"/>
                <w:color w:val="auto"/>
                <w:sz w:val="24"/>
                <w:vertAlign w:val="subscript"/>
              </w:rPr>
              <w:t>4</w:t>
            </w:r>
            <w:r>
              <w:rPr>
                <w:rFonts w:hint="default" w:ascii="Times New Roman" w:hAnsi="Times New Roman" w:cs="Times New Roman"/>
                <w:color w:val="auto"/>
                <w:sz w:val="24"/>
                <w:vertAlign w:val="superscript"/>
              </w:rPr>
              <w:t>dl</w:t>
            </w:r>
            <w:r>
              <w:rPr>
                <w:rFonts w:hint="default" w:ascii="Times New Roman" w:hAnsi="Times New Roman" w:cs="Times New Roman"/>
                <w:color w:val="auto"/>
                <w:sz w:val="24"/>
              </w:rPr>
              <w:t>）和卵石（Q</w:t>
            </w:r>
            <w:r>
              <w:rPr>
                <w:rFonts w:hint="default" w:ascii="Times New Roman" w:hAnsi="Times New Roman" w:cs="Times New Roman"/>
                <w:color w:val="auto"/>
                <w:sz w:val="24"/>
                <w:vertAlign w:val="subscript"/>
              </w:rPr>
              <w:t>4</w:t>
            </w:r>
            <w:r>
              <w:rPr>
                <w:rFonts w:hint="default" w:ascii="Times New Roman" w:hAnsi="Times New Roman" w:cs="Times New Roman"/>
                <w:color w:val="auto"/>
                <w:sz w:val="24"/>
                <w:vertAlign w:val="superscript"/>
              </w:rPr>
              <w:t>pl</w:t>
            </w:r>
            <w:r>
              <w:rPr>
                <w:rFonts w:hint="default" w:ascii="Times New Roman" w:hAnsi="Times New Roman" w:cs="Times New Roman"/>
                <w:color w:val="auto"/>
                <w:sz w:val="24"/>
              </w:rPr>
              <w:t>），下伏上元古代震旦纪（PT2）的混合岩组成，现自上而下分述于后：</w:t>
            </w:r>
          </w:p>
          <w:p w14:paraId="56E849DD">
            <w:pPr>
              <w:adjustRightInd w:val="0"/>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⑴第四系</w:t>
            </w:r>
            <w:r>
              <w:rPr>
                <w:rFonts w:hint="default" w:ascii="Times New Roman" w:hAnsi="Times New Roman" w:cs="Times New Roman"/>
                <w:color w:val="auto"/>
                <w:spacing w:val="-16"/>
                <w:sz w:val="24"/>
              </w:rPr>
              <w:t>（</w:t>
            </w:r>
            <w:r>
              <w:rPr>
                <w:rFonts w:hint="default" w:ascii="Times New Roman" w:hAnsi="Times New Roman" w:cs="Times New Roman"/>
                <w:color w:val="auto"/>
                <w:sz w:val="24"/>
              </w:rPr>
              <w:t>Q</w:t>
            </w:r>
            <w:r>
              <w:rPr>
                <w:rFonts w:hint="default" w:ascii="Times New Roman" w:hAnsi="Times New Roman" w:cs="Times New Roman"/>
                <w:color w:val="auto"/>
                <w:sz w:val="24"/>
                <w:vertAlign w:val="subscript"/>
              </w:rPr>
              <w:t>4</w:t>
            </w:r>
            <w:r>
              <w:rPr>
                <w:rFonts w:hint="default" w:ascii="Times New Roman" w:hAnsi="Times New Roman" w:cs="Times New Roman"/>
                <w:color w:val="auto"/>
                <w:spacing w:val="-16"/>
                <w:sz w:val="24"/>
              </w:rPr>
              <w:t>）</w:t>
            </w:r>
          </w:p>
          <w:p w14:paraId="0CE4B482">
            <w:pPr>
              <w:adjustRightInd w:val="0"/>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①粉砂（Q</w:t>
            </w:r>
            <w:r>
              <w:rPr>
                <w:rFonts w:hint="default" w:ascii="Times New Roman" w:hAnsi="Times New Roman" w:cs="Times New Roman"/>
                <w:color w:val="auto"/>
                <w:sz w:val="24"/>
                <w:vertAlign w:val="subscript"/>
              </w:rPr>
              <w:t>4</w:t>
            </w:r>
            <w:r>
              <w:rPr>
                <w:rFonts w:hint="default" w:ascii="Times New Roman" w:hAnsi="Times New Roman" w:cs="Times New Roman"/>
                <w:color w:val="auto"/>
                <w:sz w:val="24"/>
                <w:vertAlign w:val="superscript"/>
              </w:rPr>
              <w:t>pl</w:t>
            </w:r>
            <w:r>
              <w:rPr>
                <w:rFonts w:hint="default" w:ascii="Times New Roman" w:hAnsi="Times New Roman" w:cs="Times New Roman"/>
                <w:color w:val="auto"/>
                <w:sz w:val="24"/>
              </w:rPr>
              <w:t>）：黄褐色，稍湿，松散状，主要由长石、石英颗粒组成，次为粘粒、粉粒，含云母片及少量卵石颗粒，局部含少量细砂，属河流冲积成因。该层在勘察范围内普遍分布，层厚0.50～3.80m，层底标高806.84～828.14m。</w:t>
            </w:r>
          </w:p>
          <w:p w14:paraId="6CF0CE16">
            <w:pPr>
              <w:adjustRightInd w:val="0"/>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②粉质粘土（Q</w:t>
            </w:r>
            <w:r>
              <w:rPr>
                <w:rFonts w:hint="default" w:ascii="Times New Roman" w:hAnsi="Times New Roman" w:cs="Times New Roman"/>
                <w:color w:val="auto"/>
                <w:sz w:val="24"/>
                <w:vertAlign w:val="subscript"/>
              </w:rPr>
              <w:t>4</w:t>
            </w:r>
            <w:r>
              <w:rPr>
                <w:rFonts w:hint="default" w:ascii="Times New Roman" w:hAnsi="Times New Roman" w:cs="Times New Roman"/>
                <w:color w:val="auto"/>
                <w:sz w:val="24"/>
                <w:vertAlign w:val="superscript"/>
              </w:rPr>
              <w:t>pl</w:t>
            </w:r>
            <w:r>
              <w:rPr>
                <w:rFonts w:hint="default" w:ascii="Times New Roman" w:hAnsi="Times New Roman" w:cs="Times New Roman"/>
                <w:color w:val="auto"/>
                <w:sz w:val="24"/>
              </w:rPr>
              <w:t>）：黄褐色，稍湿，呈可塑状态，主要由粘粒组成，含铁核包含物，切面光滑，摇振反应无，干强度较高，韧性较好，属冲积成因。该层在勘察场地内普遍分布（仅部分地段缺失），层厚0.50～4.50m，层底标高811.96～825.44m。</w:t>
            </w:r>
          </w:p>
          <w:p w14:paraId="4ABBE5A9">
            <w:pPr>
              <w:adjustRightInd w:val="0"/>
              <w:snapToGrid w:val="0"/>
              <w:spacing w:line="360" w:lineRule="auto"/>
              <w:ind w:firstLine="480" w:firstLineChars="200"/>
              <w:rPr>
                <w:rFonts w:hint="default" w:ascii="Times New Roman" w:hAnsi="Times New Roman" w:cs="Times New Roman"/>
                <w:color w:val="auto"/>
                <w:sz w:val="24"/>
                <w:vertAlign w:val="subscript"/>
              </w:rPr>
            </w:pPr>
            <w:r>
              <w:rPr>
                <w:rFonts w:hint="default" w:ascii="Times New Roman" w:hAnsi="Times New Roman" w:cs="Times New Roman"/>
                <w:color w:val="auto"/>
                <w:sz w:val="24"/>
              </w:rPr>
              <w:t>③</w:t>
            </w:r>
            <w:r>
              <w:rPr>
                <w:rFonts w:hint="default" w:ascii="Times New Roman" w:hAnsi="Times New Roman" w:cs="Times New Roman"/>
                <w:color w:val="auto"/>
                <w:sz w:val="24"/>
                <w:vertAlign w:val="subscript"/>
              </w:rPr>
              <w:t>1</w:t>
            </w:r>
            <w:r>
              <w:rPr>
                <w:rFonts w:hint="default" w:ascii="Times New Roman" w:hAnsi="Times New Roman" w:cs="Times New Roman"/>
                <w:color w:val="auto"/>
                <w:sz w:val="24"/>
              </w:rPr>
              <w:t>稍密漂卵石（Q</w:t>
            </w:r>
            <w:r>
              <w:rPr>
                <w:rFonts w:hint="default" w:ascii="Times New Roman" w:hAnsi="Times New Roman" w:cs="Times New Roman"/>
                <w:color w:val="auto"/>
                <w:sz w:val="24"/>
                <w:vertAlign w:val="subscript"/>
              </w:rPr>
              <w:t>4</w:t>
            </w:r>
            <w:r>
              <w:rPr>
                <w:rFonts w:hint="default" w:ascii="Times New Roman" w:hAnsi="Times New Roman" w:cs="Times New Roman"/>
                <w:color w:val="auto"/>
                <w:sz w:val="24"/>
                <w:vertAlign w:val="superscript"/>
              </w:rPr>
              <w:t>pl</w:t>
            </w:r>
            <w:r>
              <w:rPr>
                <w:rFonts w:hint="default" w:ascii="Times New Roman" w:hAnsi="Times New Roman" w:cs="Times New Roman"/>
                <w:color w:val="auto"/>
                <w:sz w:val="24"/>
              </w:rPr>
              <w:t>）：灰褐色，稍密，稍湿～湿，该层在勘察场地内普遍分布，卵石含量35～50%，N</w:t>
            </w:r>
            <w:r>
              <w:rPr>
                <w:rFonts w:hint="default" w:ascii="Times New Roman" w:hAnsi="Times New Roman" w:cs="Times New Roman"/>
                <w:color w:val="auto"/>
                <w:sz w:val="24"/>
                <w:vertAlign w:val="subscript"/>
              </w:rPr>
              <w:t>120</w:t>
            </w:r>
            <w:r>
              <w:rPr>
                <w:rFonts w:hint="default" w:ascii="Times New Roman" w:hAnsi="Times New Roman" w:cs="Times New Roman"/>
                <w:color w:val="auto"/>
                <w:sz w:val="24"/>
              </w:rPr>
              <w:t>触探击数3＜N</w:t>
            </w:r>
            <w:r>
              <w:rPr>
                <w:rFonts w:hint="default" w:ascii="Times New Roman" w:hAnsi="Times New Roman" w:cs="Times New Roman"/>
                <w:color w:val="auto"/>
                <w:sz w:val="24"/>
                <w:vertAlign w:val="subscript"/>
              </w:rPr>
              <w:t>120</w:t>
            </w:r>
            <w:r>
              <w:rPr>
                <w:rFonts w:hint="default" w:ascii="Times New Roman" w:hAnsi="Times New Roman" w:cs="Times New Roman"/>
                <w:color w:val="auto"/>
                <w:sz w:val="24"/>
              </w:rPr>
              <w:t>≤6，粒径30mm～60mm、存在较大直径的漂石，漂石最大直径可达1.5m，母岩主要由花岗岩和变质砾岩组成，母岩主要呈中风化状态，填充物主要为粉土、粉砂，卵石胶结一般，级配较差，分选性差，呈亚圆～圆状，属河流冲积成因，层厚层厚1.10～3.90m，层底标高808.89～822.84m。</w:t>
            </w:r>
          </w:p>
          <w:p w14:paraId="0366D3E8">
            <w:pPr>
              <w:adjustRightInd w:val="0"/>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③</w:t>
            </w:r>
            <w:r>
              <w:rPr>
                <w:rFonts w:hint="default" w:ascii="Times New Roman" w:hAnsi="Times New Roman" w:cs="Times New Roman"/>
                <w:color w:val="auto"/>
                <w:sz w:val="24"/>
                <w:vertAlign w:val="subscript"/>
              </w:rPr>
              <w:t>2</w:t>
            </w:r>
            <w:r>
              <w:rPr>
                <w:rFonts w:hint="default" w:ascii="Times New Roman" w:hAnsi="Times New Roman" w:cs="Times New Roman"/>
                <w:color w:val="auto"/>
                <w:sz w:val="24"/>
              </w:rPr>
              <w:t>中密漂卵石（Q</w:t>
            </w:r>
            <w:r>
              <w:rPr>
                <w:rFonts w:hint="default" w:ascii="Times New Roman" w:hAnsi="Times New Roman" w:cs="Times New Roman"/>
                <w:color w:val="auto"/>
                <w:sz w:val="24"/>
                <w:vertAlign w:val="subscript"/>
              </w:rPr>
              <w:t>4</w:t>
            </w:r>
            <w:r>
              <w:rPr>
                <w:rFonts w:hint="default" w:ascii="Times New Roman" w:hAnsi="Times New Roman" w:cs="Times New Roman"/>
                <w:color w:val="auto"/>
                <w:sz w:val="24"/>
                <w:vertAlign w:val="superscript"/>
              </w:rPr>
              <w:t>pl</w:t>
            </w:r>
            <w:r>
              <w:rPr>
                <w:rFonts w:hint="default" w:ascii="Times New Roman" w:hAnsi="Times New Roman" w:cs="Times New Roman"/>
                <w:color w:val="auto"/>
                <w:sz w:val="24"/>
              </w:rPr>
              <w:t>）：灰褐色，稍密，稍湿～湿，该层在勘察场地内普遍分布，卵石含量55～60%，N</w:t>
            </w:r>
            <w:r>
              <w:rPr>
                <w:rFonts w:hint="default" w:ascii="Times New Roman" w:hAnsi="Times New Roman" w:cs="Times New Roman"/>
                <w:color w:val="auto"/>
                <w:sz w:val="24"/>
                <w:vertAlign w:val="subscript"/>
              </w:rPr>
              <w:t>120</w:t>
            </w:r>
            <w:r>
              <w:rPr>
                <w:rFonts w:hint="default" w:ascii="Times New Roman" w:hAnsi="Times New Roman" w:cs="Times New Roman"/>
                <w:color w:val="auto"/>
                <w:sz w:val="24"/>
              </w:rPr>
              <w:t>触探击数6＜N</w:t>
            </w:r>
            <w:r>
              <w:rPr>
                <w:rFonts w:hint="default" w:ascii="Times New Roman" w:hAnsi="Times New Roman" w:cs="Times New Roman"/>
                <w:color w:val="auto"/>
                <w:sz w:val="24"/>
                <w:vertAlign w:val="subscript"/>
              </w:rPr>
              <w:t>120</w:t>
            </w:r>
            <w:r>
              <w:rPr>
                <w:rFonts w:hint="default" w:ascii="Times New Roman" w:hAnsi="Times New Roman" w:cs="Times New Roman"/>
                <w:color w:val="auto"/>
                <w:sz w:val="24"/>
              </w:rPr>
              <w:t>≤11，粒径30mm～60mm、存在较大直径的漂石，漂石最大直径可达1.5m，母岩主要由花岗岩和变质砾岩组成，母岩主要呈中风化状态，填充物主要为粉土、粉砂，卵石胶结一般，级配较差，分选性差，呈亚圆～圆状，属河流冲积成因，层厚1.80～9.30m，层底标高801.08～818.84m。</w:t>
            </w:r>
          </w:p>
          <w:p w14:paraId="636556A2">
            <w:pPr>
              <w:adjustRightInd w:val="0"/>
              <w:snapToGrid w:val="0"/>
              <w:spacing w:line="360" w:lineRule="auto"/>
              <w:ind w:firstLine="416" w:firstLineChars="200"/>
              <w:rPr>
                <w:rFonts w:hint="default" w:ascii="Times New Roman" w:hAnsi="Times New Roman" w:cs="Times New Roman"/>
                <w:color w:val="auto"/>
                <w:sz w:val="24"/>
              </w:rPr>
            </w:pPr>
            <w:r>
              <w:rPr>
                <w:rFonts w:hint="default" w:ascii="Times New Roman" w:hAnsi="Times New Roman" w:cs="Times New Roman"/>
                <w:color w:val="auto"/>
                <w:spacing w:val="-16"/>
                <w:sz w:val="24"/>
              </w:rPr>
              <w:t>⑵中</w:t>
            </w:r>
            <w:r>
              <w:rPr>
                <w:rFonts w:hint="default" w:ascii="Times New Roman" w:hAnsi="Times New Roman" w:cs="Times New Roman"/>
                <w:color w:val="auto"/>
                <w:sz w:val="24"/>
              </w:rPr>
              <w:t>元古代震旦纪（PT2）</w:t>
            </w:r>
          </w:p>
          <w:p w14:paraId="35DC2CCC">
            <w:pPr>
              <w:adjustRightInd w:val="0"/>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④强风化混合岩（PT2）：岩体呈强风化状态，黑褐色～灰白色（颜色杂乱），主要由斜长角闪岩、花岗岩、灰岩及变质砾岩等混合岩化组成，主要矿物成份为花岗岩、角闪石、灰岩、变粒岩等原生矿物。强风化岩体破碎，局部用镐可挖，干钻不易钻进，岩芯多呈碎块状、短柱状，局部存在较大块石及溶洞，岩芯采取率69～78％，该层在勘察场地内普遍分布，岩层厚度较厚，本次勘察厚度达14.6m，依据拟建建筑物特征已经满足规范和设计要求，因此本次勘察未揭穿混合岩强风化层，未进入混合岩中风化层。坚硬程度分类为极软岩，岩体完整程度分类为破碎，岩体基本质量等级分类为Ⅴ类。</w:t>
            </w:r>
          </w:p>
          <w:p w14:paraId="45DC532D">
            <w:pPr>
              <w:spacing w:line="360" w:lineRule="auto"/>
              <w:ind w:firstLine="482" w:firstLineChars="200"/>
              <w:jc w:val="left"/>
              <w:rPr>
                <w:rFonts w:hint="default" w:ascii="Times New Roman" w:hAnsi="Times New Roman" w:cs="Times New Roman"/>
                <w:b/>
                <w:bCs/>
                <w:color w:val="auto"/>
                <w:kern w:val="0"/>
                <w:sz w:val="24"/>
                <w:lang w:bidi="ar"/>
              </w:rPr>
            </w:pPr>
            <w:r>
              <w:rPr>
                <w:rFonts w:hint="default" w:ascii="Times New Roman" w:hAnsi="Times New Roman" w:cs="Times New Roman"/>
                <w:b/>
                <w:bCs/>
                <w:color w:val="auto"/>
                <w:kern w:val="0"/>
                <w:sz w:val="24"/>
                <w:lang w:bidi="ar"/>
              </w:rPr>
              <w:t>三、区域环境质量现状</w:t>
            </w:r>
          </w:p>
          <w:p w14:paraId="05052BEC">
            <w:pPr>
              <w:spacing w:line="360" w:lineRule="auto"/>
              <w:ind w:firstLine="480" w:firstLineChars="200"/>
              <w:jc w:val="left"/>
              <w:rPr>
                <w:color w:val="auto"/>
                <w:kern w:val="0"/>
                <w:sz w:val="24"/>
                <w:highlight w:val="none"/>
                <w:lang w:bidi="ar"/>
              </w:rPr>
            </w:pPr>
            <w:r>
              <w:rPr>
                <w:rFonts w:hint="default" w:ascii="Times New Roman" w:hAnsi="Times New Roman" w:cs="Times New Roman"/>
                <w:color w:val="auto"/>
                <w:kern w:val="0"/>
                <w:sz w:val="24"/>
                <w:highlight w:val="none"/>
                <w:lang w:bidi="ar"/>
              </w:rPr>
              <w:t>根据《建设项目环境影响报告表编制技术指南》（生态影响类）（试行）：不开展专项评价的环境要素，引用与项目距离近的有效数据和调查资料，包括符合时限要求的规划环境影响评价监</w:t>
            </w:r>
            <w:r>
              <w:rPr>
                <w:color w:val="auto"/>
                <w:kern w:val="0"/>
                <w:sz w:val="24"/>
                <w:highlight w:val="none"/>
                <w:lang w:bidi="ar"/>
              </w:rPr>
              <w:t>测数据和调查资料，国家、地方环境质量监测网数据或生态环境主管部门公开发布的生态环境质量数据等；无相关数据的，大气、固定声源环境质量现状监测参照《建设项目环境影响报告表编制技术指南（污染影响类）》（试行）相关规定开展补充监测，水、生态、土壤等其他环境要素参照环境影响评价相关技术导则开展补充监测和调查。</w:t>
            </w:r>
          </w:p>
          <w:p w14:paraId="2AEF786B">
            <w:pPr>
              <w:spacing w:line="360" w:lineRule="auto"/>
              <w:ind w:firstLine="482" w:firstLineChars="200"/>
              <w:jc w:val="left"/>
              <w:rPr>
                <w:b/>
                <w:bCs/>
                <w:color w:val="auto"/>
                <w:kern w:val="0"/>
                <w:sz w:val="24"/>
                <w:lang w:bidi="ar"/>
              </w:rPr>
            </w:pPr>
            <w:r>
              <w:rPr>
                <w:b/>
                <w:bCs/>
                <w:color w:val="auto"/>
                <w:kern w:val="0"/>
                <w:sz w:val="24"/>
                <w:lang w:bidi="ar"/>
              </w:rPr>
              <w:t>（一）大气环境质量现状</w:t>
            </w:r>
          </w:p>
          <w:p w14:paraId="65356B31">
            <w:pPr>
              <w:adjustRightInd w:val="0"/>
              <w:spacing w:line="360" w:lineRule="auto"/>
              <w:ind w:firstLine="480" w:firstLineChars="200"/>
              <w:rPr>
                <w:color w:val="auto"/>
                <w:sz w:val="24"/>
                <w:highlight w:val="none"/>
              </w:rPr>
            </w:pPr>
            <w:r>
              <w:rPr>
                <w:color w:val="auto"/>
                <w:sz w:val="24"/>
                <w:highlight w:val="none"/>
              </w:rPr>
              <w:t>为了解项目所在区域环境空气</w:t>
            </w:r>
            <w:r>
              <w:rPr>
                <w:rFonts w:hint="eastAsia"/>
                <w:color w:val="auto"/>
                <w:sz w:val="24"/>
                <w:highlight w:val="none"/>
              </w:rPr>
              <w:t>质量</w:t>
            </w:r>
            <w:r>
              <w:rPr>
                <w:color w:val="auto"/>
                <w:sz w:val="24"/>
                <w:highlight w:val="none"/>
              </w:rPr>
              <w:t>，本项目采用了巴中市南江生态环境局公布的《南江县二0二</w:t>
            </w:r>
            <w:r>
              <w:rPr>
                <w:rFonts w:hint="eastAsia"/>
                <w:color w:val="auto"/>
                <w:sz w:val="24"/>
                <w:highlight w:val="none"/>
                <w:lang w:eastAsia="zh-CN"/>
              </w:rPr>
              <w:t>五</w:t>
            </w:r>
            <w:r>
              <w:rPr>
                <w:color w:val="auto"/>
                <w:sz w:val="24"/>
                <w:highlight w:val="none"/>
              </w:rPr>
              <w:t>年环境质量公告》</w:t>
            </w:r>
            <w:r>
              <w:rPr>
                <w:rFonts w:hint="eastAsia"/>
                <w:color w:val="auto"/>
                <w:sz w:val="24"/>
                <w:highlight w:val="none"/>
              </w:rPr>
              <w:t>（https://www.scnj.gov.cn/ztzl/jczwgkzl/gkly/sthj/ggfwsx/sthjzlxxfb/14047123.html），</w:t>
            </w:r>
            <w:r>
              <w:rPr>
                <w:color w:val="auto"/>
                <w:sz w:val="24"/>
                <w:highlight w:val="none"/>
              </w:rPr>
              <w:t>作为空气质量达标区的判定依据。</w:t>
            </w:r>
          </w:p>
          <w:p w14:paraId="0576BB85">
            <w:pPr>
              <w:pStyle w:val="44"/>
              <w:spacing w:line="360" w:lineRule="auto"/>
              <w:ind w:firstLineChars="200"/>
              <w:rPr>
                <w:rFonts w:hint="eastAsia" w:eastAsia="宋体"/>
                <w:bCs/>
                <w:color w:val="auto"/>
                <w:sz w:val="24"/>
                <w:highlight w:val="none"/>
              </w:rPr>
            </w:pPr>
            <w:r>
              <w:rPr>
                <w:rFonts w:hint="eastAsia" w:eastAsia="宋体"/>
                <w:bCs/>
                <w:color w:val="auto"/>
                <w:sz w:val="24"/>
                <w:highlight w:val="none"/>
              </w:rPr>
              <w:t>2025年1～12月份，巴中市南江生态环境监测站利用空气自动监测系统对南江县县城建城区空气质量状况进行了监测。评价结果为：</w:t>
            </w:r>
          </w:p>
          <w:p w14:paraId="10F797EA">
            <w:pPr>
              <w:pStyle w:val="44"/>
              <w:spacing w:line="360" w:lineRule="auto"/>
              <w:ind w:firstLineChars="200"/>
              <w:rPr>
                <w:rFonts w:hint="eastAsia" w:eastAsia="宋体"/>
                <w:bCs/>
                <w:color w:val="auto"/>
                <w:sz w:val="24"/>
                <w:highlight w:val="none"/>
              </w:rPr>
            </w:pPr>
            <w:r>
              <w:rPr>
                <w:rFonts w:hint="eastAsia" w:eastAsia="宋体"/>
                <w:bCs/>
                <w:color w:val="auto"/>
                <w:sz w:val="24"/>
                <w:highlight w:val="none"/>
              </w:rPr>
              <w:t>南江县县城建城区总体空气质量状况为Ⅱ级，良；污染指数为55，首要污染物为细颗粒物（PM</w:t>
            </w:r>
            <w:r>
              <w:rPr>
                <w:rFonts w:hint="eastAsia" w:eastAsia="宋体"/>
                <w:bCs/>
                <w:color w:val="auto"/>
                <w:sz w:val="24"/>
                <w:highlight w:val="none"/>
                <w:vertAlign w:val="subscript"/>
              </w:rPr>
              <w:t>2.5</w:t>
            </w:r>
            <w:r>
              <w:rPr>
                <w:rFonts w:hint="eastAsia" w:eastAsia="宋体"/>
                <w:bCs/>
                <w:color w:val="auto"/>
                <w:sz w:val="24"/>
                <w:highlight w:val="none"/>
              </w:rPr>
              <w:t>）、可吸入颗粒物（PM</w:t>
            </w:r>
            <w:r>
              <w:rPr>
                <w:rFonts w:hint="eastAsia" w:eastAsia="宋体"/>
                <w:bCs/>
                <w:color w:val="auto"/>
                <w:sz w:val="24"/>
                <w:highlight w:val="none"/>
                <w:vertAlign w:val="subscript"/>
              </w:rPr>
              <w:t>10</w:t>
            </w:r>
            <w:r>
              <w:rPr>
                <w:rFonts w:hint="eastAsia" w:eastAsia="宋体"/>
                <w:bCs/>
                <w:color w:val="auto"/>
                <w:sz w:val="24"/>
                <w:highlight w:val="none"/>
              </w:rPr>
              <w:t>）和臭氧（O</w:t>
            </w:r>
            <w:r>
              <w:rPr>
                <w:rFonts w:hint="eastAsia" w:eastAsia="宋体"/>
                <w:bCs/>
                <w:color w:val="auto"/>
                <w:sz w:val="24"/>
                <w:highlight w:val="none"/>
                <w:vertAlign w:val="subscript"/>
              </w:rPr>
              <w:t>3</w:t>
            </w:r>
            <w:r>
              <w:rPr>
                <w:rFonts w:hint="eastAsia" w:eastAsia="宋体"/>
                <w:bCs/>
                <w:color w:val="auto"/>
                <w:sz w:val="24"/>
                <w:highlight w:val="none"/>
              </w:rPr>
              <w:t>）。</w:t>
            </w:r>
          </w:p>
          <w:p w14:paraId="721B4C2A">
            <w:pPr>
              <w:pStyle w:val="44"/>
              <w:spacing w:line="360" w:lineRule="auto"/>
              <w:ind w:firstLineChars="200"/>
              <w:rPr>
                <w:rFonts w:hint="eastAsia" w:eastAsia="宋体"/>
                <w:bCs/>
                <w:color w:val="auto"/>
                <w:sz w:val="24"/>
                <w:highlight w:val="none"/>
              </w:rPr>
            </w:pPr>
            <w:r>
              <w:rPr>
                <w:rFonts w:hint="eastAsia" w:eastAsia="宋体"/>
                <w:bCs/>
                <w:color w:val="auto"/>
                <w:sz w:val="24"/>
                <w:highlight w:val="none"/>
              </w:rPr>
              <w:t>环境空气中细颗粒物（PM</w:t>
            </w:r>
            <w:r>
              <w:rPr>
                <w:rFonts w:hint="eastAsia" w:eastAsia="宋体"/>
                <w:bCs/>
                <w:color w:val="auto"/>
                <w:sz w:val="24"/>
                <w:highlight w:val="none"/>
                <w:vertAlign w:val="subscript"/>
              </w:rPr>
              <w:t>2.5</w:t>
            </w:r>
            <w:r>
              <w:rPr>
                <w:rFonts w:hint="eastAsia" w:eastAsia="宋体"/>
                <w:bCs/>
                <w:color w:val="auto"/>
                <w:sz w:val="24"/>
                <w:highlight w:val="none"/>
              </w:rPr>
              <w:t>）平均浓度23.0微克/立方米，同比下降7.6%；可吸入颗粒物（PM</w:t>
            </w:r>
            <w:r>
              <w:rPr>
                <w:rFonts w:hint="eastAsia" w:eastAsia="宋体"/>
                <w:bCs/>
                <w:color w:val="auto"/>
                <w:sz w:val="24"/>
                <w:highlight w:val="none"/>
                <w:vertAlign w:val="subscript"/>
              </w:rPr>
              <w:t>10</w:t>
            </w:r>
            <w:r>
              <w:rPr>
                <w:rFonts w:hint="eastAsia" w:eastAsia="宋体"/>
                <w:bCs/>
                <w:color w:val="auto"/>
                <w:sz w:val="24"/>
                <w:highlight w:val="none"/>
              </w:rPr>
              <w:t>）平均浓度43.4微克/立方米，同比下降12.5%；二氧化硫（SO</w:t>
            </w:r>
            <w:r>
              <w:rPr>
                <w:rFonts w:hint="eastAsia" w:eastAsia="宋体"/>
                <w:bCs/>
                <w:color w:val="auto"/>
                <w:sz w:val="24"/>
                <w:highlight w:val="none"/>
                <w:vertAlign w:val="subscript"/>
              </w:rPr>
              <w:t>2</w:t>
            </w:r>
            <w:r>
              <w:rPr>
                <w:rFonts w:hint="eastAsia" w:eastAsia="宋体"/>
                <w:bCs/>
                <w:color w:val="auto"/>
                <w:sz w:val="24"/>
                <w:highlight w:val="none"/>
              </w:rPr>
              <w:t>）5.9微克/立方米，同比上升25.5%；一氧化碳（CO）1.2毫克/立方米，同比无变化；臭氧（O</w:t>
            </w:r>
            <w:r>
              <w:rPr>
                <w:rFonts w:hint="eastAsia" w:eastAsia="宋体"/>
                <w:bCs/>
                <w:color w:val="auto"/>
                <w:sz w:val="24"/>
                <w:highlight w:val="none"/>
                <w:vertAlign w:val="subscript"/>
              </w:rPr>
              <w:t>3</w:t>
            </w:r>
            <w:r>
              <w:rPr>
                <w:rFonts w:hint="eastAsia" w:eastAsia="宋体"/>
                <w:bCs/>
                <w:color w:val="auto"/>
                <w:sz w:val="24"/>
                <w:highlight w:val="none"/>
              </w:rPr>
              <w:t>）129.4微克/立方米，同比上升12.5%；二氧化氮（NO</w:t>
            </w:r>
            <w:r>
              <w:rPr>
                <w:rFonts w:hint="eastAsia" w:eastAsia="宋体"/>
                <w:bCs/>
                <w:color w:val="auto"/>
                <w:sz w:val="24"/>
                <w:highlight w:val="none"/>
                <w:vertAlign w:val="subscript"/>
              </w:rPr>
              <w:t>2</w:t>
            </w:r>
            <w:r>
              <w:rPr>
                <w:rFonts w:hint="eastAsia" w:eastAsia="宋体"/>
                <w:bCs/>
                <w:color w:val="auto"/>
                <w:sz w:val="24"/>
                <w:highlight w:val="none"/>
              </w:rPr>
              <w:t>）22.0微克/立方米，同比下降3.9%。</w:t>
            </w:r>
          </w:p>
          <w:p w14:paraId="5A72AE53">
            <w:pPr>
              <w:pStyle w:val="44"/>
              <w:spacing w:line="360" w:lineRule="auto"/>
              <w:ind w:firstLineChars="200"/>
              <w:rPr>
                <w:rFonts w:eastAsia="宋体"/>
                <w:bCs/>
                <w:color w:val="auto"/>
                <w:sz w:val="24"/>
                <w:highlight w:val="none"/>
              </w:rPr>
            </w:pPr>
            <w:r>
              <w:rPr>
                <w:rFonts w:hint="eastAsia" w:eastAsia="宋体"/>
                <w:bCs/>
                <w:color w:val="auto"/>
                <w:sz w:val="24"/>
                <w:highlight w:val="none"/>
              </w:rPr>
              <w:t>全年有效监测天数365天，其中优182天，占49.9%；良165天，占45.2%；轻度污染15天，占4.1%；中度污染2天，占0.5%；重度污染0天，占0%；严重污染1天，占0.3%；。全年达标率95.1%，比去年下降2.2%。</w:t>
            </w:r>
          </w:p>
          <w:p w14:paraId="29DB41DE">
            <w:pPr>
              <w:pStyle w:val="9"/>
              <w:bidi w:val="0"/>
              <w:rPr>
                <w:rFonts w:hint="eastAsia"/>
                <w:color w:val="auto"/>
              </w:rPr>
            </w:pPr>
            <w:r>
              <w:rPr>
                <w:color w:val="auto"/>
              </w:rPr>
              <w:t>表</w:t>
            </w:r>
            <w:r>
              <w:rPr>
                <w:color w:val="auto"/>
              </w:rPr>
              <w:fldChar w:fldCharType="begin"/>
            </w:r>
            <w:r>
              <w:rPr>
                <w:color w:val="auto"/>
              </w:rPr>
              <w:instrText xml:space="preserve"> STYLEREF 1 \s </w:instrText>
            </w:r>
            <w:r>
              <w:rPr>
                <w:color w:val="auto"/>
              </w:rPr>
              <w:fldChar w:fldCharType="separate"/>
            </w:r>
            <w:r>
              <w:rPr>
                <w:color w:val="auto"/>
              </w:rPr>
              <w:t>3</w:t>
            </w:r>
            <w:r>
              <w:rPr>
                <w:color w:val="auto"/>
              </w:rPr>
              <w:fldChar w:fldCharType="end"/>
            </w:r>
            <w:r>
              <w:rPr>
                <w:rFonts w:hint="eastAsia"/>
                <w:color w:val="auto"/>
                <w:lang w:eastAsia="zh-CN"/>
              </w:rPr>
              <w:t>-</w:t>
            </w:r>
            <w:r>
              <w:rPr>
                <w:rFonts w:hint="eastAsia"/>
                <w:color w:val="auto"/>
                <w:lang w:val="en-US" w:eastAsia="zh-CN"/>
              </w:rPr>
              <w:t>3  南江</w:t>
            </w:r>
            <w:r>
              <w:rPr>
                <w:rFonts w:hint="eastAsia"/>
                <w:color w:val="auto"/>
              </w:rPr>
              <w:t>县空气质量达标判断结果</w:t>
            </w:r>
          </w:p>
          <w:tbl>
            <w:tblPr>
              <w:tblStyle w:val="34"/>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15"/>
              <w:gridCol w:w="2599"/>
              <w:gridCol w:w="1238"/>
              <w:gridCol w:w="1087"/>
              <w:gridCol w:w="1126"/>
              <w:gridCol w:w="815"/>
            </w:tblGrid>
            <w:tr w14:paraId="4B3CDF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4" w:type="pct"/>
                  <w:tcBorders>
                    <w:tl2br w:val="nil"/>
                    <w:tr2bl w:val="nil"/>
                  </w:tcBorders>
                  <w:noWrap w:val="0"/>
                  <w:vAlign w:val="center"/>
                </w:tcPr>
                <w:p w14:paraId="3F491C01">
                  <w:pPr>
                    <w:pStyle w:val="11"/>
                    <w:bidi w:val="0"/>
                    <w:rPr>
                      <w:color w:val="auto"/>
                    </w:rPr>
                  </w:pPr>
                  <w:r>
                    <w:rPr>
                      <w:color w:val="auto"/>
                    </w:rPr>
                    <w:t>污染物</w:t>
                  </w:r>
                </w:p>
              </w:tc>
              <w:tc>
                <w:tcPr>
                  <w:tcW w:w="1649" w:type="pct"/>
                  <w:tcBorders>
                    <w:tl2br w:val="nil"/>
                    <w:tr2bl w:val="nil"/>
                  </w:tcBorders>
                  <w:noWrap w:val="0"/>
                  <w:vAlign w:val="center"/>
                </w:tcPr>
                <w:p w14:paraId="151C034B">
                  <w:pPr>
                    <w:pStyle w:val="11"/>
                    <w:bidi w:val="0"/>
                    <w:rPr>
                      <w:color w:val="auto"/>
                    </w:rPr>
                  </w:pPr>
                  <w:r>
                    <w:rPr>
                      <w:color w:val="auto"/>
                    </w:rPr>
                    <w:t>年评价指标</w:t>
                  </w:r>
                </w:p>
              </w:tc>
              <w:tc>
                <w:tcPr>
                  <w:tcW w:w="785" w:type="pct"/>
                  <w:tcBorders>
                    <w:tl2br w:val="nil"/>
                    <w:tr2bl w:val="nil"/>
                  </w:tcBorders>
                  <w:noWrap w:val="0"/>
                  <w:vAlign w:val="center"/>
                </w:tcPr>
                <w:p w14:paraId="20AE7857">
                  <w:pPr>
                    <w:pStyle w:val="11"/>
                    <w:bidi w:val="0"/>
                    <w:rPr>
                      <w:color w:val="auto"/>
                    </w:rPr>
                  </w:pPr>
                  <w:r>
                    <w:rPr>
                      <w:rFonts w:hint="eastAsia"/>
                      <w:color w:val="auto"/>
                    </w:rPr>
                    <w:t>浓度</w:t>
                  </w:r>
                  <w:r>
                    <w:rPr>
                      <w:color w:val="auto"/>
                    </w:rPr>
                    <w:t>μg/m</w:t>
                  </w:r>
                  <w:r>
                    <w:rPr>
                      <w:color w:val="auto"/>
                      <w:vertAlign w:val="superscript"/>
                    </w:rPr>
                    <w:t>3</w:t>
                  </w:r>
                </w:p>
              </w:tc>
              <w:tc>
                <w:tcPr>
                  <w:tcW w:w="689" w:type="pct"/>
                  <w:tcBorders>
                    <w:tl2br w:val="nil"/>
                    <w:tr2bl w:val="nil"/>
                  </w:tcBorders>
                  <w:noWrap w:val="0"/>
                  <w:vAlign w:val="center"/>
                </w:tcPr>
                <w:p w14:paraId="0F6BBB56">
                  <w:pPr>
                    <w:pStyle w:val="11"/>
                    <w:bidi w:val="0"/>
                    <w:rPr>
                      <w:rFonts w:hint="eastAsia"/>
                      <w:color w:val="auto"/>
                    </w:rPr>
                  </w:pPr>
                  <w:r>
                    <w:rPr>
                      <w:color w:val="auto"/>
                    </w:rPr>
                    <w:t>标准值μg/m</w:t>
                  </w:r>
                  <w:r>
                    <w:rPr>
                      <w:color w:val="auto"/>
                      <w:vertAlign w:val="superscript"/>
                    </w:rPr>
                    <w:t>3</w:t>
                  </w:r>
                </w:p>
              </w:tc>
              <w:tc>
                <w:tcPr>
                  <w:tcW w:w="714" w:type="pct"/>
                  <w:tcBorders>
                    <w:tl2br w:val="nil"/>
                    <w:tr2bl w:val="nil"/>
                  </w:tcBorders>
                  <w:noWrap w:val="0"/>
                  <w:vAlign w:val="center"/>
                </w:tcPr>
                <w:p w14:paraId="6E20DE7B">
                  <w:pPr>
                    <w:pStyle w:val="11"/>
                    <w:bidi w:val="0"/>
                    <w:rPr>
                      <w:color w:val="auto"/>
                    </w:rPr>
                  </w:pPr>
                  <w:r>
                    <w:rPr>
                      <w:color w:val="auto"/>
                    </w:rPr>
                    <w:t>占标率%</w:t>
                  </w:r>
                </w:p>
              </w:tc>
              <w:tc>
                <w:tcPr>
                  <w:tcW w:w="517" w:type="pct"/>
                  <w:tcBorders>
                    <w:tl2br w:val="nil"/>
                    <w:tr2bl w:val="nil"/>
                  </w:tcBorders>
                  <w:noWrap w:val="0"/>
                  <w:vAlign w:val="center"/>
                </w:tcPr>
                <w:p w14:paraId="4E26101A">
                  <w:pPr>
                    <w:pStyle w:val="11"/>
                    <w:bidi w:val="0"/>
                    <w:rPr>
                      <w:color w:val="auto"/>
                    </w:rPr>
                  </w:pPr>
                  <w:r>
                    <w:rPr>
                      <w:color w:val="auto"/>
                    </w:rPr>
                    <w:t>达标情况</w:t>
                  </w:r>
                </w:p>
              </w:tc>
            </w:tr>
            <w:tr w14:paraId="08670D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4" w:type="pct"/>
                  <w:tcBorders>
                    <w:tl2br w:val="nil"/>
                    <w:tr2bl w:val="nil"/>
                  </w:tcBorders>
                  <w:noWrap w:val="0"/>
                  <w:vAlign w:val="center"/>
                </w:tcPr>
                <w:p w14:paraId="3733FEF6">
                  <w:pPr>
                    <w:pStyle w:val="10"/>
                    <w:bidi w:val="0"/>
                    <w:rPr>
                      <w:color w:val="auto"/>
                    </w:rPr>
                  </w:pPr>
                  <w:r>
                    <w:rPr>
                      <w:color w:val="auto"/>
                    </w:rPr>
                    <w:t>SO</w:t>
                  </w:r>
                  <w:r>
                    <w:rPr>
                      <w:color w:val="auto"/>
                      <w:vertAlign w:val="subscript"/>
                    </w:rPr>
                    <w:t>2</w:t>
                  </w:r>
                </w:p>
              </w:tc>
              <w:tc>
                <w:tcPr>
                  <w:tcW w:w="1649" w:type="pct"/>
                  <w:tcBorders>
                    <w:tl2br w:val="nil"/>
                    <w:tr2bl w:val="nil"/>
                  </w:tcBorders>
                  <w:noWrap w:val="0"/>
                  <w:vAlign w:val="center"/>
                </w:tcPr>
                <w:p w14:paraId="04079356">
                  <w:pPr>
                    <w:pStyle w:val="10"/>
                    <w:bidi w:val="0"/>
                    <w:rPr>
                      <w:color w:val="auto"/>
                    </w:rPr>
                  </w:pPr>
                  <w:r>
                    <w:rPr>
                      <w:color w:val="auto"/>
                    </w:rPr>
                    <w:t>年平均质量浓度</w:t>
                  </w:r>
                </w:p>
              </w:tc>
              <w:tc>
                <w:tcPr>
                  <w:tcW w:w="785" w:type="pct"/>
                  <w:tcBorders>
                    <w:tl2br w:val="nil"/>
                    <w:tr2bl w:val="nil"/>
                  </w:tcBorders>
                  <w:noWrap w:val="0"/>
                  <w:vAlign w:val="center"/>
                </w:tcPr>
                <w:p w14:paraId="42536C48">
                  <w:pPr>
                    <w:pStyle w:val="10"/>
                    <w:bidi w:val="0"/>
                    <w:rPr>
                      <w:rFonts w:hint="default" w:eastAsia="宋体"/>
                      <w:color w:val="auto"/>
                      <w:lang w:val="en-US" w:eastAsia="zh-CN"/>
                    </w:rPr>
                  </w:pPr>
                  <w:r>
                    <w:rPr>
                      <w:rFonts w:hint="eastAsia"/>
                      <w:color w:val="auto"/>
                      <w:lang w:val="en-US" w:eastAsia="zh-CN"/>
                    </w:rPr>
                    <w:t>5.9</w:t>
                  </w:r>
                </w:p>
              </w:tc>
              <w:tc>
                <w:tcPr>
                  <w:tcW w:w="689" w:type="pct"/>
                  <w:tcBorders>
                    <w:tl2br w:val="nil"/>
                    <w:tr2bl w:val="nil"/>
                  </w:tcBorders>
                  <w:noWrap w:val="0"/>
                  <w:vAlign w:val="center"/>
                </w:tcPr>
                <w:p w14:paraId="422C544F">
                  <w:pPr>
                    <w:pStyle w:val="10"/>
                    <w:bidi w:val="0"/>
                    <w:rPr>
                      <w:color w:val="auto"/>
                    </w:rPr>
                  </w:pPr>
                  <w:r>
                    <w:rPr>
                      <w:color w:val="auto"/>
                    </w:rPr>
                    <w:t>60</w:t>
                  </w:r>
                </w:p>
              </w:tc>
              <w:tc>
                <w:tcPr>
                  <w:tcW w:w="1126" w:type="dxa"/>
                  <w:tcBorders>
                    <w:tl2br w:val="nil"/>
                    <w:tr2bl w:val="nil"/>
                  </w:tcBorders>
                  <w:noWrap w:val="0"/>
                  <w:vAlign w:val="center"/>
                </w:tcPr>
                <w:p w14:paraId="35D48DC4">
                  <w:pPr>
                    <w:pStyle w:val="10"/>
                    <w:bidi w:val="0"/>
                    <w:rPr>
                      <w:rFonts w:hint="eastAsia" w:cs="Times New Roman"/>
                      <w:color w:val="auto"/>
                      <w:lang w:eastAsia="zh-CN"/>
                    </w:rPr>
                  </w:pPr>
                  <w:r>
                    <w:rPr>
                      <w:rFonts w:hint="eastAsia" w:cs="Times New Roman"/>
                      <w:color w:val="auto"/>
                      <w:lang w:val="en-US" w:eastAsia="zh-CN"/>
                    </w:rPr>
                    <w:t>9.83</w:t>
                  </w:r>
                </w:p>
              </w:tc>
              <w:tc>
                <w:tcPr>
                  <w:tcW w:w="517" w:type="pct"/>
                  <w:tcBorders>
                    <w:tl2br w:val="nil"/>
                    <w:tr2bl w:val="nil"/>
                  </w:tcBorders>
                  <w:noWrap w:val="0"/>
                  <w:vAlign w:val="center"/>
                </w:tcPr>
                <w:p w14:paraId="2A372F9E">
                  <w:pPr>
                    <w:pStyle w:val="10"/>
                    <w:bidi w:val="0"/>
                    <w:rPr>
                      <w:color w:val="auto"/>
                    </w:rPr>
                  </w:pPr>
                  <w:r>
                    <w:rPr>
                      <w:color w:val="auto"/>
                    </w:rPr>
                    <w:t>达标</w:t>
                  </w:r>
                </w:p>
              </w:tc>
            </w:tr>
            <w:tr w14:paraId="51F4EE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4" w:type="pct"/>
                  <w:tcBorders>
                    <w:tl2br w:val="nil"/>
                    <w:tr2bl w:val="nil"/>
                  </w:tcBorders>
                  <w:noWrap w:val="0"/>
                  <w:vAlign w:val="center"/>
                </w:tcPr>
                <w:p w14:paraId="1F79CB03">
                  <w:pPr>
                    <w:pStyle w:val="10"/>
                    <w:bidi w:val="0"/>
                    <w:rPr>
                      <w:color w:val="auto"/>
                    </w:rPr>
                  </w:pPr>
                  <w:r>
                    <w:rPr>
                      <w:color w:val="auto"/>
                    </w:rPr>
                    <w:t>NO</w:t>
                  </w:r>
                  <w:r>
                    <w:rPr>
                      <w:color w:val="auto"/>
                      <w:vertAlign w:val="subscript"/>
                    </w:rPr>
                    <w:t>2</w:t>
                  </w:r>
                </w:p>
              </w:tc>
              <w:tc>
                <w:tcPr>
                  <w:tcW w:w="1649" w:type="pct"/>
                  <w:tcBorders>
                    <w:tl2br w:val="nil"/>
                    <w:tr2bl w:val="nil"/>
                  </w:tcBorders>
                  <w:noWrap w:val="0"/>
                  <w:vAlign w:val="center"/>
                </w:tcPr>
                <w:p w14:paraId="2D128569">
                  <w:pPr>
                    <w:pStyle w:val="10"/>
                    <w:bidi w:val="0"/>
                    <w:rPr>
                      <w:color w:val="auto"/>
                    </w:rPr>
                  </w:pPr>
                  <w:r>
                    <w:rPr>
                      <w:color w:val="auto"/>
                    </w:rPr>
                    <w:t>年平均质量浓度</w:t>
                  </w:r>
                </w:p>
              </w:tc>
              <w:tc>
                <w:tcPr>
                  <w:tcW w:w="785" w:type="pct"/>
                  <w:tcBorders>
                    <w:tl2br w:val="nil"/>
                    <w:tr2bl w:val="nil"/>
                  </w:tcBorders>
                  <w:noWrap w:val="0"/>
                  <w:vAlign w:val="center"/>
                </w:tcPr>
                <w:p w14:paraId="34F2535C">
                  <w:pPr>
                    <w:pStyle w:val="10"/>
                    <w:bidi w:val="0"/>
                    <w:rPr>
                      <w:rFonts w:hint="default" w:eastAsia="宋体"/>
                      <w:color w:val="auto"/>
                      <w:lang w:val="en-US" w:eastAsia="zh-CN"/>
                    </w:rPr>
                  </w:pPr>
                  <w:r>
                    <w:rPr>
                      <w:rFonts w:hint="eastAsia"/>
                      <w:color w:val="auto"/>
                      <w:lang w:val="en-US" w:eastAsia="zh-CN"/>
                    </w:rPr>
                    <w:t>22</w:t>
                  </w:r>
                </w:p>
              </w:tc>
              <w:tc>
                <w:tcPr>
                  <w:tcW w:w="689" w:type="pct"/>
                  <w:tcBorders>
                    <w:tl2br w:val="nil"/>
                    <w:tr2bl w:val="nil"/>
                  </w:tcBorders>
                  <w:noWrap w:val="0"/>
                  <w:vAlign w:val="center"/>
                </w:tcPr>
                <w:p w14:paraId="6D2AB298">
                  <w:pPr>
                    <w:pStyle w:val="10"/>
                    <w:bidi w:val="0"/>
                    <w:rPr>
                      <w:color w:val="auto"/>
                    </w:rPr>
                  </w:pPr>
                  <w:r>
                    <w:rPr>
                      <w:color w:val="auto"/>
                    </w:rPr>
                    <w:t>40</w:t>
                  </w:r>
                </w:p>
              </w:tc>
              <w:tc>
                <w:tcPr>
                  <w:tcW w:w="1126" w:type="dxa"/>
                  <w:tcBorders>
                    <w:tl2br w:val="nil"/>
                    <w:tr2bl w:val="nil"/>
                  </w:tcBorders>
                  <w:noWrap w:val="0"/>
                  <w:vAlign w:val="center"/>
                </w:tcPr>
                <w:p w14:paraId="058C2F87">
                  <w:pPr>
                    <w:pStyle w:val="10"/>
                    <w:bidi w:val="0"/>
                    <w:rPr>
                      <w:rFonts w:hint="default" w:cs="Times New Roman"/>
                      <w:color w:val="auto"/>
                      <w:lang w:val="en-US" w:eastAsia="zh-CN"/>
                    </w:rPr>
                  </w:pPr>
                  <w:r>
                    <w:rPr>
                      <w:rFonts w:hint="eastAsia" w:cs="Times New Roman"/>
                      <w:color w:val="auto"/>
                      <w:lang w:val="en-US" w:eastAsia="zh-CN"/>
                    </w:rPr>
                    <w:t>55</w:t>
                  </w:r>
                </w:p>
              </w:tc>
              <w:tc>
                <w:tcPr>
                  <w:tcW w:w="517" w:type="pct"/>
                  <w:tcBorders>
                    <w:tl2br w:val="nil"/>
                    <w:tr2bl w:val="nil"/>
                  </w:tcBorders>
                  <w:noWrap w:val="0"/>
                  <w:vAlign w:val="center"/>
                </w:tcPr>
                <w:p w14:paraId="764C1EFC">
                  <w:pPr>
                    <w:pStyle w:val="10"/>
                    <w:bidi w:val="0"/>
                    <w:rPr>
                      <w:color w:val="auto"/>
                    </w:rPr>
                  </w:pPr>
                  <w:r>
                    <w:rPr>
                      <w:color w:val="auto"/>
                    </w:rPr>
                    <w:t>达标</w:t>
                  </w:r>
                </w:p>
              </w:tc>
            </w:tr>
            <w:tr w14:paraId="198C78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4" w:type="pct"/>
                  <w:tcBorders>
                    <w:tl2br w:val="nil"/>
                    <w:tr2bl w:val="nil"/>
                  </w:tcBorders>
                  <w:noWrap w:val="0"/>
                  <w:vAlign w:val="center"/>
                </w:tcPr>
                <w:p w14:paraId="0A99E0DD">
                  <w:pPr>
                    <w:pStyle w:val="10"/>
                    <w:bidi w:val="0"/>
                    <w:rPr>
                      <w:color w:val="auto"/>
                    </w:rPr>
                  </w:pPr>
                  <w:r>
                    <w:rPr>
                      <w:color w:val="auto"/>
                    </w:rPr>
                    <w:t>CO</w:t>
                  </w:r>
                </w:p>
              </w:tc>
              <w:tc>
                <w:tcPr>
                  <w:tcW w:w="1649" w:type="pct"/>
                  <w:tcBorders>
                    <w:tl2br w:val="nil"/>
                    <w:tr2bl w:val="nil"/>
                  </w:tcBorders>
                  <w:noWrap w:val="0"/>
                  <w:vAlign w:val="center"/>
                </w:tcPr>
                <w:p w14:paraId="346F2664">
                  <w:pPr>
                    <w:pStyle w:val="10"/>
                    <w:bidi w:val="0"/>
                    <w:rPr>
                      <w:color w:val="auto"/>
                    </w:rPr>
                  </w:pPr>
                  <w:r>
                    <w:rPr>
                      <w:color w:val="auto"/>
                    </w:rPr>
                    <w:t>日平均第95百分位数浓度</w:t>
                  </w:r>
                </w:p>
              </w:tc>
              <w:tc>
                <w:tcPr>
                  <w:tcW w:w="785" w:type="pct"/>
                  <w:tcBorders>
                    <w:tl2br w:val="nil"/>
                    <w:tr2bl w:val="nil"/>
                  </w:tcBorders>
                  <w:noWrap w:val="0"/>
                  <w:vAlign w:val="center"/>
                </w:tcPr>
                <w:p w14:paraId="511209E6">
                  <w:pPr>
                    <w:pStyle w:val="10"/>
                    <w:bidi w:val="0"/>
                    <w:rPr>
                      <w:rFonts w:hint="default" w:eastAsia="宋体"/>
                      <w:color w:val="auto"/>
                      <w:lang w:val="en-US" w:eastAsia="zh-CN"/>
                    </w:rPr>
                  </w:pPr>
                  <w:r>
                    <w:rPr>
                      <w:rFonts w:hint="eastAsia"/>
                      <w:color w:val="auto"/>
                      <w:lang w:val="en-US" w:eastAsia="zh-CN"/>
                    </w:rPr>
                    <w:t>1200</w:t>
                  </w:r>
                </w:p>
              </w:tc>
              <w:tc>
                <w:tcPr>
                  <w:tcW w:w="689" w:type="pct"/>
                  <w:tcBorders>
                    <w:tl2br w:val="nil"/>
                    <w:tr2bl w:val="nil"/>
                  </w:tcBorders>
                  <w:noWrap w:val="0"/>
                  <w:vAlign w:val="center"/>
                </w:tcPr>
                <w:p w14:paraId="56624403">
                  <w:pPr>
                    <w:pStyle w:val="10"/>
                    <w:bidi w:val="0"/>
                    <w:rPr>
                      <w:color w:val="auto"/>
                    </w:rPr>
                  </w:pPr>
                  <w:r>
                    <w:rPr>
                      <w:color w:val="auto"/>
                    </w:rPr>
                    <w:t>4</w:t>
                  </w:r>
                  <w:r>
                    <w:rPr>
                      <w:rFonts w:hint="eastAsia"/>
                      <w:color w:val="auto"/>
                    </w:rPr>
                    <w:t>000</w:t>
                  </w:r>
                </w:p>
              </w:tc>
              <w:tc>
                <w:tcPr>
                  <w:tcW w:w="1126" w:type="dxa"/>
                  <w:tcBorders>
                    <w:tl2br w:val="nil"/>
                    <w:tr2bl w:val="nil"/>
                  </w:tcBorders>
                  <w:noWrap w:val="0"/>
                  <w:vAlign w:val="center"/>
                </w:tcPr>
                <w:p w14:paraId="771EBB67">
                  <w:pPr>
                    <w:pStyle w:val="10"/>
                    <w:bidi w:val="0"/>
                    <w:rPr>
                      <w:rFonts w:hint="default" w:cs="Times New Roman"/>
                      <w:color w:val="auto"/>
                      <w:lang w:val="en-US" w:eastAsia="zh-CN"/>
                    </w:rPr>
                  </w:pPr>
                  <w:r>
                    <w:rPr>
                      <w:rFonts w:hint="eastAsia" w:cs="Times New Roman"/>
                      <w:color w:val="auto"/>
                      <w:lang w:val="en-US" w:eastAsia="zh-CN"/>
                    </w:rPr>
                    <w:t>30</w:t>
                  </w:r>
                </w:p>
              </w:tc>
              <w:tc>
                <w:tcPr>
                  <w:tcW w:w="517" w:type="pct"/>
                  <w:tcBorders>
                    <w:tl2br w:val="nil"/>
                    <w:tr2bl w:val="nil"/>
                  </w:tcBorders>
                  <w:noWrap w:val="0"/>
                  <w:vAlign w:val="center"/>
                </w:tcPr>
                <w:p w14:paraId="7085E3DD">
                  <w:pPr>
                    <w:pStyle w:val="10"/>
                    <w:bidi w:val="0"/>
                    <w:rPr>
                      <w:color w:val="auto"/>
                    </w:rPr>
                  </w:pPr>
                  <w:r>
                    <w:rPr>
                      <w:color w:val="auto"/>
                    </w:rPr>
                    <w:t>达标</w:t>
                  </w:r>
                </w:p>
              </w:tc>
            </w:tr>
            <w:tr w14:paraId="46D523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4" w:type="pct"/>
                  <w:tcBorders>
                    <w:tl2br w:val="nil"/>
                    <w:tr2bl w:val="nil"/>
                  </w:tcBorders>
                  <w:noWrap w:val="0"/>
                  <w:vAlign w:val="center"/>
                </w:tcPr>
                <w:p w14:paraId="315156C1">
                  <w:pPr>
                    <w:pStyle w:val="10"/>
                    <w:bidi w:val="0"/>
                    <w:rPr>
                      <w:color w:val="auto"/>
                    </w:rPr>
                  </w:pPr>
                  <w:r>
                    <w:rPr>
                      <w:color w:val="auto"/>
                    </w:rPr>
                    <w:t>O</w:t>
                  </w:r>
                  <w:r>
                    <w:rPr>
                      <w:color w:val="auto"/>
                      <w:vertAlign w:val="subscript"/>
                    </w:rPr>
                    <w:t>3</w:t>
                  </w:r>
                </w:p>
              </w:tc>
              <w:tc>
                <w:tcPr>
                  <w:tcW w:w="1649" w:type="pct"/>
                  <w:tcBorders>
                    <w:tl2br w:val="nil"/>
                    <w:tr2bl w:val="nil"/>
                  </w:tcBorders>
                  <w:noWrap w:val="0"/>
                  <w:vAlign w:val="center"/>
                </w:tcPr>
                <w:p w14:paraId="01977B8D">
                  <w:pPr>
                    <w:pStyle w:val="10"/>
                    <w:bidi w:val="0"/>
                    <w:rPr>
                      <w:color w:val="auto"/>
                    </w:rPr>
                  </w:pPr>
                  <w:r>
                    <w:rPr>
                      <w:color w:val="auto"/>
                    </w:rPr>
                    <w:t>日最大8h平均第90百分位数浓度</w:t>
                  </w:r>
                </w:p>
              </w:tc>
              <w:tc>
                <w:tcPr>
                  <w:tcW w:w="785" w:type="pct"/>
                  <w:tcBorders>
                    <w:tl2br w:val="nil"/>
                    <w:tr2bl w:val="nil"/>
                  </w:tcBorders>
                  <w:noWrap w:val="0"/>
                  <w:vAlign w:val="center"/>
                </w:tcPr>
                <w:p w14:paraId="4B7BA749">
                  <w:pPr>
                    <w:pStyle w:val="10"/>
                    <w:bidi w:val="0"/>
                    <w:rPr>
                      <w:rFonts w:hint="default" w:eastAsia="宋体"/>
                      <w:color w:val="auto"/>
                      <w:lang w:val="en-US" w:eastAsia="zh-CN"/>
                    </w:rPr>
                  </w:pPr>
                  <w:r>
                    <w:rPr>
                      <w:rFonts w:hint="eastAsia"/>
                      <w:color w:val="auto"/>
                      <w:lang w:val="en-US" w:eastAsia="zh-CN"/>
                    </w:rPr>
                    <w:t>129.4</w:t>
                  </w:r>
                </w:p>
              </w:tc>
              <w:tc>
                <w:tcPr>
                  <w:tcW w:w="689" w:type="pct"/>
                  <w:tcBorders>
                    <w:tl2br w:val="nil"/>
                    <w:tr2bl w:val="nil"/>
                  </w:tcBorders>
                  <w:noWrap w:val="0"/>
                  <w:vAlign w:val="center"/>
                </w:tcPr>
                <w:p w14:paraId="093B7115">
                  <w:pPr>
                    <w:pStyle w:val="10"/>
                    <w:bidi w:val="0"/>
                    <w:rPr>
                      <w:color w:val="auto"/>
                    </w:rPr>
                  </w:pPr>
                  <w:r>
                    <w:rPr>
                      <w:color w:val="auto"/>
                    </w:rPr>
                    <w:t>160</w:t>
                  </w:r>
                </w:p>
              </w:tc>
              <w:tc>
                <w:tcPr>
                  <w:tcW w:w="1126" w:type="dxa"/>
                  <w:tcBorders>
                    <w:tl2br w:val="nil"/>
                    <w:tr2bl w:val="nil"/>
                  </w:tcBorders>
                  <w:noWrap w:val="0"/>
                  <w:vAlign w:val="center"/>
                </w:tcPr>
                <w:p w14:paraId="6B73AA59">
                  <w:pPr>
                    <w:pStyle w:val="10"/>
                    <w:bidi w:val="0"/>
                    <w:rPr>
                      <w:rFonts w:hint="default" w:cs="Times New Roman"/>
                      <w:color w:val="auto"/>
                      <w:lang w:val="en-US" w:eastAsia="zh-CN"/>
                    </w:rPr>
                  </w:pPr>
                  <w:r>
                    <w:rPr>
                      <w:rFonts w:hint="eastAsia" w:cs="Times New Roman"/>
                      <w:color w:val="auto"/>
                      <w:lang w:val="en-US" w:eastAsia="zh-CN"/>
                    </w:rPr>
                    <w:t>80.875</w:t>
                  </w:r>
                </w:p>
              </w:tc>
              <w:tc>
                <w:tcPr>
                  <w:tcW w:w="517" w:type="pct"/>
                  <w:tcBorders>
                    <w:tl2br w:val="nil"/>
                    <w:tr2bl w:val="nil"/>
                  </w:tcBorders>
                  <w:noWrap w:val="0"/>
                  <w:vAlign w:val="center"/>
                </w:tcPr>
                <w:p w14:paraId="6E17FB5D">
                  <w:pPr>
                    <w:pStyle w:val="10"/>
                    <w:bidi w:val="0"/>
                    <w:rPr>
                      <w:color w:val="auto"/>
                    </w:rPr>
                  </w:pPr>
                  <w:r>
                    <w:rPr>
                      <w:color w:val="auto"/>
                    </w:rPr>
                    <w:t>达标</w:t>
                  </w:r>
                </w:p>
              </w:tc>
            </w:tr>
            <w:tr w14:paraId="78FC05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4" w:type="pct"/>
                  <w:tcBorders>
                    <w:tl2br w:val="nil"/>
                    <w:tr2bl w:val="nil"/>
                  </w:tcBorders>
                  <w:noWrap w:val="0"/>
                  <w:vAlign w:val="center"/>
                </w:tcPr>
                <w:p w14:paraId="3200A786">
                  <w:pPr>
                    <w:pStyle w:val="10"/>
                    <w:bidi w:val="0"/>
                    <w:rPr>
                      <w:color w:val="auto"/>
                    </w:rPr>
                  </w:pPr>
                  <w:r>
                    <w:rPr>
                      <w:color w:val="auto"/>
                    </w:rPr>
                    <w:t>PM</w:t>
                  </w:r>
                  <w:r>
                    <w:rPr>
                      <w:color w:val="auto"/>
                      <w:vertAlign w:val="subscript"/>
                    </w:rPr>
                    <w:t>2.5</w:t>
                  </w:r>
                </w:p>
              </w:tc>
              <w:tc>
                <w:tcPr>
                  <w:tcW w:w="1649" w:type="pct"/>
                  <w:tcBorders>
                    <w:tl2br w:val="nil"/>
                    <w:tr2bl w:val="nil"/>
                  </w:tcBorders>
                  <w:noWrap w:val="0"/>
                  <w:vAlign w:val="center"/>
                </w:tcPr>
                <w:p w14:paraId="551133F9">
                  <w:pPr>
                    <w:pStyle w:val="10"/>
                    <w:bidi w:val="0"/>
                    <w:rPr>
                      <w:color w:val="auto"/>
                    </w:rPr>
                  </w:pPr>
                  <w:r>
                    <w:rPr>
                      <w:color w:val="auto"/>
                    </w:rPr>
                    <w:t>年平均质量浓度</w:t>
                  </w:r>
                </w:p>
              </w:tc>
              <w:tc>
                <w:tcPr>
                  <w:tcW w:w="785" w:type="pct"/>
                  <w:tcBorders>
                    <w:tl2br w:val="nil"/>
                    <w:tr2bl w:val="nil"/>
                  </w:tcBorders>
                  <w:noWrap w:val="0"/>
                  <w:vAlign w:val="center"/>
                </w:tcPr>
                <w:p w14:paraId="5F96DD1E">
                  <w:pPr>
                    <w:pStyle w:val="10"/>
                    <w:bidi w:val="0"/>
                    <w:rPr>
                      <w:rFonts w:hint="default" w:eastAsia="宋体"/>
                      <w:color w:val="auto"/>
                      <w:lang w:val="en-US" w:eastAsia="zh-CN"/>
                    </w:rPr>
                  </w:pPr>
                  <w:r>
                    <w:rPr>
                      <w:rFonts w:hint="eastAsia"/>
                      <w:color w:val="auto"/>
                      <w:lang w:val="en-US" w:eastAsia="zh-CN"/>
                    </w:rPr>
                    <w:t>23</w:t>
                  </w:r>
                </w:p>
              </w:tc>
              <w:tc>
                <w:tcPr>
                  <w:tcW w:w="689" w:type="pct"/>
                  <w:tcBorders>
                    <w:tl2br w:val="nil"/>
                    <w:tr2bl w:val="nil"/>
                  </w:tcBorders>
                  <w:noWrap w:val="0"/>
                  <w:vAlign w:val="center"/>
                </w:tcPr>
                <w:p w14:paraId="1F7C30D3">
                  <w:pPr>
                    <w:pStyle w:val="10"/>
                    <w:bidi w:val="0"/>
                    <w:rPr>
                      <w:rFonts w:hint="default" w:eastAsia="宋体"/>
                      <w:color w:val="auto"/>
                      <w:lang w:val="en-US" w:eastAsia="zh-CN"/>
                    </w:rPr>
                  </w:pPr>
                  <w:r>
                    <w:rPr>
                      <w:rFonts w:hint="eastAsia"/>
                      <w:color w:val="auto"/>
                      <w:lang w:val="en-US" w:eastAsia="zh-CN"/>
                    </w:rPr>
                    <w:t>30</w:t>
                  </w:r>
                </w:p>
              </w:tc>
              <w:tc>
                <w:tcPr>
                  <w:tcW w:w="1126" w:type="dxa"/>
                  <w:tcBorders>
                    <w:tl2br w:val="nil"/>
                    <w:tr2bl w:val="nil"/>
                  </w:tcBorders>
                  <w:noWrap w:val="0"/>
                  <w:vAlign w:val="center"/>
                </w:tcPr>
                <w:p w14:paraId="047E65ED">
                  <w:pPr>
                    <w:pStyle w:val="10"/>
                    <w:bidi w:val="0"/>
                    <w:rPr>
                      <w:rFonts w:hint="default" w:cs="Times New Roman"/>
                      <w:color w:val="auto"/>
                      <w:lang w:val="en-US" w:eastAsia="zh-CN"/>
                    </w:rPr>
                  </w:pPr>
                  <w:r>
                    <w:rPr>
                      <w:rFonts w:hint="eastAsia" w:cs="Times New Roman"/>
                      <w:color w:val="auto"/>
                      <w:lang w:val="en-US" w:eastAsia="zh-CN"/>
                    </w:rPr>
                    <w:t>76.67</w:t>
                  </w:r>
                </w:p>
              </w:tc>
              <w:tc>
                <w:tcPr>
                  <w:tcW w:w="517" w:type="pct"/>
                  <w:tcBorders>
                    <w:tl2br w:val="nil"/>
                    <w:tr2bl w:val="nil"/>
                  </w:tcBorders>
                  <w:noWrap w:val="0"/>
                  <w:vAlign w:val="center"/>
                </w:tcPr>
                <w:p w14:paraId="5C748D49">
                  <w:pPr>
                    <w:pStyle w:val="10"/>
                    <w:bidi w:val="0"/>
                    <w:rPr>
                      <w:color w:val="auto"/>
                    </w:rPr>
                  </w:pPr>
                  <w:r>
                    <w:rPr>
                      <w:color w:val="auto"/>
                    </w:rPr>
                    <w:t>达标</w:t>
                  </w:r>
                </w:p>
              </w:tc>
            </w:tr>
            <w:tr w14:paraId="2FF6FC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4" w:type="pct"/>
                  <w:tcBorders>
                    <w:tl2br w:val="nil"/>
                    <w:tr2bl w:val="nil"/>
                  </w:tcBorders>
                  <w:noWrap w:val="0"/>
                  <w:vAlign w:val="center"/>
                </w:tcPr>
                <w:p w14:paraId="73CE917D">
                  <w:pPr>
                    <w:pStyle w:val="10"/>
                    <w:bidi w:val="0"/>
                    <w:rPr>
                      <w:color w:val="auto"/>
                    </w:rPr>
                  </w:pPr>
                  <w:r>
                    <w:rPr>
                      <w:color w:val="auto"/>
                    </w:rPr>
                    <w:t>PM</w:t>
                  </w:r>
                  <w:r>
                    <w:rPr>
                      <w:color w:val="auto"/>
                      <w:vertAlign w:val="subscript"/>
                    </w:rPr>
                    <w:t>10</w:t>
                  </w:r>
                </w:p>
              </w:tc>
              <w:tc>
                <w:tcPr>
                  <w:tcW w:w="1649" w:type="pct"/>
                  <w:tcBorders>
                    <w:tl2br w:val="nil"/>
                    <w:tr2bl w:val="nil"/>
                  </w:tcBorders>
                  <w:noWrap w:val="0"/>
                  <w:vAlign w:val="center"/>
                </w:tcPr>
                <w:p w14:paraId="3D9653BE">
                  <w:pPr>
                    <w:pStyle w:val="10"/>
                    <w:bidi w:val="0"/>
                    <w:rPr>
                      <w:color w:val="auto"/>
                    </w:rPr>
                  </w:pPr>
                  <w:r>
                    <w:rPr>
                      <w:color w:val="auto"/>
                    </w:rPr>
                    <w:t>年平均质量浓度</w:t>
                  </w:r>
                </w:p>
              </w:tc>
              <w:tc>
                <w:tcPr>
                  <w:tcW w:w="785" w:type="pct"/>
                  <w:tcBorders>
                    <w:tl2br w:val="nil"/>
                    <w:tr2bl w:val="nil"/>
                  </w:tcBorders>
                  <w:noWrap w:val="0"/>
                  <w:vAlign w:val="center"/>
                </w:tcPr>
                <w:p w14:paraId="00CB0A45">
                  <w:pPr>
                    <w:pStyle w:val="10"/>
                    <w:bidi w:val="0"/>
                    <w:rPr>
                      <w:rFonts w:hint="default" w:eastAsia="宋体"/>
                      <w:color w:val="auto"/>
                      <w:lang w:val="en-US" w:eastAsia="zh-CN"/>
                    </w:rPr>
                  </w:pPr>
                  <w:r>
                    <w:rPr>
                      <w:rFonts w:hint="eastAsia"/>
                      <w:color w:val="auto"/>
                      <w:lang w:val="en-US" w:eastAsia="zh-CN"/>
                    </w:rPr>
                    <w:t>43.4</w:t>
                  </w:r>
                </w:p>
              </w:tc>
              <w:tc>
                <w:tcPr>
                  <w:tcW w:w="689" w:type="pct"/>
                  <w:tcBorders>
                    <w:tl2br w:val="nil"/>
                    <w:tr2bl w:val="nil"/>
                  </w:tcBorders>
                  <w:noWrap w:val="0"/>
                  <w:vAlign w:val="center"/>
                </w:tcPr>
                <w:p w14:paraId="5E81FBC4">
                  <w:pPr>
                    <w:pStyle w:val="10"/>
                    <w:bidi w:val="0"/>
                    <w:rPr>
                      <w:rFonts w:hint="default" w:eastAsia="宋体"/>
                      <w:color w:val="auto"/>
                      <w:lang w:val="en-US" w:eastAsia="zh-CN"/>
                    </w:rPr>
                  </w:pPr>
                  <w:r>
                    <w:rPr>
                      <w:rFonts w:hint="eastAsia"/>
                      <w:color w:val="auto"/>
                      <w:lang w:val="en-US" w:eastAsia="zh-CN"/>
                    </w:rPr>
                    <w:t>60</w:t>
                  </w:r>
                </w:p>
              </w:tc>
              <w:tc>
                <w:tcPr>
                  <w:tcW w:w="1126" w:type="dxa"/>
                  <w:tcBorders>
                    <w:tl2br w:val="nil"/>
                    <w:tr2bl w:val="nil"/>
                  </w:tcBorders>
                  <w:noWrap w:val="0"/>
                  <w:vAlign w:val="center"/>
                </w:tcPr>
                <w:p w14:paraId="3ECEB1B5">
                  <w:pPr>
                    <w:pStyle w:val="10"/>
                    <w:bidi w:val="0"/>
                    <w:rPr>
                      <w:rFonts w:hint="default" w:cs="Times New Roman"/>
                      <w:color w:val="auto"/>
                      <w:lang w:val="en-US" w:eastAsia="zh-CN"/>
                    </w:rPr>
                  </w:pPr>
                  <w:r>
                    <w:rPr>
                      <w:rFonts w:hint="eastAsia" w:cs="Times New Roman"/>
                      <w:color w:val="auto"/>
                      <w:lang w:val="en-US" w:eastAsia="zh-CN"/>
                    </w:rPr>
                    <w:t>72.33</w:t>
                  </w:r>
                </w:p>
              </w:tc>
              <w:tc>
                <w:tcPr>
                  <w:tcW w:w="517" w:type="pct"/>
                  <w:tcBorders>
                    <w:tl2br w:val="nil"/>
                    <w:tr2bl w:val="nil"/>
                  </w:tcBorders>
                  <w:noWrap w:val="0"/>
                  <w:vAlign w:val="center"/>
                </w:tcPr>
                <w:p w14:paraId="7758B77C">
                  <w:pPr>
                    <w:pStyle w:val="10"/>
                    <w:bidi w:val="0"/>
                    <w:rPr>
                      <w:color w:val="auto"/>
                    </w:rPr>
                  </w:pPr>
                  <w:r>
                    <w:rPr>
                      <w:color w:val="auto"/>
                    </w:rPr>
                    <w:t>达标</w:t>
                  </w:r>
                </w:p>
              </w:tc>
            </w:tr>
            <w:tr w14:paraId="31F0AE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6"/>
                  <w:tcBorders>
                    <w:tl2br w:val="nil"/>
                    <w:tr2bl w:val="nil"/>
                  </w:tcBorders>
                  <w:noWrap w:val="0"/>
                  <w:vAlign w:val="center"/>
                </w:tcPr>
                <w:p w14:paraId="688AEF43">
                  <w:pPr>
                    <w:pStyle w:val="10"/>
                    <w:bidi w:val="0"/>
                    <w:rPr>
                      <w:rFonts w:hint="default" w:eastAsia="宋体"/>
                      <w:color w:val="auto"/>
                      <w:lang w:val="en-US" w:eastAsia="zh-CN"/>
                    </w:rPr>
                  </w:pPr>
                  <w:r>
                    <w:rPr>
                      <w:rFonts w:hint="eastAsia"/>
                      <w:color w:val="auto"/>
                      <w:lang w:val="en-US" w:eastAsia="zh-CN"/>
                    </w:rPr>
                    <w:t>注：《环境空气质量》（GB3095-2026）于2026年3月1日起施行，旧标准已被替代，本项目引用监测数据为2025年数据，但因原有标准已被替代，仅参照新标准过渡区限值要求进行评价。</w:t>
                  </w:r>
                </w:p>
              </w:tc>
            </w:tr>
          </w:tbl>
          <w:p w14:paraId="55AA39D3">
            <w:pPr>
              <w:widowControl/>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综上</w:t>
            </w:r>
            <w:r>
              <w:rPr>
                <w:rFonts w:hint="eastAsia" w:ascii="Times New Roman" w:hAnsi="Times New Roman" w:eastAsia="宋体" w:cs="Times New Roman"/>
                <w:color w:val="auto"/>
                <w:sz w:val="24"/>
                <w:highlight w:val="none"/>
              </w:rPr>
              <w:t>，项目所在区域环境空气质量为达标区。</w:t>
            </w:r>
          </w:p>
          <w:p w14:paraId="3270A246">
            <w:pPr>
              <w:spacing w:line="360" w:lineRule="auto"/>
              <w:ind w:left="420" w:leftChars="200"/>
              <w:jc w:val="left"/>
              <w:rPr>
                <w:b/>
                <w:bCs/>
                <w:color w:val="auto"/>
                <w:kern w:val="0"/>
                <w:sz w:val="24"/>
                <w:lang w:bidi="ar"/>
              </w:rPr>
            </w:pPr>
            <w:r>
              <w:rPr>
                <w:b/>
                <w:bCs/>
                <w:color w:val="auto"/>
                <w:kern w:val="0"/>
                <w:sz w:val="24"/>
                <w:lang w:bidi="ar"/>
              </w:rPr>
              <w:t>（二）地表水环境质量评价</w:t>
            </w:r>
          </w:p>
          <w:p w14:paraId="6B28C679">
            <w:pPr>
              <w:widowControl/>
              <w:spacing w:line="360" w:lineRule="auto"/>
              <w:ind w:firstLine="480" w:firstLineChars="200"/>
              <w:rPr>
                <w:bCs/>
                <w:color w:val="auto"/>
                <w:sz w:val="24"/>
              </w:rPr>
            </w:pPr>
            <w:r>
              <w:rPr>
                <w:color w:val="auto"/>
                <w:kern w:val="0"/>
                <w:sz w:val="24"/>
              </w:rPr>
              <w:t>本项目生活</w:t>
            </w:r>
            <w:r>
              <w:rPr>
                <w:rFonts w:hint="eastAsia"/>
                <w:color w:val="auto"/>
                <w:kern w:val="0"/>
                <w:sz w:val="24"/>
              </w:rPr>
              <w:t>污</w:t>
            </w:r>
            <w:r>
              <w:rPr>
                <w:color w:val="auto"/>
                <w:kern w:val="0"/>
                <w:sz w:val="24"/>
              </w:rPr>
              <w:t>水经预处理池处理后</w:t>
            </w:r>
            <w:r>
              <w:rPr>
                <w:rFonts w:hint="eastAsia"/>
                <w:color w:val="auto"/>
                <w:sz w:val="24"/>
              </w:rPr>
              <w:t>通过市政污水管网排放至</w:t>
            </w:r>
            <w:r>
              <w:rPr>
                <w:color w:val="auto"/>
                <w:sz w:val="24"/>
              </w:rPr>
              <w:t>南江县</w:t>
            </w:r>
            <w:r>
              <w:rPr>
                <w:rFonts w:hint="eastAsia"/>
                <w:color w:val="auto"/>
                <w:sz w:val="24"/>
              </w:rPr>
              <w:t>关坝镇</w:t>
            </w:r>
            <w:r>
              <w:rPr>
                <w:color w:val="auto"/>
                <w:sz w:val="24"/>
              </w:rPr>
              <w:t>污水处理站，经南江县</w:t>
            </w:r>
            <w:r>
              <w:rPr>
                <w:rFonts w:hint="eastAsia"/>
                <w:color w:val="auto"/>
                <w:sz w:val="24"/>
              </w:rPr>
              <w:t>关坝镇</w:t>
            </w:r>
            <w:r>
              <w:rPr>
                <w:color w:val="auto"/>
                <w:sz w:val="24"/>
              </w:rPr>
              <w:t>污水处理站处理后出水水质稳定达到《城镇污水处理厂污染物排放标准》</w:t>
            </w:r>
            <w:r>
              <w:rPr>
                <w:rFonts w:hint="eastAsia"/>
                <w:color w:val="auto"/>
                <w:sz w:val="24"/>
              </w:rPr>
              <w:t>（</w:t>
            </w:r>
            <w:r>
              <w:rPr>
                <w:color w:val="auto"/>
                <w:sz w:val="24"/>
              </w:rPr>
              <w:t>GB18918-2002</w:t>
            </w:r>
            <w:r>
              <w:rPr>
                <w:rFonts w:hint="eastAsia"/>
                <w:color w:val="auto"/>
                <w:sz w:val="24"/>
              </w:rPr>
              <w:t>）</w:t>
            </w:r>
            <w:r>
              <w:rPr>
                <w:color w:val="auto"/>
                <w:sz w:val="24"/>
              </w:rPr>
              <w:t>中的一级A标准后排入</w:t>
            </w:r>
            <w:r>
              <w:rPr>
                <w:rFonts w:hint="eastAsia"/>
                <w:color w:val="auto"/>
                <w:sz w:val="24"/>
              </w:rPr>
              <w:t>南江河</w:t>
            </w:r>
            <w:r>
              <w:rPr>
                <w:color w:val="auto"/>
                <w:sz w:val="24"/>
              </w:rPr>
              <w:t>。</w:t>
            </w:r>
          </w:p>
          <w:p w14:paraId="0914B7F1">
            <w:pPr>
              <w:spacing w:line="360" w:lineRule="auto"/>
              <w:ind w:firstLine="480" w:firstLineChars="200"/>
              <w:rPr>
                <w:color w:val="auto"/>
                <w:sz w:val="24"/>
                <w:highlight w:val="none"/>
              </w:rPr>
            </w:pPr>
            <w:r>
              <w:rPr>
                <w:color w:val="auto"/>
                <w:sz w:val="24"/>
              </w:rPr>
              <w:t>为了解项目所在区域地表水环境质量现状，本次评价采用巴中市南江生态环境局公</w:t>
            </w:r>
            <w:r>
              <w:rPr>
                <w:color w:val="auto"/>
                <w:sz w:val="24"/>
                <w:highlight w:val="none"/>
              </w:rPr>
              <w:t>布的《南江县二0二</w:t>
            </w:r>
            <w:r>
              <w:rPr>
                <w:rFonts w:hint="eastAsia"/>
                <w:color w:val="auto"/>
                <w:sz w:val="24"/>
                <w:highlight w:val="none"/>
                <w:lang w:eastAsia="zh-CN"/>
              </w:rPr>
              <w:t>五</w:t>
            </w:r>
            <w:r>
              <w:rPr>
                <w:color w:val="auto"/>
                <w:sz w:val="24"/>
                <w:highlight w:val="none"/>
              </w:rPr>
              <w:t>年环境质量公告》作为地表水质量达标区的判定依据。</w:t>
            </w:r>
          </w:p>
          <w:p w14:paraId="6132345A">
            <w:pPr>
              <w:spacing w:line="360" w:lineRule="auto"/>
              <w:ind w:firstLine="480" w:firstLineChars="200"/>
              <w:rPr>
                <w:color w:val="auto"/>
                <w:sz w:val="24"/>
                <w:highlight w:val="none"/>
              </w:rPr>
            </w:pPr>
            <w:r>
              <w:rPr>
                <w:rFonts w:hint="eastAsia"/>
                <w:color w:val="auto"/>
                <w:sz w:val="24"/>
                <w:highlight w:val="none"/>
              </w:rPr>
              <w:t>2025年1～12月，巴中市南江生态环境局委托四川科检检测技术有限公司对南江河的养生潭、东榆、元潭（南江县出境水）断面，明江河的大河、赶场断面及恩阳河的雷破石断面的河水按照国家地表水环境质量标准GB3838-2002之规定进行了取样检测，检测项目为水温、pH、溶解氧、电导率、透明度、高锰酸盐指数、化学需氧量、五日生化需氧量、氨氮、总磷、总氮、铜、锌、氟化物、硒、砷、汞、镉、六价铬、铅、氰化物、挥发酚、石油类、阴离子表面活性剂、硫化物、粪大肠菌群、硫酸盐、氯化物、硝酸盐氮、铁、锰、叶绿素a，共32项。结果表明：南江河的养生潭断面在2月份达到国家Ⅰ类水域水质标准，在3、4、5月份达到国家Ⅲ类水域水质标准，其他月份均达到国家Ⅱ类水域水质标准；南江河的东榆断面在7月份达到国家Ⅰ类水域水质标准，在3、4、5月份达到国家Ⅲ类水域水质标准，其他月份均达到国家Ⅱ类水域水质标准；南江河的元潭断面在3、4、5、6、7、8月份达到国家Ⅲ类水域水质标准，其他月份均达到国家Ⅱ类水域水质标准；明江河的赶场断面在4、5、7月份达到国家Ⅲ类水域水质标准，其他月份均达到国家Ⅱ类水域水质标准；明江河的大河断面在2、12月份达到国家Ⅰ类水域水质标准，在4、5、7月份达到国家Ⅲ类水域水质标准，其他月份均达到国家Ⅱ类水域水质标准；恩阳河的雷破石断面在1、2、9、11、12月份达到国家Ⅱ类水域水质标准，其他月份均达到国家Ⅲ类水域水质标准。总的来讲，我县地表水环境质量状况较好，均符合当地水环境功能区要求（见表1）。与二○二四年相比，地表水环境质量状况变化均在正常范围之内。</w:t>
            </w:r>
          </w:p>
          <w:p w14:paraId="7C1EC2C4">
            <w:pPr>
              <w:widowControl/>
              <w:spacing w:line="360" w:lineRule="auto"/>
              <w:ind w:firstLine="482" w:firstLineChars="200"/>
              <w:rPr>
                <w:bCs/>
                <w:color w:val="auto"/>
                <w:sz w:val="24"/>
                <w:highlight w:val="none"/>
              </w:rPr>
            </w:pPr>
            <w:r>
              <w:rPr>
                <w:b/>
                <w:bCs/>
                <w:color w:val="auto"/>
                <w:sz w:val="24"/>
                <w:highlight w:val="none"/>
              </w:rPr>
              <w:t>因此，本项目所在区域地表水属达标区。</w:t>
            </w:r>
          </w:p>
          <w:p w14:paraId="0942D4B0">
            <w:pPr>
              <w:spacing w:line="360" w:lineRule="auto"/>
              <w:ind w:left="420" w:leftChars="200"/>
              <w:jc w:val="left"/>
              <w:rPr>
                <w:b/>
                <w:bCs/>
                <w:color w:val="auto"/>
                <w:kern w:val="0"/>
                <w:sz w:val="24"/>
                <w:lang w:bidi="ar"/>
              </w:rPr>
            </w:pPr>
            <w:r>
              <w:rPr>
                <w:b/>
                <w:bCs/>
                <w:color w:val="auto"/>
                <w:kern w:val="0"/>
                <w:sz w:val="24"/>
                <w:lang w:bidi="ar"/>
              </w:rPr>
              <w:t>3、噪声环境质量评价</w:t>
            </w:r>
          </w:p>
          <w:p w14:paraId="5A52175A">
            <w:pPr>
              <w:pStyle w:val="19"/>
              <w:spacing w:line="360" w:lineRule="auto"/>
              <w:ind w:firstLine="480"/>
              <w:rPr>
                <w:color w:val="auto"/>
                <w:sz w:val="24"/>
                <w:highlight w:val="none"/>
              </w:rPr>
            </w:pPr>
            <w:r>
              <w:rPr>
                <w:color w:val="auto"/>
                <w:sz w:val="24"/>
              </w:rPr>
              <w:t>本项目声环境质量现状委托</w:t>
            </w:r>
            <w:r>
              <w:rPr>
                <w:color w:val="auto"/>
                <w:sz w:val="24"/>
                <w:highlight w:val="none"/>
              </w:rPr>
              <w:t>四川锡水金山环保科技有限公司于202</w:t>
            </w:r>
            <w:r>
              <w:rPr>
                <w:rFonts w:hint="eastAsia"/>
                <w:color w:val="auto"/>
                <w:sz w:val="24"/>
                <w:highlight w:val="none"/>
                <w:lang w:val="en-US" w:eastAsia="zh-CN"/>
              </w:rPr>
              <w:t>6</w:t>
            </w:r>
            <w:r>
              <w:rPr>
                <w:color w:val="auto"/>
                <w:sz w:val="24"/>
                <w:highlight w:val="none"/>
              </w:rPr>
              <w:t>年</w:t>
            </w:r>
            <w:r>
              <w:rPr>
                <w:rFonts w:hint="eastAsia"/>
                <w:color w:val="auto"/>
                <w:sz w:val="24"/>
                <w:highlight w:val="none"/>
                <w:lang w:val="en-US" w:eastAsia="zh-CN"/>
              </w:rPr>
              <w:t>5</w:t>
            </w:r>
            <w:r>
              <w:rPr>
                <w:rFonts w:hint="eastAsia"/>
                <w:color w:val="auto"/>
                <w:sz w:val="24"/>
                <w:highlight w:val="none"/>
              </w:rPr>
              <w:t>月</w:t>
            </w:r>
            <w:r>
              <w:rPr>
                <w:rFonts w:hint="eastAsia"/>
                <w:color w:val="auto"/>
                <w:sz w:val="24"/>
                <w:highlight w:val="none"/>
                <w:lang w:val="en-US" w:eastAsia="zh-CN"/>
              </w:rPr>
              <w:t>26</w:t>
            </w:r>
            <w:r>
              <w:rPr>
                <w:color w:val="auto"/>
                <w:sz w:val="24"/>
                <w:highlight w:val="none"/>
              </w:rPr>
              <w:t>日对项目所在地的声环境进行了现状监测（项目编号：</w:t>
            </w:r>
            <w:r>
              <w:rPr>
                <w:rFonts w:hint="eastAsia"/>
                <w:color w:val="auto"/>
                <w:sz w:val="24"/>
                <w:highlight w:val="none"/>
              </w:rPr>
              <w:t>SCXSJSHBKJYXGS19923-0001</w:t>
            </w:r>
            <w:r>
              <w:rPr>
                <w:color w:val="auto"/>
                <w:sz w:val="24"/>
                <w:highlight w:val="none"/>
              </w:rPr>
              <w:t>）。</w:t>
            </w:r>
          </w:p>
          <w:p w14:paraId="5551ED24">
            <w:pPr>
              <w:spacing w:line="360" w:lineRule="auto"/>
              <w:ind w:firstLine="480" w:firstLineChars="200"/>
              <w:rPr>
                <w:color w:val="auto"/>
                <w:sz w:val="24"/>
                <w:highlight w:val="none"/>
              </w:rPr>
            </w:pPr>
            <w:r>
              <w:rPr>
                <w:rFonts w:hint="eastAsia"/>
                <w:color w:val="auto"/>
                <w:sz w:val="24"/>
                <w:highlight w:val="none"/>
              </w:rPr>
              <w:t>（1）</w:t>
            </w:r>
            <w:r>
              <w:rPr>
                <w:color w:val="auto"/>
                <w:sz w:val="24"/>
                <w:highlight w:val="none"/>
              </w:rPr>
              <w:t>监测点位、监测项目、监测频率及执行标准</w:t>
            </w:r>
          </w:p>
          <w:p w14:paraId="5B338F1A">
            <w:pPr>
              <w:topLinePunct/>
              <w:snapToGrid w:val="0"/>
              <w:jc w:val="center"/>
              <w:rPr>
                <w:b/>
                <w:bCs/>
                <w:color w:val="auto"/>
                <w:kern w:val="24"/>
                <w:szCs w:val="21"/>
                <w:highlight w:val="none"/>
              </w:rPr>
            </w:pPr>
            <w:r>
              <w:rPr>
                <w:b/>
                <w:bCs/>
                <w:color w:val="auto"/>
                <w:kern w:val="24"/>
                <w:szCs w:val="21"/>
                <w:highlight w:val="none"/>
              </w:rPr>
              <w:t>表</w:t>
            </w:r>
            <w:r>
              <w:rPr>
                <w:rFonts w:hint="eastAsia"/>
                <w:b/>
                <w:bCs/>
                <w:color w:val="auto"/>
                <w:kern w:val="24"/>
                <w:szCs w:val="21"/>
                <w:highlight w:val="none"/>
              </w:rPr>
              <w:t>3</w:t>
            </w:r>
            <w:r>
              <w:rPr>
                <w:b/>
                <w:bCs/>
                <w:color w:val="auto"/>
                <w:kern w:val="24"/>
                <w:szCs w:val="21"/>
                <w:highlight w:val="none"/>
              </w:rPr>
              <w:t>-3    声环境质量现状监测布点一览表</w:t>
            </w:r>
          </w:p>
          <w:tbl>
            <w:tblPr>
              <w:tblStyle w:val="34"/>
              <w:tblW w:w="789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701"/>
              <w:gridCol w:w="2072"/>
              <w:gridCol w:w="1257"/>
              <w:gridCol w:w="1325"/>
              <w:gridCol w:w="2543"/>
            </w:tblGrid>
            <w:tr w14:paraId="3DD249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22" w:hRule="atLeast"/>
                <w:jc w:val="center"/>
              </w:trPr>
              <w:tc>
                <w:tcPr>
                  <w:tcW w:w="701" w:type="dxa"/>
                  <w:vAlign w:val="center"/>
                </w:tcPr>
                <w:p w14:paraId="640653E5">
                  <w:pPr>
                    <w:spacing w:line="360" w:lineRule="exact"/>
                    <w:jc w:val="center"/>
                    <w:rPr>
                      <w:b/>
                      <w:bCs/>
                      <w:color w:val="auto"/>
                      <w:szCs w:val="21"/>
                      <w:highlight w:val="none"/>
                    </w:rPr>
                  </w:pPr>
                  <w:r>
                    <w:rPr>
                      <w:b/>
                      <w:bCs/>
                      <w:color w:val="auto"/>
                      <w:szCs w:val="21"/>
                      <w:highlight w:val="none"/>
                    </w:rPr>
                    <w:t>编号</w:t>
                  </w:r>
                </w:p>
              </w:tc>
              <w:tc>
                <w:tcPr>
                  <w:tcW w:w="2072" w:type="dxa"/>
                  <w:vAlign w:val="center"/>
                </w:tcPr>
                <w:p w14:paraId="40292205">
                  <w:pPr>
                    <w:spacing w:line="360" w:lineRule="exact"/>
                    <w:jc w:val="center"/>
                    <w:rPr>
                      <w:b/>
                      <w:bCs/>
                      <w:color w:val="auto"/>
                      <w:szCs w:val="21"/>
                      <w:highlight w:val="none"/>
                    </w:rPr>
                  </w:pPr>
                  <w:r>
                    <w:rPr>
                      <w:b/>
                      <w:bCs/>
                      <w:color w:val="auto"/>
                      <w:szCs w:val="21"/>
                      <w:highlight w:val="none"/>
                    </w:rPr>
                    <w:t>监测点位置</w:t>
                  </w:r>
                </w:p>
              </w:tc>
              <w:tc>
                <w:tcPr>
                  <w:tcW w:w="1257" w:type="dxa"/>
                  <w:vAlign w:val="center"/>
                </w:tcPr>
                <w:p w14:paraId="54EE38A7">
                  <w:pPr>
                    <w:spacing w:line="360" w:lineRule="exact"/>
                    <w:jc w:val="center"/>
                    <w:rPr>
                      <w:color w:val="auto"/>
                      <w:szCs w:val="21"/>
                      <w:highlight w:val="none"/>
                    </w:rPr>
                  </w:pPr>
                  <w:r>
                    <w:rPr>
                      <w:b/>
                      <w:bCs/>
                      <w:color w:val="auto"/>
                      <w:szCs w:val="21"/>
                      <w:highlight w:val="none"/>
                    </w:rPr>
                    <w:t>监测项目</w:t>
                  </w:r>
                </w:p>
              </w:tc>
              <w:tc>
                <w:tcPr>
                  <w:tcW w:w="1325" w:type="dxa"/>
                  <w:vAlign w:val="center"/>
                </w:tcPr>
                <w:p w14:paraId="3F494B0A">
                  <w:pPr>
                    <w:spacing w:line="360" w:lineRule="exact"/>
                    <w:jc w:val="center"/>
                    <w:rPr>
                      <w:color w:val="auto"/>
                      <w:szCs w:val="21"/>
                      <w:highlight w:val="none"/>
                    </w:rPr>
                  </w:pPr>
                  <w:r>
                    <w:rPr>
                      <w:b/>
                      <w:bCs/>
                      <w:color w:val="auto"/>
                      <w:szCs w:val="21"/>
                      <w:highlight w:val="none"/>
                    </w:rPr>
                    <w:t>监测频率</w:t>
                  </w:r>
                </w:p>
              </w:tc>
              <w:tc>
                <w:tcPr>
                  <w:tcW w:w="2543" w:type="dxa"/>
                  <w:vAlign w:val="center"/>
                </w:tcPr>
                <w:p w14:paraId="757CC645">
                  <w:pPr>
                    <w:spacing w:line="360" w:lineRule="exact"/>
                    <w:jc w:val="center"/>
                    <w:rPr>
                      <w:b/>
                      <w:bCs/>
                      <w:color w:val="auto"/>
                      <w:szCs w:val="21"/>
                      <w:highlight w:val="none"/>
                    </w:rPr>
                  </w:pPr>
                  <w:r>
                    <w:rPr>
                      <w:b/>
                      <w:bCs/>
                      <w:color w:val="auto"/>
                      <w:szCs w:val="21"/>
                      <w:highlight w:val="none"/>
                    </w:rPr>
                    <w:t>执行标准</w:t>
                  </w:r>
                </w:p>
              </w:tc>
            </w:tr>
            <w:tr w14:paraId="16213F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02" w:hRule="atLeast"/>
                <w:jc w:val="center"/>
              </w:trPr>
              <w:tc>
                <w:tcPr>
                  <w:tcW w:w="701" w:type="dxa"/>
                  <w:vAlign w:val="center"/>
                </w:tcPr>
                <w:p w14:paraId="2D37600A">
                  <w:pPr>
                    <w:jc w:val="center"/>
                    <w:rPr>
                      <w:color w:val="auto"/>
                      <w:szCs w:val="21"/>
                      <w:highlight w:val="none"/>
                    </w:rPr>
                  </w:pPr>
                  <w:r>
                    <w:rPr>
                      <w:color w:val="auto"/>
                      <w:szCs w:val="21"/>
                      <w:highlight w:val="none"/>
                    </w:rPr>
                    <w:t>1#</w:t>
                  </w:r>
                </w:p>
              </w:tc>
              <w:tc>
                <w:tcPr>
                  <w:tcW w:w="2072" w:type="dxa"/>
                  <w:vAlign w:val="center"/>
                </w:tcPr>
                <w:p w14:paraId="49536651">
                  <w:pPr>
                    <w:jc w:val="center"/>
                    <w:rPr>
                      <w:color w:val="auto"/>
                      <w:szCs w:val="21"/>
                      <w:highlight w:val="none"/>
                    </w:rPr>
                  </w:pP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REF </w:instrText>
                  </w:r>
                  <w:r>
                    <w:rPr>
                      <w:rFonts w:hint="default" w:ascii="Times New Roman" w:hAnsi="Times New Roman" w:eastAsia="宋体" w:cs="Times New Roman"/>
                      <w:color w:val="auto"/>
                      <w:sz w:val="21"/>
                      <w:szCs w:val="21"/>
                      <w:highlight w:val="none"/>
                      <w:lang w:val="en-US" w:eastAsia="zh-CN"/>
                    </w:rPr>
                    <w:instrText xml:space="preserve">噪声1</w:instrText>
                  </w:r>
                  <w:r>
                    <w:rPr>
                      <w:rFonts w:hint="default" w:ascii="Times New Roman" w:hAnsi="Times New Roman" w:eastAsia="宋体" w:cs="Times New Roman"/>
                      <w:color w:val="auto"/>
                      <w:sz w:val="21"/>
                      <w:szCs w:val="21"/>
                      <w:highlight w:val="none"/>
                    </w:rPr>
                    <w:instrText xml:space="preserve"> \h \* MERGEFORMAT</w:instrText>
                  </w:r>
                  <w:r>
                    <w:rPr>
                      <w:rFonts w:hint="default" w:ascii="Times New Roman" w:hAnsi="Times New Roman" w:eastAsia="宋体" w:cs="Times New Roman"/>
                      <w:color w:val="auto"/>
                      <w:sz w:val="21"/>
                      <w:szCs w:val="21"/>
                      <w:highlight w:val="none"/>
                    </w:rPr>
                    <w:fldChar w:fldCharType="separate"/>
                  </w:r>
                  <w:r>
                    <w:rPr>
                      <w:rFonts w:hint="default" w:ascii="Times New Roman" w:hAnsi="Times New Roman" w:eastAsia="宋体" w:cs="Times New Roman"/>
                      <w:color w:val="auto"/>
                      <w:sz w:val="21"/>
                      <w:szCs w:val="21"/>
                      <w:highlight w:val="none"/>
                      <w:lang w:val="en-US" w:eastAsia="zh-CN"/>
                    </w:rPr>
                    <w:t>项目西侧关坝镇小学</w:t>
                  </w:r>
                  <w:r>
                    <w:rPr>
                      <w:rFonts w:hint="default" w:ascii="Times New Roman" w:hAnsi="Times New Roman" w:eastAsia="宋体" w:cs="Times New Roman"/>
                      <w:color w:val="auto"/>
                      <w:sz w:val="21"/>
                      <w:szCs w:val="21"/>
                      <w:highlight w:val="none"/>
                    </w:rPr>
                    <w:fldChar w:fldCharType="end"/>
                  </w:r>
                </w:p>
              </w:tc>
              <w:tc>
                <w:tcPr>
                  <w:tcW w:w="1257" w:type="dxa"/>
                  <w:vMerge w:val="restart"/>
                  <w:vAlign w:val="center"/>
                </w:tcPr>
                <w:p w14:paraId="20C5EB98">
                  <w:pPr>
                    <w:spacing w:line="360" w:lineRule="exact"/>
                    <w:jc w:val="center"/>
                    <w:rPr>
                      <w:color w:val="auto"/>
                      <w:szCs w:val="21"/>
                      <w:highlight w:val="none"/>
                    </w:rPr>
                  </w:pPr>
                  <w:r>
                    <w:rPr>
                      <w:color w:val="auto"/>
                      <w:szCs w:val="21"/>
                      <w:highlight w:val="none"/>
                    </w:rPr>
                    <w:t>等效连续</w:t>
                  </w:r>
                </w:p>
                <w:p w14:paraId="36C4880E">
                  <w:pPr>
                    <w:spacing w:line="360" w:lineRule="exact"/>
                    <w:jc w:val="center"/>
                    <w:rPr>
                      <w:color w:val="auto"/>
                      <w:szCs w:val="21"/>
                      <w:highlight w:val="none"/>
                    </w:rPr>
                  </w:pPr>
                  <w:r>
                    <w:rPr>
                      <w:color w:val="auto"/>
                      <w:szCs w:val="21"/>
                      <w:highlight w:val="none"/>
                    </w:rPr>
                    <w:t>A声级（Leq（A））</w:t>
                  </w:r>
                </w:p>
              </w:tc>
              <w:tc>
                <w:tcPr>
                  <w:tcW w:w="1325" w:type="dxa"/>
                  <w:vMerge w:val="restart"/>
                  <w:vAlign w:val="center"/>
                </w:tcPr>
                <w:p w14:paraId="5C19E6EC">
                  <w:pPr>
                    <w:spacing w:line="360" w:lineRule="exact"/>
                    <w:jc w:val="center"/>
                    <w:rPr>
                      <w:color w:val="auto"/>
                      <w:szCs w:val="21"/>
                      <w:highlight w:val="none"/>
                    </w:rPr>
                  </w:pPr>
                  <w:r>
                    <w:rPr>
                      <w:color w:val="auto"/>
                      <w:szCs w:val="21"/>
                      <w:highlight w:val="none"/>
                    </w:rPr>
                    <w:t>监测</w:t>
                  </w:r>
                  <w:r>
                    <w:rPr>
                      <w:rFonts w:hint="eastAsia"/>
                      <w:color w:val="auto"/>
                      <w:szCs w:val="21"/>
                      <w:highlight w:val="none"/>
                    </w:rPr>
                    <w:t>1</w:t>
                  </w:r>
                  <w:r>
                    <w:rPr>
                      <w:color w:val="auto"/>
                      <w:szCs w:val="21"/>
                      <w:highlight w:val="none"/>
                    </w:rPr>
                    <w:t>天，每天昼夜各1次</w:t>
                  </w:r>
                </w:p>
              </w:tc>
              <w:tc>
                <w:tcPr>
                  <w:tcW w:w="2543" w:type="dxa"/>
                  <w:vMerge w:val="restart"/>
                  <w:vAlign w:val="center"/>
                </w:tcPr>
                <w:p w14:paraId="60806C1F">
                  <w:pPr>
                    <w:widowControl/>
                    <w:jc w:val="center"/>
                    <w:rPr>
                      <w:color w:val="auto"/>
                      <w:szCs w:val="21"/>
                      <w:highlight w:val="none"/>
                    </w:rPr>
                  </w:pPr>
                  <w:r>
                    <w:rPr>
                      <w:color w:val="auto"/>
                      <w:szCs w:val="21"/>
                      <w:highlight w:val="none"/>
                    </w:rPr>
                    <w:t>《声环境质量标准》（GB3096-2008）2类标准</w:t>
                  </w:r>
                </w:p>
              </w:tc>
            </w:tr>
            <w:tr w14:paraId="19C3E4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02" w:hRule="atLeast"/>
                <w:jc w:val="center"/>
              </w:trPr>
              <w:tc>
                <w:tcPr>
                  <w:tcW w:w="701" w:type="dxa"/>
                  <w:vAlign w:val="center"/>
                </w:tcPr>
                <w:p w14:paraId="675E67BC">
                  <w:pPr>
                    <w:jc w:val="center"/>
                    <w:rPr>
                      <w:color w:val="auto"/>
                      <w:szCs w:val="21"/>
                      <w:highlight w:val="none"/>
                    </w:rPr>
                  </w:pPr>
                  <w:r>
                    <w:rPr>
                      <w:color w:val="auto"/>
                      <w:szCs w:val="21"/>
                      <w:highlight w:val="none"/>
                    </w:rPr>
                    <w:t>2#</w:t>
                  </w:r>
                </w:p>
              </w:tc>
              <w:tc>
                <w:tcPr>
                  <w:tcW w:w="2072" w:type="dxa"/>
                  <w:vAlign w:val="center"/>
                </w:tcPr>
                <w:p w14:paraId="63D3ED3C">
                  <w:pPr>
                    <w:jc w:val="center"/>
                    <w:rPr>
                      <w:color w:val="auto"/>
                      <w:szCs w:val="21"/>
                      <w:highlight w:val="none"/>
                    </w:rPr>
                  </w:pPr>
                  <w:r>
                    <w:rPr>
                      <w:rFonts w:hint="default" w:ascii="Times New Roman" w:hAnsi="Times New Roman" w:eastAsia="宋体" w:cs="Times New Roman"/>
                      <w:color w:val="auto"/>
                      <w:sz w:val="21"/>
                      <w:szCs w:val="21"/>
                      <w:highlight w:val="none"/>
                      <w:lang w:val="en-US" w:eastAsia="zh-CN"/>
                    </w:rPr>
                    <w:t>项目西南侧居民处</w:t>
                  </w:r>
                </w:p>
              </w:tc>
              <w:tc>
                <w:tcPr>
                  <w:tcW w:w="1257" w:type="dxa"/>
                  <w:vMerge w:val="continue"/>
                  <w:vAlign w:val="center"/>
                </w:tcPr>
                <w:p w14:paraId="75AE7A49">
                  <w:pPr>
                    <w:widowControl/>
                    <w:jc w:val="left"/>
                    <w:rPr>
                      <w:color w:val="auto"/>
                      <w:szCs w:val="21"/>
                      <w:highlight w:val="none"/>
                    </w:rPr>
                  </w:pPr>
                </w:p>
              </w:tc>
              <w:tc>
                <w:tcPr>
                  <w:tcW w:w="1325" w:type="dxa"/>
                  <w:vMerge w:val="continue"/>
                  <w:vAlign w:val="center"/>
                </w:tcPr>
                <w:p w14:paraId="1531CE8E">
                  <w:pPr>
                    <w:widowControl/>
                    <w:jc w:val="left"/>
                    <w:rPr>
                      <w:color w:val="auto"/>
                      <w:szCs w:val="21"/>
                      <w:highlight w:val="none"/>
                    </w:rPr>
                  </w:pPr>
                </w:p>
              </w:tc>
              <w:tc>
                <w:tcPr>
                  <w:tcW w:w="2543" w:type="dxa"/>
                  <w:vMerge w:val="continue"/>
                  <w:vAlign w:val="center"/>
                </w:tcPr>
                <w:p w14:paraId="37AD019E">
                  <w:pPr>
                    <w:widowControl/>
                    <w:jc w:val="center"/>
                    <w:rPr>
                      <w:color w:val="auto"/>
                      <w:szCs w:val="21"/>
                      <w:highlight w:val="none"/>
                    </w:rPr>
                  </w:pPr>
                </w:p>
              </w:tc>
            </w:tr>
            <w:tr w14:paraId="1F6D8B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32" w:hRule="atLeast"/>
                <w:jc w:val="center"/>
              </w:trPr>
              <w:tc>
                <w:tcPr>
                  <w:tcW w:w="701" w:type="dxa"/>
                  <w:vAlign w:val="center"/>
                </w:tcPr>
                <w:p w14:paraId="0BF719E3">
                  <w:pPr>
                    <w:jc w:val="center"/>
                    <w:rPr>
                      <w:color w:val="auto"/>
                      <w:szCs w:val="21"/>
                      <w:highlight w:val="none"/>
                    </w:rPr>
                  </w:pPr>
                  <w:r>
                    <w:rPr>
                      <w:rFonts w:hint="eastAsia"/>
                      <w:color w:val="auto"/>
                      <w:szCs w:val="21"/>
                      <w:highlight w:val="none"/>
                    </w:rPr>
                    <w:t>3#</w:t>
                  </w:r>
                </w:p>
              </w:tc>
              <w:tc>
                <w:tcPr>
                  <w:tcW w:w="2072" w:type="dxa"/>
                  <w:vAlign w:val="center"/>
                </w:tcPr>
                <w:p w14:paraId="5C05BECD">
                  <w:pPr>
                    <w:jc w:val="center"/>
                    <w:rPr>
                      <w:color w:val="auto"/>
                      <w:szCs w:val="21"/>
                      <w:highlight w:val="none"/>
                    </w:rPr>
                  </w:pPr>
                  <w:r>
                    <w:rPr>
                      <w:rFonts w:hint="default" w:ascii="Times New Roman" w:hAnsi="Times New Roman" w:eastAsia="宋体" w:cs="Times New Roman"/>
                      <w:color w:val="auto"/>
                      <w:sz w:val="21"/>
                      <w:szCs w:val="21"/>
                      <w:highlight w:val="none"/>
                      <w:lang w:val="en-US" w:eastAsia="zh-CN"/>
                    </w:rPr>
                    <w:t>项目北侧居民处</w:t>
                  </w:r>
                </w:p>
              </w:tc>
              <w:tc>
                <w:tcPr>
                  <w:tcW w:w="1257" w:type="dxa"/>
                  <w:vMerge w:val="continue"/>
                  <w:vAlign w:val="center"/>
                </w:tcPr>
                <w:p w14:paraId="0D429F0C">
                  <w:pPr>
                    <w:widowControl/>
                    <w:jc w:val="left"/>
                    <w:rPr>
                      <w:color w:val="auto"/>
                      <w:szCs w:val="21"/>
                      <w:highlight w:val="none"/>
                    </w:rPr>
                  </w:pPr>
                </w:p>
              </w:tc>
              <w:tc>
                <w:tcPr>
                  <w:tcW w:w="1325" w:type="dxa"/>
                  <w:vMerge w:val="continue"/>
                  <w:vAlign w:val="center"/>
                </w:tcPr>
                <w:p w14:paraId="68D7A1A3">
                  <w:pPr>
                    <w:widowControl/>
                    <w:jc w:val="left"/>
                    <w:rPr>
                      <w:color w:val="auto"/>
                      <w:szCs w:val="21"/>
                      <w:highlight w:val="none"/>
                    </w:rPr>
                  </w:pPr>
                </w:p>
              </w:tc>
              <w:tc>
                <w:tcPr>
                  <w:tcW w:w="2543" w:type="dxa"/>
                  <w:vMerge w:val="continue"/>
                  <w:vAlign w:val="center"/>
                </w:tcPr>
                <w:p w14:paraId="32038EB1">
                  <w:pPr>
                    <w:widowControl/>
                    <w:jc w:val="center"/>
                    <w:rPr>
                      <w:color w:val="auto"/>
                      <w:szCs w:val="21"/>
                      <w:highlight w:val="none"/>
                    </w:rPr>
                  </w:pPr>
                </w:p>
              </w:tc>
            </w:tr>
          </w:tbl>
          <w:p w14:paraId="23C4C27F">
            <w:pPr>
              <w:pStyle w:val="69"/>
              <w:widowControl w:val="0"/>
              <w:tabs>
                <w:tab w:val="left" w:pos="1484"/>
              </w:tabs>
              <w:spacing w:before="120" w:beforeLines="50" w:line="360" w:lineRule="auto"/>
              <w:ind w:left="420" w:leftChars="200" w:firstLine="0"/>
              <w:jc w:val="both"/>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（2）</w:t>
            </w:r>
            <w:r>
              <w:rPr>
                <w:rFonts w:ascii="Times New Roman" w:hAnsi="Times New Roman" w:cs="Times New Roman"/>
                <w:color w:val="auto"/>
                <w:sz w:val="24"/>
                <w:highlight w:val="none"/>
              </w:rPr>
              <w:t>监测方法</w:t>
            </w:r>
          </w:p>
          <w:p w14:paraId="5A8A47F1">
            <w:pPr>
              <w:pStyle w:val="69"/>
              <w:tabs>
                <w:tab w:val="left" w:pos="1484"/>
              </w:tabs>
              <w:spacing w:line="360" w:lineRule="auto"/>
              <w:ind w:firstLine="480" w:firstLineChars="200"/>
              <w:jc w:val="both"/>
              <w:rPr>
                <w:rFonts w:ascii="Times New Roman" w:hAnsi="Times New Roman" w:cs="Times New Roman"/>
                <w:color w:val="auto"/>
                <w:sz w:val="24"/>
                <w:highlight w:val="none"/>
              </w:rPr>
            </w:pPr>
            <w:r>
              <w:rPr>
                <w:rFonts w:ascii="Times New Roman" w:hAnsi="Times New Roman" w:cs="Times New Roman"/>
                <w:color w:val="auto"/>
                <w:sz w:val="24"/>
                <w:highlight w:val="none"/>
              </w:rPr>
              <w:t>按《声环境质量标准》（GB3096-2008）中相关规定进行。</w:t>
            </w:r>
          </w:p>
          <w:p w14:paraId="33F62114">
            <w:pPr>
              <w:autoSpaceDE w:val="0"/>
              <w:autoSpaceDN w:val="0"/>
              <w:spacing w:line="360" w:lineRule="auto"/>
              <w:ind w:firstLine="480" w:firstLineChars="200"/>
              <w:rPr>
                <w:color w:val="auto"/>
                <w:sz w:val="24"/>
                <w:highlight w:val="none"/>
              </w:rPr>
            </w:pPr>
            <w:r>
              <w:rPr>
                <w:rFonts w:hint="eastAsia"/>
                <w:color w:val="auto"/>
                <w:sz w:val="24"/>
                <w:highlight w:val="none"/>
              </w:rPr>
              <w:t>（3）</w:t>
            </w:r>
            <w:r>
              <w:rPr>
                <w:color w:val="auto"/>
                <w:sz w:val="24"/>
                <w:highlight w:val="none"/>
              </w:rPr>
              <w:t>检测结果及评价</w:t>
            </w:r>
          </w:p>
          <w:p w14:paraId="3FFDE0DE">
            <w:pPr>
              <w:pStyle w:val="69"/>
              <w:tabs>
                <w:tab w:val="left" w:pos="1484"/>
              </w:tabs>
              <w:spacing w:line="360" w:lineRule="auto"/>
              <w:ind w:firstLine="480" w:firstLineChars="200"/>
              <w:jc w:val="both"/>
              <w:rPr>
                <w:rFonts w:ascii="Times New Roman" w:hAnsi="Times New Roman" w:cs="Times New Roman"/>
                <w:color w:val="auto"/>
                <w:sz w:val="24"/>
                <w:highlight w:val="none"/>
              </w:rPr>
            </w:pPr>
            <w:r>
              <w:rPr>
                <w:rFonts w:ascii="Times New Roman" w:hAnsi="Times New Roman" w:cs="Times New Roman"/>
                <w:color w:val="auto"/>
                <w:sz w:val="24"/>
                <w:highlight w:val="none"/>
              </w:rPr>
              <w:t>根据现状检测数据，对项目区域声环境质量现状进行评价，检测结果及评价见表</w:t>
            </w:r>
            <w:r>
              <w:rPr>
                <w:rFonts w:hint="eastAsia" w:ascii="Times New Roman" w:hAnsi="Times New Roman" w:cs="Times New Roman"/>
                <w:color w:val="auto"/>
                <w:sz w:val="24"/>
                <w:highlight w:val="none"/>
              </w:rPr>
              <w:t>3-4</w:t>
            </w:r>
            <w:r>
              <w:rPr>
                <w:rFonts w:ascii="Times New Roman" w:hAnsi="Times New Roman" w:cs="Times New Roman"/>
                <w:color w:val="auto"/>
                <w:sz w:val="24"/>
                <w:highlight w:val="none"/>
              </w:rPr>
              <w:t>。</w:t>
            </w:r>
          </w:p>
          <w:p w14:paraId="2F4B75ED">
            <w:pPr>
              <w:jc w:val="center"/>
              <w:rPr>
                <w:b/>
                <w:color w:val="auto"/>
                <w:szCs w:val="21"/>
                <w:highlight w:val="none"/>
              </w:rPr>
            </w:pPr>
            <w:r>
              <w:rPr>
                <w:b/>
                <w:color w:val="auto"/>
                <w:szCs w:val="21"/>
                <w:highlight w:val="none"/>
              </w:rPr>
              <w:t>表</w:t>
            </w:r>
            <w:r>
              <w:rPr>
                <w:rFonts w:hint="eastAsia"/>
                <w:b/>
                <w:color w:val="auto"/>
                <w:szCs w:val="21"/>
                <w:highlight w:val="none"/>
              </w:rPr>
              <w:t>3-4</w:t>
            </w:r>
            <w:r>
              <w:rPr>
                <w:b/>
                <w:color w:val="auto"/>
                <w:szCs w:val="21"/>
                <w:highlight w:val="none"/>
              </w:rPr>
              <w:t xml:space="preserve">  声环境检测统计结果及评价一览表</w:t>
            </w:r>
          </w:p>
          <w:tbl>
            <w:tblPr>
              <w:tblStyle w:val="34"/>
              <w:tblW w:w="803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962"/>
              <w:gridCol w:w="1907"/>
              <w:gridCol w:w="1668"/>
              <w:gridCol w:w="1306"/>
              <w:gridCol w:w="1205"/>
              <w:gridCol w:w="988"/>
            </w:tblGrid>
            <w:tr w14:paraId="6FDEE6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962" w:type="dxa"/>
                  <w:vAlign w:val="center"/>
                </w:tcPr>
                <w:p w14:paraId="5A3CAECD">
                  <w:pPr>
                    <w:adjustRightInd w:val="0"/>
                    <w:snapToGrid w:val="0"/>
                    <w:spacing w:line="312" w:lineRule="exact"/>
                    <w:jc w:val="center"/>
                    <w:rPr>
                      <w:b/>
                      <w:color w:val="auto"/>
                      <w:szCs w:val="21"/>
                      <w:highlight w:val="none"/>
                    </w:rPr>
                  </w:pPr>
                  <w:r>
                    <w:rPr>
                      <w:b/>
                      <w:color w:val="auto"/>
                      <w:szCs w:val="21"/>
                      <w:highlight w:val="none"/>
                    </w:rPr>
                    <w:t>监测日期</w:t>
                  </w:r>
                </w:p>
              </w:tc>
              <w:tc>
                <w:tcPr>
                  <w:tcW w:w="1907" w:type="dxa"/>
                  <w:vAlign w:val="center"/>
                </w:tcPr>
                <w:p w14:paraId="442E7470">
                  <w:pPr>
                    <w:adjustRightInd w:val="0"/>
                    <w:snapToGrid w:val="0"/>
                    <w:spacing w:line="312" w:lineRule="exact"/>
                    <w:jc w:val="center"/>
                    <w:rPr>
                      <w:b/>
                      <w:color w:val="auto"/>
                      <w:szCs w:val="21"/>
                      <w:highlight w:val="none"/>
                    </w:rPr>
                  </w:pPr>
                  <w:r>
                    <w:rPr>
                      <w:b/>
                      <w:color w:val="auto"/>
                      <w:szCs w:val="21"/>
                      <w:highlight w:val="none"/>
                    </w:rPr>
                    <w:t>监测点位</w:t>
                  </w:r>
                </w:p>
              </w:tc>
              <w:tc>
                <w:tcPr>
                  <w:tcW w:w="1668" w:type="dxa"/>
                  <w:vAlign w:val="center"/>
                </w:tcPr>
                <w:p w14:paraId="3AA19F2E">
                  <w:pPr>
                    <w:pStyle w:val="30"/>
                    <w:adjustRightInd w:val="0"/>
                    <w:spacing w:before="0" w:beforeAutospacing="0" w:after="0" w:afterAutospacing="0"/>
                    <w:jc w:val="center"/>
                    <w:rPr>
                      <w:rFonts w:ascii="Times New Roman" w:hAnsi="Times New Roman"/>
                      <w:b/>
                      <w:bCs/>
                      <w:color w:val="auto"/>
                      <w:sz w:val="21"/>
                      <w:szCs w:val="21"/>
                      <w:highlight w:val="none"/>
                    </w:rPr>
                  </w:pPr>
                  <w:r>
                    <w:rPr>
                      <w:rFonts w:ascii="Times New Roman" w:hAnsi="Times New Roman"/>
                      <w:b/>
                      <w:color w:val="auto"/>
                      <w:sz w:val="21"/>
                      <w:szCs w:val="21"/>
                      <w:highlight w:val="none"/>
                    </w:rPr>
                    <w:t>检测时间</w:t>
                  </w:r>
                </w:p>
              </w:tc>
              <w:tc>
                <w:tcPr>
                  <w:tcW w:w="1306" w:type="dxa"/>
                  <w:vAlign w:val="center"/>
                </w:tcPr>
                <w:p w14:paraId="79C35FE4">
                  <w:pPr>
                    <w:pStyle w:val="30"/>
                    <w:adjustRightInd w:val="0"/>
                    <w:spacing w:before="0" w:beforeAutospacing="0" w:after="0" w:afterAutospacing="0"/>
                    <w:jc w:val="center"/>
                    <w:rPr>
                      <w:rFonts w:ascii="Times New Roman" w:hAnsi="Times New Roman"/>
                      <w:b/>
                      <w:color w:val="auto"/>
                      <w:sz w:val="21"/>
                      <w:szCs w:val="21"/>
                      <w:highlight w:val="none"/>
                    </w:rPr>
                  </w:pPr>
                  <w:r>
                    <w:rPr>
                      <w:rFonts w:ascii="Times New Roman" w:hAnsi="Times New Roman"/>
                      <w:b/>
                      <w:color w:val="auto"/>
                      <w:sz w:val="21"/>
                      <w:szCs w:val="21"/>
                      <w:highlight w:val="none"/>
                    </w:rPr>
                    <w:t>检测结果dB</w:t>
                  </w:r>
                  <w:r>
                    <w:rPr>
                      <w:rFonts w:hint="eastAsia" w:ascii="Times New Roman" w:hAnsi="Times New Roman"/>
                      <w:b/>
                      <w:color w:val="auto"/>
                      <w:sz w:val="21"/>
                      <w:szCs w:val="21"/>
                      <w:highlight w:val="none"/>
                    </w:rPr>
                    <w:t>（</w:t>
                  </w:r>
                  <w:r>
                    <w:rPr>
                      <w:rFonts w:ascii="Times New Roman" w:hAnsi="Times New Roman"/>
                      <w:b/>
                      <w:color w:val="auto"/>
                      <w:sz w:val="21"/>
                      <w:szCs w:val="21"/>
                      <w:highlight w:val="none"/>
                    </w:rPr>
                    <w:t>A</w:t>
                  </w:r>
                  <w:r>
                    <w:rPr>
                      <w:rFonts w:hint="eastAsia" w:ascii="Times New Roman" w:hAnsi="Times New Roman"/>
                      <w:b/>
                      <w:color w:val="auto"/>
                      <w:sz w:val="21"/>
                      <w:szCs w:val="21"/>
                      <w:highlight w:val="none"/>
                    </w:rPr>
                    <w:t>）</w:t>
                  </w:r>
                </w:p>
              </w:tc>
              <w:tc>
                <w:tcPr>
                  <w:tcW w:w="1205" w:type="dxa"/>
                  <w:vAlign w:val="center"/>
                </w:tcPr>
                <w:p w14:paraId="5BEA428C">
                  <w:pPr>
                    <w:adjustRightInd w:val="0"/>
                    <w:snapToGrid w:val="0"/>
                    <w:spacing w:line="312" w:lineRule="exact"/>
                    <w:jc w:val="center"/>
                    <w:rPr>
                      <w:b/>
                      <w:color w:val="auto"/>
                      <w:szCs w:val="21"/>
                      <w:highlight w:val="none"/>
                    </w:rPr>
                  </w:pPr>
                  <w:r>
                    <w:rPr>
                      <w:b/>
                      <w:color w:val="auto"/>
                      <w:szCs w:val="21"/>
                      <w:highlight w:val="none"/>
                    </w:rPr>
                    <w:t>执行标准</w:t>
                  </w:r>
                </w:p>
              </w:tc>
              <w:tc>
                <w:tcPr>
                  <w:tcW w:w="988" w:type="dxa"/>
                  <w:vAlign w:val="center"/>
                </w:tcPr>
                <w:p w14:paraId="225B9032">
                  <w:pPr>
                    <w:adjustRightInd w:val="0"/>
                    <w:snapToGrid w:val="0"/>
                    <w:spacing w:line="312" w:lineRule="exact"/>
                    <w:jc w:val="center"/>
                    <w:rPr>
                      <w:b/>
                      <w:color w:val="auto"/>
                      <w:szCs w:val="21"/>
                      <w:highlight w:val="none"/>
                    </w:rPr>
                  </w:pPr>
                  <w:r>
                    <w:rPr>
                      <w:b/>
                      <w:color w:val="auto"/>
                      <w:szCs w:val="21"/>
                      <w:highlight w:val="none"/>
                    </w:rPr>
                    <w:t>达标情况</w:t>
                  </w:r>
                </w:p>
              </w:tc>
            </w:tr>
            <w:tr w14:paraId="74CE38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962" w:type="dxa"/>
                  <w:vMerge w:val="restart"/>
                  <w:vAlign w:val="center"/>
                </w:tcPr>
                <w:p w14:paraId="17F00F58">
                  <w:pPr>
                    <w:widowControl/>
                    <w:spacing w:line="312" w:lineRule="exact"/>
                    <w:jc w:val="center"/>
                    <w:textAlignment w:val="center"/>
                    <w:rPr>
                      <w:rFonts w:hint="default" w:eastAsia="宋体"/>
                      <w:bCs/>
                      <w:color w:val="auto"/>
                      <w:szCs w:val="21"/>
                      <w:highlight w:val="none"/>
                      <w:lang w:val="en-US" w:eastAsia="zh-CN"/>
                    </w:rPr>
                  </w:pPr>
                  <w:r>
                    <w:rPr>
                      <w:bCs/>
                      <w:color w:val="auto"/>
                      <w:szCs w:val="21"/>
                      <w:highlight w:val="none"/>
                    </w:rPr>
                    <w:t>202</w:t>
                  </w:r>
                  <w:r>
                    <w:rPr>
                      <w:rFonts w:hint="eastAsia"/>
                      <w:bCs/>
                      <w:color w:val="auto"/>
                      <w:szCs w:val="21"/>
                      <w:highlight w:val="none"/>
                      <w:lang w:val="en-US" w:eastAsia="zh-CN"/>
                    </w:rPr>
                    <w:t>6.5.26</w:t>
                  </w:r>
                </w:p>
              </w:tc>
              <w:tc>
                <w:tcPr>
                  <w:tcW w:w="1907" w:type="dxa"/>
                  <w:vMerge w:val="restart"/>
                  <w:vAlign w:val="center"/>
                </w:tcPr>
                <w:p w14:paraId="30BF62A1">
                  <w:pPr>
                    <w:jc w:val="center"/>
                    <w:rPr>
                      <w:bCs/>
                      <w:color w:val="auto"/>
                      <w:szCs w:val="21"/>
                      <w:highlight w:val="none"/>
                    </w:rPr>
                  </w:pPr>
                  <w:r>
                    <w:rPr>
                      <w:rFonts w:hint="eastAsia"/>
                      <w:color w:val="auto"/>
                      <w:szCs w:val="21"/>
                      <w:highlight w:val="none"/>
                    </w:rPr>
                    <w:t>1#</w:t>
                  </w:r>
                  <w:r>
                    <w:rPr>
                      <w:rFonts w:hint="default" w:ascii="Times New Roman" w:hAnsi="Times New Roman" w:eastAsia="宋体" w:cs="Times New Roman"/>
                      <w:color w:val="auto"/>
                      <w:sz w:val="21"/>
                      <w:szCs w:val="21"/>
                      <w:highlight w:val="none"/>
                      <w:lang w:val="en-US" w:eastAsia="zh-CN"/>
                    </w:rPr>
                    <w:t>项目西侧关坝镇小学</w:t>
                  </w:r>
                </w:p>
              </w:tc>
              <w:tc>
                <w:tcPr>
                  <w:tcW w:w="1668" w:type="dxa"/>
                  <w:shd w:val="clear" w:color="auto" w:fill="auto"/>
                  <w:vAlign w:val="center"/>
                </w:tcPr>
                <w:p w14:paraId="0B063008">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vertAlign w:val="baseline"/>
                      <w:lang w:val="en-US" w:eastAsia="zh-CN"/>
                    </w:rPr>
                    <w:t>17:25-17:35（昼）</w:t>
                  </w:r>
                </w:p>
              </w:tc>
              <w:tc>
                <w:tcPr>
                  <w:tcW w:w="1306" w:type="dxa"/>
                  <w:shd w:val="clear" w:color="auto" w:fill="auto"/>
                  <w:vAlign w:val="center"/>
                </w:tcPr>
                <w:p w14:paraId="3D48BF40">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vertAlign w:val="baseline"/>
                      <w:lang w:val="en-US" w:eastAsia="zh-CN"/>
                    </w:rPr>
                    <w:t>52</w:t>
                  </w:r>
                </w:p>
              </w:tc>
              <w:tc>
                <w:tcPr>
                  <w:tcW w:w="1205" w:type="dxa"/>
                  <w:vAlign w:val="center"/>
                </w:tcPr>
                <w:p w14:paraId="0FACE5CA">
                  <w:pPr>
                    <w:spacing w:line="312" w:lineRule="exact"/>
                    <w:jc w:val="center"/>
                    <w:rPr>
                      <w:color w:val="auto"/>
                      <w:szCs w:val="21"/>
                      <w:highlight w:val="none"/>
                    </w:rPr>
                  </w:pPr>
                  <w:r>
                    <w:rPr>
                      <w:rFonts w:hint="eastAsia"/>
                      <w:color w:val="auto"/>
                      <w:szCs w:val="21"/>
                      <w:highlight w:val="none"/>
                    </w:rPr>
                    <w:t>60</w:t>
                  </w:r>
                </w:p>
              </w:tc>
              <w:tc>
                <w:tcPr>
                  <w:tcW w:w="988" w:type="dxa"/>
                  <w:vAlign w:val="center"/>
                </w:tcPr>
                <w:p w14:paraId="2F754A2F">
                  <w:pPr>
                    <w:spacing w:line="312" w:lineRule="exact"/>
                    <w:jc w:val="center"/>
                    <w:rPr>
                      <w:color w:val="auto"/>
                      <w:szCs w:val="21"/>
                      <w:highlight w:val="none"/>
                    </w:rPr>
                  </w:pPr>
                  <w:r>
                    <w:rPr>
                      <w:color w:val="auto"/>
                      <w:szCs w:val="21"/>
                      <w:highlight w:val="none"/>
                    </w:rPr>
                    <w:t>达标</w:t>
                  </w:r>
                </w:p>
              </w:tc>
            </w:tr>
            <w:tr w14:paraId="7FC5CA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962" w:type="dxa"/>
                  <w:vMerge w:val="continue"/>
                  <w:vAlign w:val="center"/>
                </w:tcPr>
                <w:p w14:paraId="177766C3">
                  <w:pPr>
                    <w:widowControl/>
                    <w:spacing w:line="312" w:lineRule="exact"/>
                    <w:jc w:val="center"/>
                    <w:textAlignment w:val="center"/>
                    <w:rPr>
                      <w:bCs/>
                      <w:color w:val="auto"/>
                      <w:szCs w:val="21"/>
                      <w:highlight w:val="none"/>
                    </w:rPr>
                  </w:pPr>
                </w:p>
              </w:tc>
              <w:tc>
                <w:tcPr>
                  <w:tcW w:w="1907" w:type="dxa"/>
                  <w:vMerge w:val="continue"/>
                  <w:vAlign w:val="center"/>
                </w:tcPr>
                <w:p w14:paraId="1F7136DE">
                  <w:pPr>
                    <w:jc w:val="center"/>
                    <w:rPr>
                      <w:bCs/>
                      <w:color w:val="auto"/>
                      <w:szCs w:val="21"/>
                      <w:highlight w:val="none"/>
                    </w:rPr>
                  </w:pPr>
                </w:p>
              </w:tc>
              <w:tc>
                <w:tcPr>
                  <w:tcW w:w="1668" w:type="dxa"/>
                  <w:shd w:val="clear" w:color="auto" w:fill="auto"/>
                  <w:vAlign w:val="center"/>
                </w:tcPr>
                <w:p w14:paraId="63C0FF6A">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22:12-22:22（夜）</w:t>
                  </w:r>
                </w:p>
              </w:tc>
              <w:tc>
                <w:tcPr>
                  <w:tcW w:w="1306" w:type="dxa"/>
                  <w:shd w:val="clear" w:color="auto" w:fill="auto"/>
                  <w:vAlign w:val="center"/>
                </w:tcPr>
                <w:p w14:paraId="71201063">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41</w:t>
                  </w:r>
                </w:p>
              </w:tc>
              <w:tc>
                <w:tcPr>
                  <w:tcW w:w="1205" w:type="dxa"/>
                  <w:vAlign w:val="center"/>
                </w:tcPr>
                <w:p w14:paraId="23E1DFF8">
                  <w:pPr>
                    <w:spacing w:line="312" w:lineRule="exact"/>
                    <w:jc w:val="center"/>
                    <w:rPr>
                      <w:color w:val="auto"/>
                      <w:szCs w:val="21"/>
                      <w:highlight w:val="none"/>
                    </w:rPr>
                  </w:pPr>
                  <w:r>
                    <w:rPr>
                      <w:rFonts w:hint="eastAsia"/>
                      <w:color w:val="auto"/>
                      <w:szCs w:val="21"/>
                      <w:highlight w:val="none"/>
                    </w:rPr>
                    <w:t>50</w:t>
                  </w:r>
                </w:p>
              </w:tc>
              <w:tc>
                <w:tcPr>
                  <w:tcW w:w="988" w:type="dxa"/>
                  <w:vAlign w:val="center"/>
                </w:tcPr>
                <w:p w14:paraId="56520E56">
                  <w:pPr>
                    <w:spacing w:line="312" w:lineRule="exact"/>
                    <w:jc w:val="center"/>
                    <w:rPr>
                      <w:color w:val="auto"/>
                      <w:szCs w:val="21"/>
                      <w:highlight w:val="none"/>
                    </w:rPr>
                  </w:pPr>
                  <w:r>
                    <w:rPr>
                      <w:color w:val="auto"/>
                      <w:szCs w:val="21"/>
                      <w:highlight w:val="none"/>
                    </w:rPr>
                    <w:t>达标</w:t>
                  </w:r>
                </w:p>
              </w:tc>
            </w:tr>
            <w:tr w14:paraId="1CBD50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962" w:type="dxa"/>
                  <w:vMerge w:val="continue"/>
                  <w:vAlign w:val="center"/>
                </w:tcPr>
                <w:p w14:paraId="0123ED52">
                  <w:pPr>
                    <w:widowControl/>
                    <w:spacing w:line="312" w:lineRule="exact"/>
                    <w:jc w:val="center"/>
                    <w:textAlignment w:val="center"/>
                    <w:rPr>
                      <w:bCs/>
                      <w:color w:val="auto"/>
                      <w:szCs w:val="21"/>
                      <w:highlight w:val="none"/>
                    </w:rPr>
                  </w:pPr>
                </w:p>
              </w:tc>
              <w:tc>
                <w:tcPr>
                  <w:tcW w:w="1907" w:type="dxa"/>
                  <w:vMerge w:val="restart"/>
                  <w:vAlign w:val="center"/>
                </w:tcPr>
                <w:p w14:paraId="564873CB">
                  <w:pPr>
                    <w:jc w:val="center"/>
                    <w:rPr>
                      <w:bCs/>
                      <w:color w:val="auto"/>
                      <w:szCs w:val="21"/>
                      <w:highlight w:val="none"/>
                    </w:rPr>
                  </w:pPr>
                  <w:r>
                    <w:rPr>
                      <w:rFonts w:hint="eastAsia"/>
                      <w:color w:val="auto"/>
                      <w:szCs w:val="21"/>
                      <w:highlight w:val="none"/>
                    </w:rPr>
                    <w:t>2#</w:t>
                  </w:r>
                  <w:r>
                    <w:rPr>
                      <w:rFonts w:hint="default" w:ascii="Times New Roman" w:hAnsi="Times New Roman" w:eastAsia="宋体" w:cs="Times New Roman"/>
                      <w:color w:val="auto"/>
                      <w:sz w:val="21"/>
                      <w:szCs w:val="21"/>
                      <w:highlight w:val="none"/>
                      <w:lang w:val="en-US" w:eastAsia="zh-CN"/>
                    </w:rPr>
                    <w:t>项目西南侧居民处</w:t>
                  </w:r>
                </w:p>
              </w:tc>
              <w:tc>
                <w:tcPr>
                  <w:tcW w:w="1668" w:type="dxa"/>
                  <w:shd w:val="clear" w:color="auto" w:fill="auto"/>
                  <w:vAlign w:val="center"/>
                </w:tcPr>
                <w:p w14:paraId="0BAF6176">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17:46-17:56</w:t>
                  </w:r>
                  <w:r>
                    <w:rPr>
                      <w:rFonts w:hint="default" w:ascii="Times New Roman" w:hAnsi="Times New Roman" w:eastAsia="宋体" w:cs="Times New Roman"/>
                      <w:b w:val="0"/>
                      <w:bCs w:val="0"/>
                      <w:color w:val="auto"/>
                      <w:sz w:val="21"/>
                      <w:szCs w:val="21"/>
                      <w:highlight w:val="none"/>
                      <w:vertAlign w:val="baseline"/>
                      <w:lang w:val="en-US" w:eastAsia="zh-CN"/>
                    </w:rPr>
                    <w:t>（昼）</w:t>
                  </w:r>
                </w:p>
              </w:tc>
              <w:tc>
                <w:tcPr>
                  <w:tcW w:w="1306" w:type="dxa"/>
                  <w:shd w:val="clear" w:color="auto" w:fill="auto"/>
                  <w:vAlign w:val="center"/>
                </w:tcPr>
                <w:p w14:paraId="20D9B7F1">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51</w:t>
                  </w:r>
                </w:p>
              </w:tc>
              <w:tc>
                <w:tcPr>
                  <w:tcW w:w="1205" w:type="dxa"/>
                  <w:vAlign w:val="center"/>
                </w:tcPr>
                <w:p w14:paraId="0D44A538">
                  <w:pPr>
                    <w:spacing w:line="312" w:lineRule="exact"/>
                    <w:jc w:val="center"/>
                    <w:rPr>
                      <w:color w:val="auto"/>
                      <w:szCs w:val="21"/>
                      <w:highlight w:val="none"/>
                    </w:rPr>
                  </w:pPr>
                  <w:r>
                    <w:rPr>
                      <w:rFonts w:hint="eastAsia"/>
                      <w:color w:val="auto"/>
                      <w:szCs w:val="21"/>
                      <w:highlight w:val="none"/>
                    </w:rPr>
                    <w:t>60</w:t>
                  </w:r>
                </w:p>
              </w:tc>
              <w:tc>
                <w:tcPr>
                  <w:tcW w:w="988" w:type="dxa"/>
                  <w:vAlign w:val="center"/>
                </w:tcPr>
                <w:p w14:paraId="0D2AB0A5">
                  <w:pPr>
                    <w:spacing w:line="312" w:lineRule="exact"/>
                    <w:jc w:val="center"/>
                    <w:rPr>
                      <w:color w:val="auto"/>
                      <w:szCs w:val="21"/>
                      <w:highlight w:val="none"/>
                    </w:rPr>
                  </w:pPr>
                  <w:r>
                    <w:rPr>
                      <w:color w:val="auto"/>
                      <w:szCs w:val="21"/>
                      <w:highlight w:val="none"/>
                    </w:rPr>
                    <w:t>达标</w:t>
                  </w:r>
                </w:p>
              </w:tc>
            </w:tr>
            <w:tr w14:paraId="09B763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962" w:type="dxa"/>
                  <w:vMerge w:val="continue"/>
                  <w:vAlign w:val="center"/>
                </w:tcPr>
                <w:p w14:paraId="6D288100">
                  <w:pPr>
                    <w:widowControl/>
                    <w:spacing w:line="312" w:lineRule="exact"/>
                    <w:jc w:val="center"/>
                    <w:textAlignment w:val="center"/>
                    <w:rPr>
                      <w:bCs/>
                      <w:color w:val="auto"/>
                      <w:szCs w:val="21"/>
                      <w:highlight w:val="none"/>
                    </w:rPr>
                  </w:pPr>
                </w:p>
              </w:tc>
              <w:tc>
                <w:tcPr>
                  <w:tcW w:w="1907" w:type="dxa"/>
                  <w:vMerge w:val="continue"/>
                  <w:vAlign w:val="center"/>
                </w:tcPr>
                <w:p w14:paraId="59E9F56D">
                  <w:pPr>
                    <w:jc w:val="center"/>
                    <w:rPr>
                      <w:color w:val="auto"/>
                      <w:szCs w:val="21"/>
                      <w:highlight w:val="none"/>
                    </w:rPr>
                  </w:pPr>
                </w:p>
              </w:tc>
              <w:tc>
                <w:tcPr>
                  <w:tcW w:w="1668" w:type="dxa"/>
                  <w:shd w:val="clear" w:color="auto" w:fill="auto"/>
                  <w:vAlign w:val="center"/>
                </w:tcPr>
                <w:p w14:paraId="4567F194">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22:34-22:44（夜）</w:t>
                  </w:r>
                </w:p>
              </w:tc>
              <w:tc>
                <w:tcPr>
                  <w:tcW w:w="1306" w:type="dxa"/>
                  <w:shd w:val="clear" w:color="auto" w:fill="auto"/>
                  <w:vAlign w:val="center"/>
                </w:tcPr>
                <w:p w14:paraId="079B6C01">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42</w:t>
                  </w:r>
                </w:p>
              </w:tc>
              <w:tc>
                <w:tcPr>
                  <w:tcW w:w="1205" w:type="dxa"/>
                  <w:vAlign w:val="center"/>
                </w:tcPr>
                <w:p w14:paraId="6F43413D">
                  <w:pPr>
                    <w:spacing w:line="312" w:lineRule="exact"/>
                    <w:jc w:val="center"/>
                    <w:rPr>
                      <w:color w:val="auto"/>
                      <w:szCs w:val="21"/>
                      <w:highlight w:val="none"/>
                    </w:rPr>
                  </w:pPr>
                  <w:r>
                    <w:rPr>
                      <w:rFonts w:hint="eastAsia"/>
                      <w:color w:val="auto"/>
                      <w:szCs w:val="21"/>
                      <w:highlight w:val="none"/>
                    </w:rPr>
                    <w:t>50</w:t>
                  </w:r>
                </w:p>
              </w:tc>
              <w:tc>
                <w:tcPr>
                  <w:tcW w:w="988" w:type="dxa"/>
                  <w:vAlign w:val="center"/>
                </w:tcPr>
                <w:p w14:paraId="08C6C92D">
                  <w:pPr>
                    <w:spacing w:line="312" w:lineRule="exact"/>
                    <w:jc w:val="center"/>
                    <w:rPr>
                      <w:color w:val="auto"/>
                      <w:szCs w:val="21"/>
                      <w:highlight w:val="none"/>
                    </w:rPr>
                  </w:pPr>
                  <w:r>
                    <w:rPr>
                      <w:color w:val="auto"/>
                      <w:szCs w:val="21"/>
                      <w:highlight w:val="none"/>
                    </w:rPr>
                    <w:t>达标</w:t>
                  </w:r>
                </w:p>
              </w:tc>
            </w:tr>
            <w:tr w14:paraId="286526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962" w:type="dxa"/>
                  <w:vMerge w:val="continue"/>
                  <w:vAlign w:val="center"/>
                </w:tcPr>
                <w:p w14:paraId="28373BFD">
                  <w:pPr>
                    <w:widowControl/>
                    <w:spacing w:line="312" w:lineRule="exact"/>
                    <w:jc w:val="center"/>
                    <w:textAlignment w:val="center"/>
                    <w:rPr>
                      <w:bCs/>
                      <w:color w:val="auto"/>
                      <w:szCs w:val="21"/>
                      <w:highlight w:val="none"/>
                    </w:rPr>
                  </w:pPr>
                </w:p>
              </w:tc>
              <w:tc>
                <w:tcPr>
                  <w:tcW w:w="1907" w:type="dxa"/>
                  <w:vMerge w:val="restart"/>
                  <w:vAlign w:val="center"/>
                </w:tcPr>
                <w:p w14:paraId="1C69BF2E">
                  <w:pPr>
                    <w:jc w:val="center"/>
                    <w:rPr>
                      <w:color w:val="auto"/>
                      <w:szCs w:val="21"/>
                      <w:highlight w:val="none"/>
                    </w:rPr>
                  </w:pPr>
                  <w:r>
                    <w:rPr>
                      <w:rFonts w:hint="eastAsia"/>
                      <w:color w:val="auto"/>
                      <w:szCs w:val="21"/>
                      <w:highlight w:val="none"/>
                    </w:rPr>
                    <w:t>3#</w:t>
                  </w:r>
                  <w:r>
                    <w:rPr>
                      <w:rFonts w:hint="default" w:ascii="Times New Roman" w:hAnsi="Times New Roman" w:eastAsia="宋体" w:cs="Times New Roman"/>
                      <w:color w:val="auto"/>
                      <w:sz w:val="21"/>
                      <w:szCs w:val="21"/>
                      <w:highlight w:val="none"/>
                      <w:lang w:val="en-US" w:eastAsia="zh-CN"/>
                    </w:rPr>
                    <w:t>项目北侧居民处</w:t>
                  </w:r>
                </w:p>
              </w:tc>
              <w:tc>
                <w:tcPr>
                  <w:tcW w:w="1668" w:type="dxa"/>
                  <w:shd w:val="clear" w:color="auto" w:fill="auto"/>
                  <w:vAlign w:val="center"/>
                </w:tcPr>
                <w:p w14:paraId="459B9A20">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18:08-18:18</w:t>
                  </w:r>
                  <w:r>
                    <w:rPr>
                      <w:rFonts w:hint="default" w:ascii="Times New Roman" w:hAnsi="Times New Roman" w:eastAsia="宋体" w:cs="Times New Roman"/>
                      <w:b w:val="0"/>
                      <w:bCs w:val="0"/>
                      <w:color w:val="auto"/>
                      <w:sz w:val="21"/>
                      <w:szCs w:val="21"/>
                      <w:highlight w:val="none"/>
                      <w:vertAlign w:val="baseline"/>
                      <w:lang w:val="en-US" w:eastAsia="zh-CN"/>
                    </w:rPr>
                    <w:t>（昼）</w:t>
                  </w:r>
                </w:p>
              </w:tc>
              <w:tc>
                <w:tcPr>
                  <w:tcW w:w="1306" w:type="dxa"/>
                  <w:shd w:val="clear" w:color="auto" w:fill="auto"/>
                  <w:vAlign w:val="center"/>
                </w:tcPr>
                <w:p w14:paraId="50ADB2CF">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49</w:t>
                  </w:r>
                </w:p>
              </w:tc>
              <w:tc>
                <w:tcPr>
                  <w:tcW w:w="1205" w:type="dxa"/>
                  <w:vAlign w:val="center"/>
                </w:tcPr>
                <w:p w14:paraId="65D8AB35">
                  <w:pPr>
                    <w:spacing w:line="312" w:lineRule="exact"/>
                    <w:jc w:val="center"/>
                    <w:rPr>
                      <w:color w:val="auto"/>
                      <w:szCs w:val="21"/>
                      <w:highlight w:val="none"/>
                    </w:rPr>
                  </w:pPr>
                  <w:r>
                    <w:rPr>
                      <w:rFonts w:hint="eastAsia"/>
                      <w:color w:val="auto"/>
                      <w:szCs w:val="21"/>
                      <w:highlight w:val="none"/>
                    </w:rPr>
                    <w:t>60</w:t>
                  </w:r>
                </w:p>
              </w:tc>
              <w:tc>
                <w:tcPr>
                  <w:tcW w:w="988" w:type="dxa"/>
                  <w:vAlign w:val="center"/>
                </w:tcPr>
                <w:p w14:paraId="2AF76194">
                  <w:pPr>
                    <w:spacing w:line="312" w:lineRule="exact"/>
                    <w:jc w:val="center"/>
                    <w:rPr>
                      <w:color w:val="auto"/>
                      <w:szCs w:val="21"/>
                      <w:highlight w:val="none"/>
                    </w:rPr>
                  </w:pPr>
                  <w:r>
                    <w:rPr>
                      <w:color w:val="auto"/>
                      <w:szCs w:val="21"/>
                      <w:highlight w:val="none"/>
                    </w:rPr>
                    <w:t>达标</w:t>
                  </w:r>
                </w:p>
              </w:tc>
            </w:tr>
            <w:tr w14:paraId="53AD68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962" w:type="dxa"/>
                  <w:vMerge w:val="continue"/>
                  <w:vAlign w:val="center"/>
                </w:tcPr>
                <w:p w14:paraId="623CD391">
                  <w:pPr>
                    <w:widowControl/>
                    <w:spacing w:line="312" w:lineRule="exact"/>
                    <w:jc w:val="center"/>
                    <w:textAlignment w:val="center"/>
                    <w:rPr>
                      <w:bCs/>
                      <w:color w:val="auto"/>
                      <w:szCs w:val="21"/>
                      <w:highlight w:val="none"/>
                    </w:rPr>
                  </w:pPr>
                </w:p>
              </w:tc>
              <w:tc>
                <w:tcPr>
                  <w:tcW w:w="1907" w:type="dxa"/>
                  <w:vMerge w:val="continue"/>
                  <w:vAlign w:val="center"/>
                </w:tcPr>
                <w:p w14:paraId="1E16E324">
                  <w:pPr>
                    <w:jc w:val="center"/>
                    <w:rPr>
                      <w:color w:val="auto"/>
                      <w:szCs w:val="21"/>
                      <w:highlight w:val="none"/>
                    </w:rPr>
                  </w:pPr>
                </w:p>
              </w:tc>
              <w:tc>
                <w:tcPr>
                  <w:tcW w:w="1668" w:type="dxa"/>
                  <w:shd w:val="clear" w:color="auto" w:fill="auto"/>
                  <w:vAlign w:val="center"/>
                </w:tcPr>
                <w:p w14:paraId="1C04C9AF">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22:57-23:07（夜）</w:t>
                  </w:r>
                </w:p>
              </w:tc>
              <w:tc>
                <w:tcPr>
                  <w:tcW w:w="1306" w:type="dxa"/>
                  <w:shd w:val="clear" w:color="auto" w:fill="auto"/>
                  <w:vAlign w:val="center"/>
                </w:tcPr>
                <w:p w14:paraId="61A75DAB">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40</w:t>
                  </w:r>
                </w:p>
              </w:tc>
              <w:tc>
                <w:tcPr>
                  <w:tcW w:w="1205" w:type="dxa"/>
                  <w:vAlign w:val="center"/>
                </w:tcPr>
                <w:p w14:paraId="18BADB4F">
                  <w:pPr>
                    <w:spacing w:line="312" w:lineRule="exact"/>
                    <w:jc w:val="center"/>
                    <w:rPr>
                      <w:color w:val="auto"/>
                      <w:szCs w:val="21"/>
                      <w:highlight w:val="none"/>
                    </w:rPr>
                  </w:pPr>
                  <w:r>
                    <w:rPr>
                      <w:rFonts w:hint="eastAsia"/>
                      <w:color w:val="auto"/>
                      <w:szCs w:val="21"/>
                      <w:highlight w:val="none"/>
                    </w:rPr>
                    <w:t>50</w:t>
                  </w:r>
                </w:p>
              </w:tc>
              <w:tc>
                <w:tcPr>
                  <w:tcW w:w="988" w:type="dxa"/>
                  <w:vAlign w:val="center"/>
                </w:tcPr>
                <w:p w14:paraId="07AD5BAC">
                  <w:pPr>
                    <w:spacing w:line="312" w:lineRule="exact"/>
                    <w:jc w:val="center"/>
                    <w:rPr>
                      <w:color w:val="auto"/>
                      <w:szCs w:val="21"/>
                      <w:highlight w:val="none"/>
                    </w:rPr>
                  </w:pPr>
                  <w:r>
                    <w:rPr>
                      <w:color w:val="auto"/>
                      <w:szCs w:val="21"/>
                      <w:highlight w:val="none"/>
                    </w:rPr>
                    <w:t>达标</w:t>
                  </w:r>
                </w:p>
              </w:tc>
            </w:tr>
          </w:tbl>
          <w:p w14:paraId="649B2FD6">
            <w:pPr>
              <w:spacing w:before="120" w:beforeLines="50" w:line="360" w:lineRule="auto"/>
              <w:ind w:firstLine="480" w:firstLineChars="200"/>
              <w:rPr>
                <w:color w:val="auto"/>
                <w:sz w:val="24"/>
              </w:rPr>
            </w:pPr>
            <w:r>
              <w:rPr>
                <w:rFonts w:hint="eastAsia"/>
                <w:color w:val="auto"/>
                <w:sz w:val="24"/>
              </w:rPr>
              <w:t>（3）</w:t>
            </w:r>
            <w:r>
              <w:rPr>
                <w:color w:val="auto"/>
                <w:sz w:val="24"/>
              </w:rPr>
              <w:t>声环境质量现状评价</w:t>
            </w:r>
          </w:p>
          <w:p w14:paraId="69F31E2A">
            <w:pPr>
              <w:snapToGrid w:val="0"/>
              <w:spacing w:line="360" w:lineRule="auto"/>
              <w:ind w:firstLine="480" w:firstLineChars="200"/>
              <w:rPr>
                <w:color w:val="auto"/>
                <w:kern w:val="0"/>
                <w:sz w:val="24"/>
                <w:lang w:bidi="ar"/>
              </w:rPr>
            </w:pPr>
            <w:r>
              <w:rPr>
                <w:color w:val="auto"/>
                <w:sz w:val="24"/>
              </w:rPr>
              <w:t>根据检测结果，本项目</w:t>
            </w:r>
            <w:r>
              <w:rPr>
                <w:rFonts w:hint="eastAsia"/>
                <w:color w:val="auto"/>
                <w:sz w:val="24"/>
              </w:rPr>
              <w:t>周边敏感点声环境质量</w:t>
            </w:r>
            <w:r>
              <w:rPr>
                <w:color w:val="auto"/>
                <w:sz w:val="24"/>
              </w:rPr>
              <w:t>满足《声环境质量标准》（</w:t>
            </w:r>
            <w:r>
              <w:rPr>
                <w:rFonts w:eastAsia="Times New Roman"/>
                <w:color w:val="auto"/>
                <w:sz w:val="24"/>
              </w:rPr>
              <w:t>GB 3096</w:t>
            </w:r>
            <w:r>
              <w:rPr>
                <w:color w:val="auto"/>
                <w:sz w:val="24"/>
              </w:rPr>
              <w:t>－</w:t>
            </w:r>
            <w:r>
              <w:rPr>
                <w:rFonts w:eastAsia="Times New Roman"/>
                <w:color w:val="auto"/>
                <w:sz w:val="24"/>
              </w:rPr>
              <w:t>2008</w:t>
            </w:r>
            <w:r>
              <w:rPr>
                <w:color w:val="auto"/>
                <w:sz w:val="24"/>
              </w:rPr>
              <w:t>）2类标准</w:t>
            </w:r>
            <w:r>
              <w:rPr>
                <w:rFonts w:hint="eastAsia"/>
                <w:color w:val="auto"/>
                <w:sz w:val="24"/>
              </w:rPr>
              <w:t>。</w:t>
            </w:r>
            <w:r>
              <w:rPr>
                <w:color w:val="auto"/>
                <w:sz w:val="24"/>
              </w:rPr>
              <w:t>因此，区域内声环境现状较好。</w:t>
            </w:r>
          </w:p>
          <w:p w14:paraId="556D6BBD">
            <w:pPr>
              <w:adjustRightInd w:val="0"/>
              <w:snapToGrid w:val="0"/>
              <w:spacing w:line="360" w:lineRule="auto"/>
              <w:ind w:firstLine="482" w:firstLineChars="200"/>
              <w:rPr>
                <w:b/>
                <w:bCs/>
                <w:color w:val="auto"/>
                <w:sz w:val="24"/>
              </w:rPr>
            </w:pPr>
            <w:r>
              <w:rPr>
                <w:b/>
                <w:bCs/>
                <w:color w:val="auto"/>
                <w:sz w:val="24"/>
              </w:rPr>
              <w:t>4、土壤环境质量现状</w:t>
            </w:r>
          </w:p>
          <w:p w14:paraId="3B2C7F9C">
            <w:pPr>
              <w:adjustRightInd w:val="0"/>
              <w:snapToGrid w:val="0"/>
              <w:spacing w:line="360" w:lineRule="auto"/>
              <w:ind w:firstLine="480" w:firstLineChars="200"/>
              <w:rPr>
                <w:color w:val="auto"/>
                <w:kern w:val="0"/>
                <w:sz w:val="24"/>
              </w:rPr>
            </w:pPr>
            <w:r>
              <w:rPr>
                <w:color w:val="auto"/>
                <w:kern w:val="0"/>
                <w:sz w:val="24"/>
              </w:rPr>
              <w:t>根据《环境影响评价技术导则—土壤环境（试行）》（HJ964-2018）附录A</w:t>
            </w:r>
            <w:r>
              <w:rPr>
                <w:rFonts w:hint="eastAsia"/>
                <w:color w:val="auto"/>
                <w:kern w:val="0"/>
                <w:sz w:val="24"/>
              </w:rPr>
              <w:t>，</w:t>
            </w:r>
            <w:r>
              <w:rPr>
                <w:color w:val="auto"/>
                <w:kern w:val="0"/>
                <w:sz w:val="24"/>
              </w:rPr>
              <w:t>本项目为</w:t>
            </w:r>
            <w:r>
              <w:rPr>
                <w:rFonts w:hint="eastAsia"/>
                <w:color w:val="auto"/>
                <w:kern w:val="0"/>
                <w:sz w:val="24"/>
              </w:rPr>
              <w:t>安置房建设项目，土壤环境影响评价项目类别如下表所示。</w:t>
            </w:r>
          </w:p>
          <w:p w14:paraId="595D3D9F">
            <w:pPr>
              <w:autoSpaceDE w:val="0"/>
              <w:autoSpaceDN w:val="0"/>
              <w:adjustRightInd w:val="0"/>
              <w:snapToGrid w:val="0"/>
              <w:jc w:val="center"/>
              <w:rPr>
                <w:b/>
                <w:bCs/>
                <w:color w:val="auto"/>
                <w:kern w:val="0"/>
                <w:szCs w:val="21"/>
              </w:rPr>
            </w:pPr>
            <w:r>
              <w:rPr>
                <w:rFonts w:hint="eastAsia"/>
                <w:b/>
                <w:bCs/>
                <w:color w:val="auto"/>
                <w:kern w:val="0"/>
                <w:szCs w:val="21"/>
              </w:rPr>
              <w:t>表3-5  土壤环境影响评价项目类别</w:t>
            </w:r>
          </w:p>
          <w:tbl>
            <w:tblPr>
              <w:tblStyle w:val="34"/>
              <w:tblW w:w="4998"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1622"/>
              <w:gridCol w:w="1346"/>
              <w:gridCol w:w="1499"/>
              <w:gridCol w:w="1677"/>
              <w:gridCol w:w="1735"/>
            </w:tblGrid>
            <w:tr w14:paraId="5D80D0A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029" w:type="pct"/>
                  <w:vMerge w:val="restart"/>
                  <w:tcBorders>
                    <w:tl2br w:val="nil"/>
                    <w:tr2bl w:val="nil"/>
                  </w:tcBorders>
                  <w:vAlign w:val="center"/>
                </w:tcPr>
                <w:p w14:paraId="5E56360A">
                  <w:pPr>
                    <w:pStyle w:val="45"/>
                    <w:spacing w:beforeLines="0" w:afterLines="0" w:line="240" w:lineRule="auto"/>
                    <w:ind w:firstLine="0" w:firstLineChars="0"/>
                    <w:rPr>
                      <w:rFonts w:ascii="Times New Roman"/>
                      <w:b/>
                      <w:bCs/>
                      <w:color w:val="auto"/>
                      <w:sz w:val="21"/>
                    </w:rPr>
                  </w:pPr>
                  <w:r>
                    <w:rPr>
                      <w:rFonts w:hint="eastAsia" w:ascii="Times New Roman"/>
                      <w:b/>
                      <w:bCs/>
                      <w:color w:val="auto"/>
                      <w:sz w:val="21"/>
                    </w:rPr>
                    <w:t>行业类别</w:t>
                  </w:r>
                </w:p>
              </w:tc>
              <w:tc>
                <w:tcPr>
                  <w:tcW w:w="3970" w:type="pct"/>
                  <w:gridSpan w:val="4"/>
                  <w:tcBorders>
                    <w:tl2br w:val="nil"/>
                    <w:tr2bl w:val="nil"/>
                  </w:tcBorders>
                  <w:vAlign w:val="center"/>
                </w:tcPr>
                <w:p w14:paraId="7E1F2DDE">
                  <w:pPr>
                    <w:pStyle w:val="45"/>
                    <w:spacing w:beforeLines="0" w:afterLines="0" w:line="240" w:lineRule="auto"/>
                    <w:ind w:firstLine="0" w:firstLineChars="0"/>
                    <w:rPr>
                      <w:rFonts w:ascii="Times New Roman"/>
                      <w:b/>
                      <w:bCs/>
                      <w:color w:val="auto"/>
                      <w:sz w:val="21"/>
                    </w:rPr>
                  </w:pPr>
                  <w:r>
                    <w:rPr>
                      <w:rFonts w:hint="eastAsia" w:ascii="Times New Roman"/>
                      <w:b/>
                      <w:bCs/>
                      <w:color w:val="auto"/>
                      <w:sz w:val="21"/>
                    </w:rPr>
                    <w:t>项目类别</w:t>
                  </w:r>
                </w:p>
              </w:tc>
            </w:tr>
            <w:tr w14:paraId="2896395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029" w:type="pct"/>
                  <w:vMerge w:val="continue"/>
                  <w:tcBorders>
                    <w:tl2br w:val="nil"/>
                    <w:tr2bl w:val="nil"/>
                  </w:tcBorders>
                  <w:vAlign w:val="center"/>
                </w:tcPr>
                <w:p w14:paraId="23DDC881">
                  <w:pPr>
                    <w:pStyle w:val="45"/>
                    <w:spacing w:beforeLines="0" w:afterLines="0" w:line="240" w:lineRule="auto"/>
                    <w:ind w:firstLine="0" w:firstLineChars="0"/>
                    <w:rPr>
                      <w:rFonts w:ascii="Times New Roman"/>
                      <w:b/>
                      <w:bCs/>
                      <w:color w:val="auto"/>
                      <w:sz w:val="21"/>
                    </w:rPr>
                  </w:pPr>
                </w:p>
              </w:tc>
              <w:tc>
                <w:tcPr>
                  <w:tcW w:w="854" w:type="pct"/>
                  <w:tcBorders>
                    <w:tl2br w:val="nil"/>
                    <w:tr2bl w:val="nil"/>
                  </w:tcBorders>
                  <w:vAlign w:val="center"/>
                </w:tcPr>
                <w:p w14:paraId="163C904B">
                  <w:pPr>
                    <w:pStyle w:val="45"/>
                    <w:spacing w:beforeLines="0" w:afterLines="0" w:line="240" w:lineRule="auto"/>
                    <w:ind w:firstLine="0" w:firstLineChars="0"/>
                    <w:rPr>
                      <w:rFonts w:ascii="Times New Roman"/>
                      <w:b w:val="0"/>
                      <w:bCs w:val="0"/>
                      <w:color w:val="auto"/>
                      <w:sz w:val="21"/>
                    </w:rPr>
                  </w:pPr>
                  <w:r>
                    <w:rPr>
                      <w:rFonts w:hint="eastAsia" w:hAnsi="宋体" w:cs="宋体"/>
                      <w:b w:val="0"/>
                      <w:bCs w:val="0"/>
                      <w:color w:val="auto"/>
                      <w:sz w:val="21"/>
                    </w:rPr>
                    <w:t>Ⅰ类</w:t>
                  </w:r>
                </w:p>
              </w:tc>
              <w:tc>
                <w:tcPr>
                  <w:tcW w:w="951" w:type="pct"/>
                  <w:tcBorders>
                    <w:tl2br w:val="nil"/>
                    <w:tr2bl w:val="nil"/>
                  </w:tcBorders>
                  <w:vAlign w:val="center"/>
                </w:tcPr>
                <w:p w14:paraId="484B4B2F">
                  <w:pPr>
                    <w:pStyle w:val="45"/>
                    <w:spacing w:beforeLines="0" w:afterLines="0" w:line="240" w:lineRule="auto"/>
                    <w:ind w:firstLine="0" w:firstLineChars="0"/>
                    <w:rPr>
                      <w:rFonts w:ascii="Times New Roman"/>
                      <w:b w:val="0"/>
                      <w:bCs w:val="0"/>
                      <w:color w:val="auto"/>
                      <w:sz w:val="21"/>
                    </w:rPr>
                  </w:pPr>
                  <w:r>
                    <w:rPr>
                      <w:rFonts w:hint="eastAsia" w:hAnsi="宋体" w:cs="宋体"/>
                      <w:b w:val="0"/>
                      <w:bCs w:val="0"/>
                      <w:color w:val="auto"/>
                      <w:sz w:val="21"/>
                    </w:rPr>
                    <w:t>Ⅱ类</w:t>
                  </w:r>
                </w:p>
              </w:tc>
              <w:tc>
                <w:tcPr>
                  <w:tcW w:w="1064" w:type="pct"/>
                  <w:tcBorders>
                    <w:tl2br w:val="nil"/>
                    <w:tr2bl w:val="nil"/>
                  </w:tcBorders>
                  <w:vAlign w:val="center"/>
                </w:tcPr>
                <w:p w14:paraId="69957ACE">
                  <w:pPr>
                    <w:pStyle w:val="45"/>
                    <w:spacing w:beforeLines="0" w:afterLines="0" w:line="240" w:lineRule="auto"/>
                    <w:ind w:firstLine="0" w:firstLineChars="0"/>
                    <w:rPr>
                      <w:rFonts w:ascii="Times New Roman"/>
                      <w:b w:val="0"/>
                      <w:bCs w:val="0"/>
                      <w:color w:val="auto"/>
                      <w:sz w:val="21"/>
                    </w:rPr>
                  </w:pPr>
                  <w:r>
                    <w:rPr>
                      <w:rFonts w:hint="eastAsia" w:hAnsi="宋体" w:cs="宋体"/>
                      <w:b w:val="0"/>
                      <w:bCs w:val="0"/>
                      <w:color w:val="auto"/>
                      <w:sz w:val="21"/>
                    </w:rPr>
                    <w:t>Ⅲ类</w:t>
                  </w:r>
                </w:p>
              </w:tc>
              <w:tc>
                <w:tcPr>
                  <w:tcW w:w="1100" w:type="pct"/>
                  <w:tcBorders>
                    <w:tl2br w:val="nil"/>
                    <w:tr2bl w:val="nil"/>
                  </w:tcBorders>
                  <w:vAlign w:val="center"/>
                </w:tcPr>
                <w:p w14:paraId="3D031549">
                  <w:pPr>
                    <w:pStyle w:val="45"/>
                    <w:spacing w:beforeLines="0" w:afterLines="0" w:line="240" w:lineRule="auto"/>
                    <w:ind w:firstLine="0" w:firstLineChars="0"/>
                    <w:rPr>
                      <w:rFonts w:ascii="Times New Roman"/>
                      <w:b/>
                      <w:bCs/>
                      <w:color w:val="auto"/>
                      <w:sz w:val="21"/>
                    </w:rPr>
                  </w:pPr>
                  <w:r>
                    <w:rPr>
                      <w:rFonts w:hint="eastAsia" w:hAnsi="宋体" w:cs="宋体"/>
                      <w:b/>
                      <w:bCs/>
                      <w:color w:val="auto"/>
                      <w:sz w:val="21"/>
                    </w:rPr>
                    <w:t>Ⅳ类</w:t>
                  </w:r>
                </w:p>
              </w:tc>
            </w:tr>
            <w:tr w14:paraId="1EBC91B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029" w:type="pct"/>
                  <w:tcBorders>
                    <w:tl2br w:val="nil"/>
                    <w:tr2bl w:val="nil"/>
                  </w:tcBorders>
                  <w:vAlign w:val="center"/>
                </w:tcPr>
                <w:p w14:paraId="53DFB5C0">
                  <w:pPr>
                    <w:pStyle w:val="45"/>
                    <w:spacing w:beforeLines="0" w:afterLines="0" w:line="240" w:lineRule="auto"/>
                    <w:ind w:firstLine="0" w:firstLineChars="0"/>
                    <w:rPr>
                      <w:rFonts w:ascii="Times New Roman"/>
                      <w:color w:val="auto"/>
                      <w:sz w:val="21"/>
                    </w:rPr>
                  </w:pPr>
                  <w:r>
                    <w:rPr>
                      <w:rFonts w:hint="eastAsia" w:ascii="Times New Roman"/>
                      <w:color w:val="auto"/>
                      <w:sz w:val="21"/>
                    </w:rPr>
                    <w:t>其他行业</w:t>
                  </w:r>
                </w:p>
              </w:tc>
              <w:tc>
                <w:tcPr>
                  <w:tcW w:w="854" w:type="pct"/>
                  <w:tcBorders>
                    <w:tl2br w:val="nil"/>
                    <w:tr2bl w:val="nil"/>
                  </w:tcBorders>
                  <w:vAlign w:val="center"/>
                </w:tcPr>
                <w:p w14:paraId="0F634CC8">
                  <w:pPr>
                    <w:pStyle w:val="45"/>
                    <w:spacing w:beforeLines="0" w:afterLines="0" w:line="240" w:lineRule="auto"/>
                    <w:ind w:firstLine="0" w:firstLineChars="0"/>
                    <w:rPr>
                      <w:rFonts w:ascii="Times New Roman"/>
                      <w:color w:val="auto"/>
                      <w:sz w:val="21"/>
                    </w:rPr>
                  </w:pPr>
                  <w:r>
                    <w:rPr>
                      <w:rFonts w:hint="eastAsia" w:ascii="Times New Roman"/>
                      <w:color w:val="auto"/>
                      <w:sz w:val="21"/>
                    </w:rPr>
                    <w:t>/</w:t>
                  </w:r>
                </w:p>
              </w:tc>
              <w:tc>
                <w:tcPr>
                  <w:tcW w:w="951" w:type="pct"/>
                  <w:tcBorders>
                    <w:tl2br w:val="nil"/>
                    <w:tr2bl w:val="nil"/>
                  </w:tcBorders>
                  <w:vAlign w:val="center"/>
                </w:tcPr>
                <w:p w14:paraId="08C420B4">
                  <w:pPr>
                    <w:adjustRightInd w:val="0"/>
                    <w:snapToGrid w:val="0"/>
                    <w:jc w:val="center"/>
                    <w:rPr>
                      <w:color w:val="auto"/>
                      <w:kern w:val="0"/>
                      <w:szCs w:val="21"/>
                    </w:rPr>
                  </w:pPr>
                  <w:r>
                    <w:rPr>
                      <w:rFonts w:hint="eastAsia"/>
                      <w:color w:val="auto"/>
                      <w:kern w:val="0"/>
                      <w:szCs w:val="21"/>
                    </w:rPr>
                    <w:t>/</w:t>
                  </w:r>
                </w:p>
              </w:tc>
              <w:tc>
                <w:tcPr>
                  <w:tcW w:w="1064" w:type="pct"/>
                  <w:tcBorders>
                    <w:tl2br w:val="nil"/>
                    <w:tr2bl w:val="nil"/>
                  </w:tcBorders>
                  <w:vAlign w:val="center"/>
                </w:tcPr>
                <w:p w14:paraId="60F2128C">
                  <w:pPr>
                    <w:adjustRightInd w:val="0"/>
                    <w:snapToGrid w:val="0"/>
                    <w:jc w:val="center"/>
                    <w:rPr>
                      <w:color w:val="auto"/>
                      <w:kern w:val="0"/>
                      <w:szCs w:val="21"/>
                    </w:rPr>
                  </w:pPr>
                  <w:r>
                    <w:rPr>
                      <w:rFonts w:hint="eastAsia"/>
                      <w:color w:val="auto"/>
                      <w:kern w:val="0"/>
                      <w:szCs w:val="21"/>
                    </w:rPr>
                    <w:t>/</w:t>
                  </w:r>
                </w:p>
              </w:tc>
              <w:tc>
                <w:tcPr>
                  <w:tcW w:w="1100" w:type="pct"/>
                  <w:tcBorders>
                    <w:tl2br w:val="nil"/>
                    <w:tr2bl w:val="nil"/>
                  </w:tcBorders>
                  <w:vAlign w:val="center"/>
                </w:tcPr>
                <w:p w14:paraId="40FAE4C8">
                  <w:pPr>
                    <w:pStyle w:val="45"/>
                    <w:spacing w:beforeLines="0" w:afterLines="0" w:line="240" w:lineRule="auto"/>
                    <w:ind w:firstLine="0" w:firstLineChars="0"/>
                    <w:rPr>
                      <w:rFonts w:ascii="Times New Roman"/>
                      <w:color w:val="auto"/>
                      <w:sz w:val="21"/>
                    </w:rPr>
                  </w:pPr>
                  <w:r>
                    <w:rPr>
                      <w:rFonts w:hint="eastAsia" w:ascii="Times New Roman"/>
                      <w:b/>
                      <w:bCs/>
                      <w:color w:val="auto"/>
                      <w:sz w:val="21"/>
                    </w:rPr>
                    <w:t>全部</w:t>
                  </w:r>
                </w:p>
              </w:tc>
            </w:tr>
          </w:tbl>
          <w:p w14:paraId="2CBD59EF">
            <w:pPr>
              <w:adjustRightInd w:val="0"/>
              <w:snapToGrid w:val="0"/>
              <w:spacing w:before="120" w:beforeLines="50" w:line="360" w:lineRule="auto"/>
              <w:ind w:firstLine="480" w:firstLineChars="200"/>
              <w:rPr>
                <w:color w:val="auto"/>
                <w:kern w:val="0"/>
                <w:sz w:val="24"/>
              </w:rPr>
            </w:pPr>
            <w:r>
              <w:rPr>
                <w:color w:val="auto"/>
                <w:kern w:val="0"/>
                <w:sz w:val="24"/>
              </w:rPr>
              <w:t>本项目</w:t>
            </w:r>
            <w:r>
              <w:rPr>
                <w:rFonts w:hint="eastAsia"/>
                <w:color w:val="auto"/>
                <w:kern w:val="0"/>
                <w:sz w:val="24"/>
              </w:rPr>
              <w:t>属于房地产业，为其他行业，土壤环境影响评价项目类别为Ⅳ类，</w:t>
            </w:r>
            <w:r>
              <w:rPr>
                <w:color w:val="auto"/>
                <w:kern w:val="0"/>
                <w:sz w:val="24"/>
              </w:rPr>
              <w:t>项目不需要开展土壤环境影响评价工作</w:t>
            </w:r>
            <w:r>
              <w:rPr>
                <w:rFonts w:hint="eastAsia"/>
                <w:color w:val="auto"/>
                <w:kern w:val="0"/>
                <w:sz w:val="24"/>
              </w:rPr>
              <w:t>，不需要进行土壤现状监测</w:t>
            </w:r>
            <w:r>
              <w:rPr>
                <w:color w:val="auto"/>
                <w:kern w:val="0"/>
                <w:sz w:val="24"/>
              </w:rPr>
              <w:t>。</w:t>
            </w:r>
          </w:p>
          <w:p w14:paraId="44948F40">
            <w:pPr>
              <w:adjustRightInd w:val="0"/>
              <w:snapToGrid w:val="0"/>
              <w:spacing w:line="360" w:lineRule="auto"/>
              <w:ind w:firstLine="482" w:firstLineChars="200"/>
              <w:rPr>
                <w:b/>
                <w:bCs/>
                <w:color w:val="auto"/>
                <w:sz w:val="24"/>
              </w:rPr>
            </w:pPr>
            <w:r>
              <w:rPr>
                <w:rFonts w:hint="eastAsia"/>
                <w:b/>
                <w:bCs/>
                <w:color w:val="auto"/>
                <w:sz w:val="24"/>
              </w:rPr>
              <w:t>5</w:t>
            </w:r>
            <w:r>
              <w:rPr>
                <w:b/>
                <w:bCs/>
                <w:color w:val="auto"/>
                <w:sz w:val="24"/>
              </w:rPr>
              <w:t>、</w:t>
            </w:r>
            <w:r>
              <w:rPr>
                <w:rFonts w:hint="eastAsia"/>
                <w:b/>
                <w:bCs/>
                <w:color w:val="auto"/>
                <w:sz w:val="24"/>
              </w:rPr>
              <w:t>地下水</w:t>
            </w:r>
            <w:r>
              <w:rPr>
                <w:b/>
                <w:bCs/>
                <w:color w:val="auto"/>
                <w:sz w:val="24"/>
              </w:rPr>
              <w:t>环境质量现状</w:t>
            </w:r>
          </w:p>
          <w:p w14:paraId="48128D2B">
            <w:pPr>
              <w:adjustRightInd w:val="0"/>
              <w:snapToGrid w:val="0"/>
              <w:spacing w:line="360" w:lineRule="auto"/>
              <w:ind w:firstLine="480" w:firstLineChars="200"/>
              <w:rPr>
                <w:color w:val="auto"/>
                <w:kern w:val="0"/>
                <w:sz w:val="24"/>
              </w:rPr>
            </w:pPr>
            <w:r>
              <w:rPr>
                <w:color w:val="auto"/>
                <w:kern w:val="0"/>
                <w:sz w:val="24"/>
              </w:rPr>
              <w:t>根据《环境影响评价技术导则—</w:t>
            </w:r>
            <w:r>
              <w:rPr>
                <w:rFonts w:hint="eastAsia"/>
                <w:color w:val="auto"/>
                <w:kern w:val="0"/>
                <w:sz w:val="24"/>
              </w:rPr>
              <w:t>地下水</w:t>
            </w:r>
            <w:r>
              <w:rPr>
                <w:color w:val="auto"/>
                <w:kern w:val="0"/>
                <w:sz w:val="24"/>
              </w:rPr>
              <w:t>环境》（HJ</w:t>
            </w:r>
            <w:r>
              <w:rPr>
                <w:rFonts w:hint="eastAsia"/>
                <w:color w:val="auto"/>
                <w:kern w:val="0"/>
                <w:sz w:val="24"/>
              </w:rPr>
              <w:t>610</w:t>
            </w:r>
            <w:r>
              <w:rPr>
                <w:color w:val="auto"/>
                <w:kern w:val="0"/>
                <w:sz w:val="24"/>
              </w:rPr>
              <w:t>-201</w:t>
            </w:r>
            <w:r>
              <w:rPr>
                <w:rFonts w:hint="eastAsia"/>
                <w:color w:val="auto"/>
                <w:kern w:val="0"/>
                <w:sz w:val="24"/>
              </w:rPr>
              <w:t>6</w:t>
            </w:r>
            <w:r>
              <w:rPr>
                <w:color w:val="auto"/>
                <w:kern w:val="0"/>
                <w:sz w:val="24"/>
              </w:rPr>
              <w:t>）附录A</w:t>
            </w:r>
            <w:r>
              <w:rPr>
                <w:rFonts w:hint="eastAsia"/>
                <w:color w:val="auto"/>
                <w:kern w:val="0"/>
                <w:sz w:val="24"/>
              </w:rPr>
              <w:t>，</w:t>
            </w:r>
            <w:r>
              <w:rPr>
                <w:color w:val="auto"/>
                <w:kern w:val="0"/>
                <w:sz w:val="24"/>
              </w:rPr>
              <w:t>本项目为</w:t>
            </w:r>
            <w:r>
              <w:rPr>
                <w:rFonts w:hint="eastAsia"/>
                <w:color w:val="auto"/>
                <w:kern w:val="0"/>
                <w:sz w:val="24"/>
              </w:rPr>
              <w:t>安置房建设项目，地下水环境影响评价行业分类如下表所示。</w:t>
            </w:r>
          </w:p>
          <w:p w14:paraId="224C1881">
            <w:pPr>
              <w:autoSpaceDE w:val="0"/>
              <w:autoSpaceDN w:val="0"/>
              <w:adjustRightInd w:val="0"/>
              <w:snapToGrid w:val="0"/>
              <w:jc w:val="center"/>
              <w:rPr>
                <w:b/>
                <w:bCs/>
                <w:color w:val="auto"/>
                <w:kern w:val="0"/>
                <w:szCs w:val="21"/>
              </w:rPr>
            </w:pPr>
            <w:r>
              <w:rPr>
                <w:rFonts w:hint="eastAsia"/>
                <w:b/>
                <w:bCs/>
                <w:color w:val="auto"/>
                <w:kern w:val="0"/>
                <w:szCs w:val="21"/>
              </w:rPr>
              <w:t>表3-6  地下水环境影响评价行业类别</w:t>
            </w:r>
          </w:p>
          <w:tbl>
            <w:tblPr>
              <w:tblStyle w:val="34"/>
              <w:tblW w:w="7918"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2243"/>
              <w:gridCol w:w="862"/>
              <w:gridCol w:w="1807"/>
              <w:gridCol w:w="1357"/>
              <w:gridCol w:w="1649"/>
            </w:tblGrid>
            <w:tr w14:paraId="78C4D23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16" w:hRule="atLeast"/>
                <w:jc w:val="center"/>
              </w:trPr>
              <w:tc>
                <w:tcPr>
                  <w:tcW w:w="1416" w:type="pct"/>
                  <w:vMerge w:val="restart"/>
                  <w:tcBorders>
                    <w:tl2br w:val="nil"/>
                    <w:tr2bl w:val="nil"/>
                  </w:tcBorders>
                  <w:vAlign w:val="center"/>
                </w:tcPr>
                <w:p w14:paraId="4D11CEE3">
                  <w:pPr>
                    <w:pStyle w:val="45"/>
                    <w:spacing w:beforeLines="0" w:afterLines="0" w:line="240" w:lineRule="auto"/>
                    <w:ind w:firstLine="0" w:firstLineChars="0"/>
                    <w:rPr>
                      <w:rFonts w:ascii="Times New Roman"/>
                      <w:b/>
                      <w:bCs/>
                      <w:color w:val="auto"/>
                      <w:sz w:val="21"/>
                    </w:rPr>
                  </w:pPr>
                  <w:r>
                    <w:rPr>
                      <w:rFonts w:hint="eastAsia" w:ascii="Times New Roman"/>
                      <w:b/>
                      <w:bCs/>
                      <w:color w:val="auto"/>
                      <w:sz w:val="21"/>
                    </w:rPr>
                    <w:t>行业类别</w:t>
                  </w:r>
                </w:p>
                <w:p w14:paraId="45AFF11D">
                  <w:pPr>
                    <w:pStyle w:val="45"/>
                    <w:spacing w:beforeLines="0" w:afterLines="0" w:line="240" w:lineRule="auto"/>
                    <w:ind w:firstLine="0" w:firstLineChars="0"/>
                    <w:rPr>
                      <w:rFonts w:ascii="Times New Roman"/>
                      <w:b/>
                      <w:bCs/>
                      <w:color w:val="auto"/>
                      <w:sz w:val="21"/>
                    </w:rPr>
                  </w:pPr>
                  <w:r>
                    <w:rPr>
                      <w:rFonts w:hint="eastAsia" w:ascii="Times New Roman"/>
                      <w:b/>
                      <w:bCs/>
                      <w:color w:val="auto"/>
                      <w:sz w:val="21"/>
                    </w:rPr>
                    <w:t>环评类别</w:t>
                  </w:r>
                </w:p>
              </w:tc>
              <w:tc>
                <w:tcPr>
                  <w:tcW w:w="544" w:type="pct"/>
                  <w:vMerge w:val="restart"/>
                  <w:tcBorders>
                    <w:tl2br w:val="nil"/>
                    <w:tr2bl w:val="nil"/>
                  </w:tcBorders>
                  <w:vAlign w:val="center"/>
                </w:tcPr>
                <w:p w14:paraId="7D2CCF02">
                  <w:pPr>
                    <w:pStyle w:val="45"/>
                    <w:spacing w:beforeLines="0" w:afterLines="0" w:line="240" w:lineRule="auto"/>
                    <w:ind w:firstLine="0" w:firstLineChars="0"/>
                    <w:rPr>
                      <w:rFonts w:ascii="Times New Roman"/>
                      <w:b/>
                      <w:bCs/>
                      <w:color w:val="auto"/>
                      <w:sz w:val="21"/>
                    </w:rPr>
                  </w:pPr>
                  <w:r>
                    <w:rPr>
                      <w:rFonts w:hint="eastAsia" w:ascii="Times New Roman"/>
                      <w:b/>
                      <w:bCs/>
                      <w:color w:val="auto"/>
                      <w:sz w:val="21"/>
                    </w:rPr>
                    <w:t>报告书</w:t>
                  </w:r>
                </w:p>
              </w:tc>
              <w:tc>
                <w:tcPr>
                  <w:tcW w:w="1141" w:type="pct"/>
                  <w:vMerge w:val="restart"/>
                  <w:tcBorders>
                    <w:tl2br w:val="nil"/>
                    <w:tr2bl w:val="nil"/>
                  </w:tcBorders>
                  <w:vAlign w:val="center"/>
                </w:tcPr>
                <w:p w14:paraId="7211C01D">
                  <w:pPr>
                    <w:pStyle w:val="45"/>
                    <w:spacing w:beforeLines="0" w:afterLines="0" w:line="240" w:lineRule="auto"/>
                    <w:ind w:firstLine="0" w:firstLineChars="0"/>
                    <w:rPr>
                      <w:rFonts w:ascii="Times New Roman"/>
                      <w:b/>
                      <w:bCs/>
                      <w:color w:val="auto"/>
                      <w:sz w:val="21"/>
                    </w:rPr>
                  </w:pPr>
                  <w:r>
                    <w:rPr>
                      <w:rFonts w:hint="eastAsia" w:ascii="Times New Roman"/>
                      <w:b/>
                      <w:bCs/>
                      <w:color w:val="auto"/>
                      <w:sz w:val="21"/>
                    </w:rPr>
                    <w:t>报告表</w:t>
                  </w:r>
                </w:p>
              </w:tc>
              <w:tc>
                <w:tcPr>
                  <w:tcW w:w="1898" w:type="pct"/>
                  <w:gridSpan w:val="2"/>
                  <w:tcBorders>
                    <w:tl2br w:val="nil"/>
                    <w:tr2bl w:val="nil"/>
                  </w:tcBorders>
                  <w:vAlign w:val="center"/>
                </w:tcPr>
                <w:p w14:paraId="2B85C53E">
                  <w:pPr>
                    <w:pStyle w:val="45"/>
                    <w:spacing w:beforeLines="0" w:afterLines="0" w:line="240" w:lineRule="auto"/>
                    <w:ind w:firstLine="0" w:firstLineChars="0"/>
                    <w:rPr>
                      <w:rFonts w:ascii="Times New Roman"/>
                      <w:b/>
                      <w:bCs/>
                      <w:color w:val="auto"/>
                      <w:sz w:val="21"/>
                    </w:rPr>
                  </w:pPr>
                  <w:r>
                    <w:rPr>
                      <w:rFonts w:hint="eastAsia" w:ascii="Times New Roman"/>
                      <w:b/>
                      <w:bCs/>
                      <w:color w:val="auto"/>
                      <w:sz w:val="21"/>
                    </w:rPr>
                    <w:t>地下水环境影响评价项目类别</w:t>
                  </w:r>
                </w:p>
              </w:tc>
            </w:tr>
            <w:tr w14:paraId="3CA21B1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1" w:hRule="atLeast"/>
                <w:jc w:val="center"/>
              </w:trPr>
              <w:tc>
                <w:tcPr>
                  <w:tcW w:w="1416" w:type="pct"/>
                  <w:vMerge w:val="continue"/>
                  <w:tcBorders>
                    <w:tl2br w:val="nil"/>
                    <w:tr2bl w:val="nil"/>
                  </w:tcBorders>
                  <w:vAlign w:val="center"/>
                </w:tcPr>
                <w:p w14:paraId="7A474864">
                  <w:pPr>
                    <w:pStyle w:val="45"/>
                    <w:spacing w:beforeLines="0" w:afterLines="0" w:line="240" w:lineRule="auto"/>
                    <w:ind w:firstLine="0" w:firstLineChars="0"/>
                    <w:rPr>
                      <w:rFonts w:ascii="Times New Roman"/>
                      <w:b/>
                      <w:bCs/>
                      <w:color w:val="auto"/>
                      <w:sz w:val="21"/>
                    </w:rPr>
                  </w:pPr>
                </w:p>
              </w:tc>
              <w:tc>
                <w:tcPr>
                  <w:tcW w:w="544" w:type="pct"/>
                  <w:vMerge w:val="continue"/>
                  <w:tcBorders>
                    <w:tl2br w:val="nil"/>
                    <w:tr2bl w:val="nil"/>
                  </w:tcBorders>
                  <w:vAlign w:val="center"/>
                </w:tcPr>
                <w:p w14:paraId="6909FA56">
                  <w:pPr>
                    <w:pStyle w:val="45"/>
                    <w:spacing w:beforeLines="0" w:afterLines="0" w:line="240" w:lineRule="auto"/>
                    <w:ind w:firstLine="0" w:firstLineChars="0"/>
                    <w:rPr>
                      <w:rFonts w:ascii="Times New Roman"/>
                      <w:b/>
                      <w:bCs/>
                      <w:color w:val="auto"/>
                      <w:sz w:val="21"/>
                    </w:rPr>
                  </w:pPr>
                </w:p>
              </w:tc>
              <w:tc>
                <w:tcPr>
                  <w:tcW w:w="1141" w:type="pct"/>
                  <w:vMerge w:val="continue"/>
                  <w:tcBorders>
                    <w:tl2br w:val="nil"/>
                    <w:tr2bl w:val="nil"/>
                  </w:tcBorders>
                  <w:vAlign w:val="center"/>
                </w:tcPr>
                <w:p w14:paraId="26741F89">
                  <w:pPr>
                    <w:pStyle w:val="45"/>
                    <w:spacing w:beforeLines="0" w:afterLines="0" w:line="240" w:lineRule="auto"/>
                    <w:ind w:firstLine="0" w:firstLineChars="0"/>
                    <w:rPr>
                      <w:rFonts w:ascii="Times New Roman"/>
                      <w:b/>
                      <w:bCs/>
                      <w:color w:val="auto"/>
                      <w:sz w:val="21"/>
                    </w:rPr>
                  </w:pPr>
                </w:p>
              </w:tc>
              <w:tc>
                <w:tcPr>
                  <w:tcW w:w="857" w:type="pct"/>
                  <w:tcBorders>
                    <w:tl2br w:val="nil"/>
                    <w:tr2bl w:val="nil"/>
                  </w:tcBorders>
                  <w:vAlign w:val="center"/>
                </w:tcPr>
                <w:p w14:paraId="4A448172">
                  <w:pPr>
                    <w:pStyle w:val="45"/>
                    <w:spacing w:beforeLines="0" w:afterLines="0" w:line="240" w:lineRule="auto"/>
                    <w:ind w:firstLine="0" w:firstLineChars="0"/>
                    <w:rPr>
                      <w:rFonts w:ascii="Times New Roman"/>
                      <w:b/>
                      <w:bCs/>
                      <w:color w:val="auto"/>
                      <w:sz w:val="21"/>
                    </w:rPr>
                  </w:pPr>
                  <w:r>
                    <w:rPr>
                      <w:rFonts w:hint="eastAsia" w:ascii="Times New Roman"/>
                      <w:b/>
                      <w:bCs/>
                      <w:color w:val="auto"/>
                      <w:sz w:val="21"/>
                    </w:rPr>
                    <w:t>报告书</w:t>
                  </w:r>
                </w:p>
              </w:tc>
              <w:tc>
                <w:tcPr>
                  <w:tcW w:w="1040" w:type="pct"/>
                  <w:tcBorders>
                    <w:tl2br w:val="nil"/>
                    <w:tr2bl w:val="nil"/>
                  </w:tcBorders>
                  <w:vAlign w:val="center"/>
                </w:tcPr>
                <w:p w14:paraId="39AF9020">
                  <w:pPr>
                    <w:pStyle w:val="45"/>
                    <w:spacing w:beforeLines="0" w:afterLines="0" w:line="240" w:lineRule="auto"/>
                    <w:ind w:firstLine="0" w:firstLineChars="0"/>
                    <w:rPr>
                      <w:rFonts w:ascii="Times New Roman"/>
                      <w:b/>
                      <w:bCs/>
                      <w:color w:val="auto"/>
                      <w:sz w:val="21"/>
                    </w:rPr>
                  </w:pPr>
                  <w:r>
                    <w:rPr>
                      <w:rFonts w:hint="eastAsia" w:ascii="Times New Roman"/>
                      <w:b/>
                      <w:bCs/>
                      <w:color w:val="auto"/>
                      <w:sz w:val="21"/>
                    </w:rPr>
                    <w:t>报告表</w:t>
                  </w:r>
                </w:p>
              </w:tc>
            </w:tr>
            <w:tr w14:paraId="54299DE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829" w:hRule="atLeast"/>
                <w:jc w:val="center"/>
              </w:trPr>
              <w:tc>
                <w:tcPr>
                  <w:tcW w:w="1416" w:type="pct"/>
                  <w:tcBorders>
                    <w:tl2br w:val="nil"/>
                    <w:tr2bl w:val="nil"/>
                  </w:tcBorders>
                  <w:vAlign w:val="center"/>
                </w:tcPr>
                <w:p w14:paraId="70DE3351">
                  <w:pPr>
                    <w:pStyle w:val="45"/>
                    <w:spacing w:beforeLines="0" w:afterLines="0" w:line="240" w:lineRule="auto"/>
                    <w:ind w:firstLine="0" w:firstLineChars="0"/>
                    <w:rPr>
                      <w:rFonts w:ascii="Times New Roman"/>
                      <w:color w:val="auto"/>
                      <w:sz w:val="21"/>
                    </w:rPr>
                  </w:pPr>
                  <w:r>
                    <w:rPr>
                      <w:rFonts w:ascii="Times New Roman"/>
                      <w:color w:val="auto"/>
                      <w:sz w:val="21"/>
                    </w:rPr>
                    <w:t>156、房地产开发、宾馆、酒店、办公用房等</w:t>
                  </w:r>
                </w:p>
              </w:tc>
              <w:tc>
                <w:tcPr>
                  <w:tcW w:w="544" w:type="pct"/>
                  <w:tcBorders>
                    <w:tl2br w:val="nil"/>
                    <w:tr2bl w:val="nil"/>
                  </w:tcBorders>
                  <w:vAlign w:val="center"/>
                </w:tcPr>
                <w:p w14:paraId="516B7C94">
                  <w:pPr>
                    <w:pStyle w:val="45"/>
                    <w:spacing w:beforeLines="0" w:afterLines="0" w:line="240" w:lineRule="auto"/>
                    <w:ind w:firstLine="0" w:firstLineChars="0"/>
                    <w:rPr>
                      <w:rFonts w:ascii="Times New Roman"/>
                      <w:color w:val="auto"/>
                      <w:sz w:val="21"/>
                    </w:rPr>
                  </w:pPr>
                  <w:r>
                    <w:rPr>
                      <w:rFonts w:hint="eastAsia" w:ascii="Times New Roman"/>
                      <w:color w:val="auto"/>
                      <w:sz w:val="21"/>
                    </w:rPr>
                    <w:t>/</w:t>
                  </w:r>
                </w:p>
              </w:tc>
              <w:tc>
                <w:tcPr>
                  <w:tcW w:w="1141" w:type="pct"/>
                  <w:tcBorders>
                    <w:tl2br w:val="nil"/>
                    <w:tr2bl w:val="nil"/>
                  </w:tcBorders>
                  <w:vAlign w:val="center"/>
                </w:tcPr>
                <w:p w14:paraId="1BCE77B1">
                  <w:pPr>
                    <w:pStyle w:val="45"/>
                    <w:spacing w:beforeLines="0" w:afterLines="0" w:line="240" w:lineRule="auto"/>
                    <w:ind w:firstLine="0" w:firstLineChars="0"/>
                    <w:rPr>
                      <w:rFonts w:ascii="Times New Roman"/>
                      <w:color w:val="auto"/>
                      <w:sz w:val="21"/>
                    </w:rPr>
                  </w:pPr>
                  <w:r>
                    <w:rPr>
                      <w:rFonts w:ascii="Times New Roman"/>
                      <w:color w:val="auto"/>
                      <w:sz w:val="21"/>
                    </w:rPr>
                    <w:t>建筑面积5万平方米及以上</w:t>
                  </w:r>
                  <w:r>
                    <w:rPr>
                      <w:rFonts w:hint="eastAsia" w:ascii="Times New Roman"/>
                      <w:color w:val="auto"/>
                      <w:sz w:val="21"/>
                    </w:rPr>
                    <w:t>；</w:t>
                  </w:r>
                  <w:r>
                    <w:rPr>
                      <w:rFonts w:ascii="Times New Roman"/>
                      <w:color w:val="auto"/>
                      <w:sz w:val="21"/>
                    </w:rPr>
                    <w:t>涉及环境敏感区的</w:t>
                  </w:r>
                </w:p>
              </w:tc>
              <w:tc>
                <w:tcPr>
                  <w:tcW w:w="857" w:type="pct"/>
                  <w:tcBorders>
                    <w:tl2br w:val="nil"/>
                    <w:tr2bl w:val="nil"/>
                  </w:tcBorders>
                  <w:vAlign w:val="center"/>
                </w:tcPr>
                <w:p w14:paraId="24D7BE72">
                  <w:pPr>
                    <w:pStyle w:val="45"/>
                    <w:spacing w:beforeLines="0" w:afterLines="0" w:line="240" w:lineRule="auto"/>
                    <w:ind w:firstLine="0" w:firstLineChars="0"/>
                    <w:rPr>
                      <w:rFonts w:ascii="Times New Roman"/>
                      <w:color w:val="auto"/>
                      <w:sz w:val="21"/>
                    </w:rPr>
                  </w:pPr>
                  <w:r>
                    <w:rPr>
                      <w:rFonts w:hint="eastAsia" w:ascii="Times New Roman"/>
                      <w:color w:val="auto"/>
                      <w:sz w:val="21"/>
                    </w:rPr>
                    <w:t>/</w:t>
                  </w:r>
                </w:p>
              </w:tc>
              <w:tc>
                <w:tcPr>
                  <w:tcW w:w="1040" w:type="pct"/>
                  <w:tcBorders>
                    <w:tl2br w:val="nil"/>
                    <w:tr2bl w:val="nil"/>
                  </w:tcBorders>
                  <w:vAlign w:val="center"/>
                </w:tcPr>
                <w:p w14:paraId="6066556B">
                  <w:pPr>
                    <w:pStyle w:val="45"/>
                    <w:spacing w:beforeLines="0" w:afterLines="0" w:line="240" w:lineRule="auto"/>
                    <w:ind w:firstLine="0" w:firstLineChars="0"/>
                    <w:rPr>
                      <w:rFonts w:ascii="Times New Roman"/>
                      <w:color w:val="auto"/>
                      <w:sz w:val="21"/>
                    </w:rPr>
                  </w:pPr>
                  <w:r>
                    <w:rPr>
                      <w:rFonts w:hint="eastAsia" w:hAnsi="宋体" w:cs="宋体"/>
                      <w:b/>
                      <w:bCs/>
                      <w:color w:val="auto"/>
                      <w:sz w:val="21"/>
                    </w:rPr>
                    <w:t>Ⅳ类</w:t>
                  </w:r>
                </w:p>
              </w:tc>
            </w:tr>
          </w:tbl>
          <w:p w14:paraId="70E799D6">
            <w:pPr>
              <w:snapToGrid w:val="0"/>
              <w:spacing w:before="120" w:beforeLines="50" w:line="360" w:lineRule="auto"/>
              <w:ind w:firstLine="480" w:firstLineChars="200"/>
              <w:rPr>
                <w:color w:val="auto"/>
                <w:sz w:val="24"/>
                <w:lang w:bidi="ar"/>
              </w:rPr>
            </w:pPr>
            <w:r>
              <w:rPr>
                <w:color w:val="auto"/>
                <w:kern w:val="0"/>
                <w:sz w:val="24"/>
              </w:rPr>
              <w:t>本项目</w:t>
            </w:r>
            <w:r>
              <w:rPr>
                <w:rFonts w:hint="eastAsia"/>
                <w:color w:val="auto"/>
                <w:kern w:val="0"/>
                <w:sz w:val="24"/>
              </w:rPr>
              <w:t>属于房地产业，地下水环境影响评价项目类别为Ⅳ类，</w:t>
            </w:r>
            <w:r>
              <w:rPr>
                <w:color w:val="auto"/>
                <w:kern w:val="0"/>
                <w:sz w:val="24"/>
              </w:rPr>
              <w:t>项目不需要开展</w:t>
            </w:r>
            <w:r>
              <w:rPr>
                <w:rFonts w:hint="eastAsia"/>
                <w:color w:val="auto"/>
                <w:kern w:val="0"/>
                <w:sz w:val="24"/>
              </w:rPr>
              <w:t>地下水</w:t>
            </w:r>
            <w:r>
              <w:rPr>
                <w:color w:val="auto"/>
                <w:kern w:val="0"/>
                <w:sz w:val="24"/>
              </w:rPr>
              <w:t>环境影响评价工作</w:t>
            </w:r>
            <w:r>
              <w:rPr>
                <w:rFonts w:hint="eastAsia"/>
                <w:color w:val="auto"/>
                <w:kern w:val="0"/>
                <w:sz w:val="24"/>
              </w:rPr>
              <w:t>，不需要进行地下水现状监测</w:t>
            </w:r>
            <w:r>
              <w:rPr>
                <w:color w:val="auto"/>
                <w:kern w:val="0"/>
                <w:sz w:val="24"/>
              </w:rPr>
              <w:t>。</w:t>
            </w:r>
          </w:p>
        </w:tc>
      </w:tr>
      <w:tr w14:paraId="0E149D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Align w:val="center"/>
          </w:tcPr>
          <w:p w14:paraId="5FFDF95B">
            <w:pPr>
              <w:adjustRightInd w:val="0"/>
              <w:snapToGrid w:val="0"/>
              <w:jc w:val="center"/>
              <w:rPr>
                <w:color w:val="auto"/>
                <w:kern w:val="0"/>
                <w:sz w:val="24"/>
              </w:rPr>
            </w:pPr>
            <w:r>
              <w:rPr>
                <w:bCs/>
                <w:color w:val="auto"/>
                <w:sz w:val="24"/>
              </w:rPr>
              <w:t>与项目有关的原有环境污染和生态破坏问题</w:t>
            </w:r>
          </w:p>
        </w:tc>
        <w:tc>
          <w:tcPr>
            <w:tcW w:w="4752" w:type="pct"/>
          </w:tcPr>
          <w:p w14:paraId="14128E26">
            <w:pPr>
              <w:adjustRightInd w:val="0"/>
              <w:snapToGrid w:val="0"/>
              <w:spacing w:before="120" w:beforeLines="50" w:line="360" w:lineRule="auto"/>
              <w:ind w:firstLine="480" w:firstLineChars="200"/>
              <w:rPr>
                <w:color w:val="auto"/>
                <w:kern w:val="0"/>
                <w:sz w:val="24"/>
              </w:rPr>
            </w:pPr>
            <w:r>
              <w:rPr>
                <w:color w:val="auto"/>
                <w:kern w:val="0"/>
                <w:sz w:val="24"/>
              </w:rPr>
              <w:t>本项目为新建项目，根据现场踏勘和调查，不存在与本项目有关的原有环境污染和生态破坏问题。</w:t>
            </w:r>
            <w:r>
              <w:rPr>
                <w:rFonts w:hint="eastAsia"/>
                <w:color w:val="auto"/>
                <w:kern w:val="0"/>
                <w:sz w:val="24"/>
                <w:lang w:eastAsia="zh-CN"/>
              </w:rPr>
              <w:t>项目所在区域、紧邻北侧区域房屋正在由政府进行拆迁。</w:t>
            </w:r>
            <w:r>
              <w:rPr>
                <w:color w:val="auto"/>
                <w:kern w:val="0"/>
                <w:sz w:val="24"/>
              </w:rPr>
              <w:t>本项目建设区域现场照片如下：</w:t>
            </w:r>
          </w:p>
          <w:tbl>
            <w:tblPr>
              <w:tblStyle w:val="35"/>
              <w:tblW w:w="78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40"/>
              <w:gridCol w:w="3941"/>
            </w:tblGrid>
            <w:tr w14:paraId="0DF72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0" w:type="dxa"/>
                  <w:vAlign w:val="center"/>
                </w:tcPr>
                <w:p w14:paraId="1138C3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color w:val="auto"/>
                      <w:kern w:val="0"/>
                      <w:sz w:val="24"/>
                      <w:highlight w:val="none"/>
                      <w:lang w:eastAsia="zh-CN"/>
                    </w:rPr>
                  </w:pPr>
                  <w:r>
                    <w:rPr>
                      <w:rFonts w:hint="eastAsia" w:eastAsia="宋体"/>
                      <w:color w:val="auto"/>
                      <w:kern w:val="0"/>
                      <w:sz w:val="24"/>
                      <w:highlight w:val="none"/>
                      <w:lang w:eastAsia="zh-CN"/>
                    </w:rPr>
                    <w:drawing>
                      <wp:inline distT="0" distB="0" distL="114300" distR="114300">
                        <wp:extent cx="2432050" cy="1752600"/>
                        <wp:effectExtent l="0" t="0" r="6350" b="0"/>
                        <wp:docPr id="6" name="图片 6" descr="IMG_20260515_14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0260515_140100"/>
                                <pic:cNvPicPr>
                                  <a:picLocks noChangeAspect="1"/>
                                </pic:cNvPicPr>
                              </pic:nvPicPr>
                              <pic:blipFill>
                                <a:blip r:embed="rId19"/>
                                <a:srcRect t="45961"/>
                                <a:stretch>
                                  <a:fillRect/>
                                </a:stretch>
                              </pic:blipFill>
                              <pic:spPr>
                                <a:xfrm>
                                  <a:off x="0" y="0"/>
                                  <a:ext cx="2432050" cy="1752600"/>
                                </a:xfrm>
                                <a:prstGeom prst="rect">
                                  <a:avLst/>
                                </a:prstGeom>
                              </pic:spPr>
                            </pic:pic>
                          </a:graphicData>
                        </a:graphic>
                      </wp:inline>
                    </w:drawing>
                  </w:r>
                </w:p>
              </w:tc>
              <w:tc>
                <w:tcPr>
                  <w:tcW w:w="3941" w:type="dxa"/>
                  <w:vAlign w:val="center"/>
                </w:tcPr>
                <w:p w14:paraId="1E7ABA7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color w:val="auto"/>
                      <w:kern w:val="0"/>
                      <w:sz w:val="24"/>
                      <w:highlight w:val="none"/>
                      <w:lang w:eastAsia="zh-CN"/>
                    </w:rPr>
                  </w:pPr>
                  <w:r>
                    <w:rPr>
                      <w:rFonts w:hint="eastAsia" w:eastAsia="宋体"/>
                      <w:color w:val="auto"/>
                      <w:kern w:val="0"/>
                      <w:sz w:val="24"/>
                      <w:highlight w:val="none"/>
                      <w:lang w:eastAsia="zh-CN"/>
                    </w:rPr>
                    <w:drawing>
                      <wp:inline distT="0" distB="0" distL="114300" distR="114300">
                        <wp:extent cx="2164080" cy="1942465"/>
                        <wp:effectExtent l="0" t="0" r="7620" b="635"/>
                        <wp:docPr id="7" name="图片 7" descr="IMG_20260515_134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0260515_134317"/>
                                <pic:cNvPicPr>
                                  <a:picLocks noChangeAspect="1"/>
                                </pic:cNvPicPr>
                              </pic:nvPicPr>
                              <pic:blipFill>
                                <a:blip r:embed="rId20"/>
                                <a:srcRect t="37416" r="19479" b="8383"/>
                                <a:stretch>
                                  <a:fillRect/>
                                </a:stretch>
                              </pic:blipFill>
                              <pic:spPr>
                                <a:xfrm>
                                  <a:off x="0" y="0"/>
                                  <a:ext cx="2164080" cy="1942465"/>
                                </a:xfrm>
                                <a:prstGeom prst="rect">
                                  <a:avLst/>
                                </a:prstGeom>
                              </pic:spPr>
                            </pic:pic>
                          </a:graphicData>
                        </a:graphic>
                      </wp:inline>
                    </w:drawing>
                  </w:r>
                </w:p>
              </w:tc>
            </w:tr>
            <w:tr w14:paraId="18749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0" w:type="dxa"/>
                  <w:vAlign w:val="center"/>
                </w:tcPr>
                <w:p w14:paraId="3DD9C7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color w:val="auto"/>
                      <w:kern w:val="0"/>
                      <w:sz w:val="24"/>
                      <w:highlight w:val="none"/>
                      <w:lang w:eastAsia="zh-CN"/>
                    </w:rPr>
                  </w:pPr>
                  <w:r>
                    <w:rPr>
                      <w:rFonts w:hint="eastAsia" w:eastAsia="宋体"/>
                      <w:color w:val="auto"/>
                      <w:kern w:val="0"/>
                      <w:sz w:val="24"/>
                      <w:highlight w:val="none"/>
                      <w:lang w:eastAsia="zh-CN"/>
                    </w:rPr>
                    <w:drawing>
                      <wp:inline distT="0" distB="0" distL="114300" distR="114300">
                        <wp:extent cx="2340610" cy="1984375"/>
                        <wp:effectExtent l="0" t="0" r="0" b="0"/>
                        <wp:docPr id="9" name="图片 9" descr="IMG_20260515_134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0260515_134523"/>
                                <pic:cNvPicPr>
                                  <a:picLocks noChangeAspect="1"/>
                                </pic:cNvPicPr>
                              </pic:nvPicPr>
                              <pic:blipFill>
                                <a:blip r:embed="rId21"/>
                                <a:srcRect t="36419"/>
                                <a:stretch>
                                  <a:fillRect/>
                                </a:stretch>
                              </pic:blipFill>
                              <pic:spPr>
                                <a:xfrm>
                                  <a:off x="0" y="0"/>
                                  <a:ext cx="2340610" cy="1984375"/>
                                </a:xfrm>
                                <a:prstGeom prst="rect">
                                  <a:avLst/>
                                </a:prstGeom>
                              </pic:spPr>
                            </pic:pic>
                          </a:graphicData>
                        </a:graphic>
                      </wp:inline>
                    </w:drawing>
                  </w:r>
                </w:p>
              </w:tc>
              <w:tc>
                <w:tcPr>
                  <w:tcW w:w="3941" w:type="dxa"/>
                  <w:vAlign w:val="center"/>
                </w:tcPr>
                <w:p w14:paraId="4E334D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color w:val="auto"/>
                      <w:kern w:val="0"/>
                      <w:sz w:val="24"/>
                      <w:highlight w:val="none"/>
                      <w:lang w:eastAsia="zh-CN"/>
                    </w:rPr>
                  </w:pPr>
                  <w:r>
                    <w:rPr>
                      <w:rFonts w:hint="eastAsia" w:eastAsia="宋体"/>
                      <w:color w:val="auto"/>
                      <w:kern w:val="0"/>
                      <w:sz w:val="24"/>
                      <w:highlight w:val="none"/>
                      <w:lang w:eastAsia="zh-CN"/>
                    </w:rPr>
                    <w:drawing>
                      <wp:inline distT="0" distB="0" distL="114300" distR="114300">
                        <wp:extent cx="2340610" cy="1990725"/>
                        <wp:effectExtent l="0" t="0" r="0" b="0"/>
                        <wp:docPr id="10" name="图片 10" descr="IMG_20260515_135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0260515_135107"/>
                                <pic:cNvPicPr>
                                  <a:picLocks noChangeAspect="1"/>
                                </pic:cNvPicPr>
                              </pic:nvPicPr>
                              <pic:blipFill>
                                <a:blip r:embed="rId22"/>
                                <a:srcRect t="36216"/>
                                <a:stretch>
                                  <a:fillRect/>
                                </a:stretch>
                              </pic:blipFill>
                              <pic:spPr>
                                <a:xfrm>
                                  <a:off x="0" y="0"/>
                                  <a:ext cx="2340610" cy="1990725"/>
                                </a:xfrm>
                                <a:prstGeom prst="rect">
                                  <a:avLst/>
                                </a:prstGeom>
                              </pic:spPr>
                            </pic:pic>
                          </a:graphicData>
                        </a:graphic>
                      </wp:inline>
                    </w:drawing>
                  </w:r>
                </w:p>
              </w:tc>
            </w:tr>
          </w:tbl>
          <w:p w14:paraId="55637682">
            <w:pPr>
              <w:adjustRightInd w:val="0"/>
              <w:snapToGrid w:val="0"/>
              <w:spacing w:before="120" w:beforeLines="50" w:line="360" w:lineRule="auto"/>
              <w:jc w:val="center"/>
              <w:rPr>
                <w:color w:val="auto"/>
                <w:kern w:val="0"/>
                <w:sz w:val="24"/>
              </w:rPr>
            </w:pPr>
            <w:r>
              <w:rPr>
                <w:rFonts w:hint="eastAsia"/>
                <w:b/>
                <w:bCs/>
                <w:color w:val="auto"/>
                <w:szCs w:val="21"/>
                <w:highlight w:val="none"/>
              </w:rPr>
              <w:t>图3-1  本项目建设区域现场照片</w:t>
            </w:r>
          </w:p>
        </w:tc>
      </w:tr>
      <w:tr w14:paraId="53EA02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Align w:val="center"/>
          </w:tcPr>
          <w:p w14:paraId="2D3122F9">
            <w:pPr>
              <w:adjustRightInd w:val="0"/>
              <w:snapToGrid w:val="0"/>
              <w:jc w:val="center"/>
              <w:rPr>
                <w:color w:val="auto"/>
                <w:kern w:val="0"/>
                <w:szCs w:val="21"/>
              </w:rPr>
            </w:pPr>
            <w:r>
              <w:rPr>
                <w:color w:val="auto"/>
                <w:kern w:val="0"/>
                <w:sz w:val="24"/>
              </w:rPr>
              <w:t>生态环境保护目标</w:t>
            </w:r>
          </w:p>
        </w:tc>
        <w:tc>
          <w:tcPr>
            <w:tcW w:w="4752" w:type="pct"/>
          </w:tcPr>
          <w:p w14:paraId="2C483F97">
            <w:pPr>
              <w:adjustRightInd w:val="0"/>
              <w:snapToGrid w:val="0"/>
              <w:spacing w:line="360" w:lineRule="auto"/>
              <w:ind w:firstLine="480" w:firstLineChars="200"/>
              <w:rPr>
                <w:color w:val="auto"/>
                <w:kern w:val="0"/>
                <w:sz w:val="24"/>
              </w:rPr>
            </w:pPr>
            <w:r>
              <w:rPr>
                <w:color w:val="auto"/>
                <w:kern w:val="0"/>
                <w:sz w:val="24"/>
              </w:rPr>
              <w:t>项目环境保护目标保护级别为《环境空气质量标准》（GB 3095-20</w:t>
            </w:r>
            <w:r>
              <w:rPr>
                <w:rFonts w:hint="eastAsia"/>
                <w:color w:val="auto"/>
                <w:kern w:val="0"/>
                <w:sz w:val="24"/>
                <w:lang w:val="en-US" w:eastAsia="zh-CN"/>
              </w:rPr>
              <w:t>26</w:t>
            </w:r>
            <w:r>
              <w:rPr>
                <w:color w:val="auto"/>
                <w:kern w:val="0"/>
                <w:sz w:val="24"/>
              </w:rPr>
              <w:t>）</w:t>
            </w:r>
            <w:r>
              <w:rPr>
                <w:rFonts w:hint="eastAsia"/>
                <w:color w:val="auto"/>
                <w:kern w:val="0"/>
                <w:sz w:val="24"/>
              </w:rPr>
              <w:t>二</w:t>
            </w:r>
            <w:r>
              <w:rPr>
                <w:color w:val="auto"/>
                <w:kern w:val="0"/>
                <w:sz w:val="24"/>
              </w:rPr>
              <w:t>级标准、《地表水环境质量标准》（GB 3838-2002）Ⅲ类标准和《声环境质量标准》（GB3096-2008）中的2类标准。</w:t>
            </w:r>
          </w:p>
          <w:p w14:paraId="0D829785">
            <w:pPr>
              <w:adjustRightInd w:val="0"/>
              <w:snapToGrid w:val="0"/>
              <w:spacing w:line="360" w:lineRule="auto"/>
              <w:ind w:firstLine="480" w:firstLineChars="200"/>
              <w:rPr>
                <w:color w:val="auto"/>
                <w:kern w:val="0"/>
                <w:sz w:val="24"/>
              </w:rPr>
            </w:pPr>
            <w:r>
              <w:rPr>
                <w:color w:val="auto"/>
                <w:kern w:val="0"/>
                <w:sz w:val="24"/>
              </w:rPr>
              <w:t>主要环境保护目标如下表所示。</w:t>
            </w:r>
          </w:p>
          <w:p w14:paraId="3CE046C6">
            <w:pPr>
              <w:adjustRightInd w:val="0"/>
              <w:snapToGrid w:val="0"/>
              <w:jc w:val="center"/>
              <w:rPr>
                <w:b/>
                <w:bCs/>
                <w:color w:val="auto"/>
                <w:kern w:val="0"/>
                <w:szCs w:val="21"/>
              </w:rPr>
            </w:pPr>
            <w:r>
              <w:rPr>
                <w:b/>
                <w:bCs/>
                <w:color w:val="auto"/>
                <w:kern w:val="0"/>
                <w:szCs w:val="21"/>
              </w:rPr>
              <w:t>表3-</w:t>
            </w:r>
            <w:r>
              <w:rPr>
                <w:rFonts w:hint="eastAsia"/>
                <w:b/>
                <w:bCs/>
                <w:color w:val="auto"/>
                <w:kern w:val="0"/>
                <w:szCs w:val="21"/>
              </w:rPr>
              <w:t>7</w:t>
            </w:r>
            <w:r>
              <w:rPr>
                <w:b/>
                <w:bCs/>
                <w:color w:val="auto"/>
                <w:kern w:val="0"/>
                <w:szCs w:val="21"/>
              </w:rPr>
              <w:t xml:space="preserve">  环境保护目标表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66"/>
              <w:gridCol w:w="1001"/>
              <w:gridCol w:w="1586"/>
              <w:gridCol w:w="968"/>
              <w:gridCol w:w="645"/>
              <w:gridCol w:w="810"/>
              <w:gridCol w:w="1279"/>
              <w:gridCol w:w="727"/>
            </w:tblGrid>
            <w:tr w14:paraId="445A68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tcBorders>
                    <w:tl2br w:val="nil"/>
                    <w:tr2bl w:val="nil"/>
                  </w:tcBorders>
                  <w:vAlign w:val="center"/>
                </w:tcPr>
                <w:p w14:paraId="3FBD540D">
                  <w:pPr>
                    <w:pStyle w:val="64"/>
                    <w:adjustRightInd w:val="0"/>
                    <w:textAlignment w:val="baseline"/>
                    <w:rPr>
                      <w:rFonts w:eastAsia="宋体"/>
                      <w:b/>
                      <w:bCs/>
                      <w:color w:val="auto"/>
                      <w:sz w:val="21"/>
                    </w:rPr>
                  </w:pPr>
                  <w:r>
                    <w:rPr>
                      <w:rFonts w:eastAsia="宋体"/>
                      <w:b/>
                      <w:bCs/>
                      <w:color w:val="auto"/>
                      <w:sz w:val="21"/>
                    </w:rPr>
                    <w:t>环境要素</w:t>
                  </w:r>
                </w:p>
              </w:tc>
              <w:tc>
                <w:tcPr>
                  <w:tcW w:w="634" w:type="pct"/>
                  <w:tcBorders>
                    <w:tl2br w:val="nil"/>
                    <w:tr2bl w:val="nil"/>
                  </w:tcBorders>
                  <w:vAlign w:val="center"/>
                </w:tcPr>
                <w:p w14:paraId="39C35760">
                  <w:pPr>
                    <w:pStyle w:val="64"/>
                    <w:adjustRightInd w:val="0"/>
                    <w:textAlignment w:val="baseline"/>
                    <w:rPr>
                      <w:rFonts w:eastAsia="宋体"/>
                      <w:b/>
                      <w:bCs/>
                      <w:color w:val="auto"/>
                      <w:sz w:val="21"/>
                    </w:rPr>
                  </w:pPr>
                  <w:r>
                    <w:rPr>
                      <w:rFonts w:eastAsia="宋体"/>
                      <w:b/>
                      <w:bCs/>
                      <w:color w:val="auto"/>
                      <w:sz w:val="21"/>
                    </w:rPr>
                    <w:t>敏感目标名称</w:t>
                  </w:r>
                </w:p>
              </w:tc>
              <w:tc>
                <w:tcPr>
                  <w:tcW w:w="1006" w:type="pct"/>
                  <w:tcBorders>
                    <w:tl2br w:val="nil"/>
                    <w:tr2bl w:val="nil"/>
                  </w:tcBorders>
                  <w:vAlign w:val="center"/>
                </w:tcPr>
                <w:p w14:paraId="5C3EEC69">
                  <w:pPr>
                    <w:pStyle w:val="64"/>
                    <w:adjustRightInd w:val="0"/>
                    <w:textAlignment w:val="baseline"/>
                    <w:rPr>
                      <w:rFonts w:eastAsia="宋体"/>
                      <w:b/>
                      <w:bCs/>
                      <w:color w:val="auto"/>
                      <w:sz w:val="21"/>
                    </w:rPr>
                  </w:pPr>
                  <w:r>
                    <w:rPr>
                      <w:rFonts w:eastAsia="宋体"/>
                      <w:b/>
                      <w:bCs/>
                      <w:color w:val="auto"/>
                      <w:sz w:val="21"/>
                    </w:rPr>
                    <w:t>坐标</w:t>
                  </w:r>
                </w:p>
              </w:tc>
              <w:tc>
                <w:tcPr>
                  <w:tcW w:w="614" w:type="pct"/>
                  <w:tcBorders>
                    <w:tl2br w:val="nil"/>
                    <w:tr2bl w:val="nil"/>
                  </w:tcBorders>
                  <w:vAlign w:val="center"/>
                </w:tcPr>
                <w:p w14:paraId="14867D88">
                  <w:pPr>
                    <w:pStyle w:val="64"/>
                    <w:adjustRightInd w:val="0"/>
                    <w:textAlignment w:val="baseline"/>
                    <w:rPr>
                      <w:rFonts w:eastAsia="宋体"/>
                      <w:b/>
                      <w:bCs/>
                      <w:color w:val="auto"/>
                      <w:sz w:val="21"/>
                    </w:rPr>
                  </w:pPr>
                  <w:r>
                    <w:rPr>
                      <w:rFonts w:eastAsia="宋体"/>
                      <w:b/>
                      <w:bCs/>
                      <w:color w:val="auto"/>
                      <w:sz w:val="21"/>
                    </w:rPr>
                    <w:t>位置关系及距离</w:t>
                  </w:r>
                </w:p>
              </w:tc>
              <w:tc>
                <w:tcPr>
                  <w:tcW w:w="409" w:type="pct"/>
                  <w:tcBorders>
                    <w:tl2br w:val="nil"/>
                    <w:tr2bl w:val="nil"/>
                  </w:tcBorders>
                  <w:vAlign w:val="center"/>
                </w:tcPr>
                <w:p w14:paraId="60DE261D">
                  <w:pPr>
                    <w:pStyle w:val="64"/>
                    <w:adjustRightInd w:val="0"/>
                    <w:textAlignment w:val="baseline"/>
                    <w:rPr>
                      <w:rFonts w:eastAsia="宋体"/>
                      <w:b/>
                      <w:bCs/>
                      <w:color w:val="auto"/>
                      <w:sz w:val="21"/>
                    </w:rPr>
                  </w:pPr>
                  <w:r>
                    <w:rPr>
                      <w:rFonts w:eastAsia="宋体"/>
                      <w:b/>
                      <w:bCs/>
                      <w:color w:val="auto"/>
                      <w:sz w:val="21"/>
                    </w:rPr>
                    <w:t>性质</w:t>
                  </w:r>
                </w:p>
              </w:tc>
              <w:tc>
                <w:tcPr>
                  <w:tcW w:w="513" w:type="pct"/>
                  <w:tcBorders>
                    <w:tl2br w:val="nil"/>
                    <w:tr2bl w:val="nil"/>
                  </w:tcBorders>
                  <w:vAlign w:val="center"/>
                </w:tcPr>
                <w:p w14:paraId="5666669A">
                  <w:pPr>
                    <w:pStyle w:val="64"/>
                    <w:adjustRightInd w:val="0"/>
                    <w:textAlignment w:val="baseline"/>
                    <w:rPr>
                      <w:rFonts w:eastAsia="宋体"/>
                      <w:b/>
                      <w:bCs/>
                      <w:color w:val="auto"/>
                      <w:sz w:val="21"/>
                    </w:rPr>
                  </w:pPr>
                  <w:r>
                    <w:rPr>
                      <w:rFonts w:eastAsia="宋体"/>
                      <w:b/>
                      <w:bCs/>
                      <w:color w:val="auto"/>
                      <w:sz w:val="21"/>
                    </w:rPr>
                    <w:t>规模/人</w:t>
                  </w:r>
                </w:p>
              </w:tc>
              <w:tc>
                <w:tcPr>
                  <w:tcW w:w="811" w:type="pct"/>
                  <w:tcBorders>
                    <w:tl2br w:val="nil"/>
                    <w:tr2bl w:val="nil"/>
                  </w:tcBorders>
                  <w:vAlign w:val="center"/>
                </w:tcPr>
                <w:p w14:paraId="653C6C57">
                  <w:pPr>
                    <w:pStyle w:val="64"/>
                    <w:adjustRightInd w:val="0"/>
                    <w:textAlignment w:val="baseline"/>
                    <w:rPr>
                      <w:rFonts w:eastAsia="宋体"/>
                      <w:b/>
                      <w:bCs/>
                      <w:color w:val="auto"/>
                      <w:sz w:val="21"/>
                    </w:rPr>
                  </w:pPr>
                  <w:r>
                    <w:rPr>
                      <w:rFonts w:eastAsia="宋体"/>
                      <w:b/>
                      <w:bCs/>
                      <w:color w:val="auto"/>
                      <w:sz w:val="21"/>
                    </w:rPr>
                    <w:t>环境功能及要求</w:t>
                  </w:r>
                </w:p>
              </w:tc>
              <w:tc>
                <w:tcPr>
                  <w:tcW w:w="461" w:type="pct"/>
                  <w:tcBorders>
                    <w:tl2br w:val="nil"/>
                    <w:tr2bl w:val="nil"/>
                  </w:tcBorders>
                  <w:vAlign w:val="center"/>
                </w:tcPr>
                <w:p w14:paraId="3C396CC3">
                  <w:pPr>
                    <w:pStyle w:val="64"/>
                    <w:adjustRightInd w:val="0"/>
                    <w:textAlignment w:val="baseline"/>
                    <w:rPr>
                      <w:rFonts w:eastAsia="宋体"/>
                      <w:b/>
                      <w:bCs/>
                      <w:color w:val="auto"/>
                      <w:sz w:val="21"/>
                    </w:rPr>
                  </w:pPr>
                  <w:r>
                    <w:rPr>
                      <w:rFonts w:eastAsia="宋体"/>
                      <w:b/>
                      <w:bCs/>
                      <w:color w:val="auto"/>
                      <w:sz w:val="21"/>
                    </w:rPr>
                    <w:t>备注</w:t>
                  </w:r>
                </w:p>
              </w:tc>
            </w:tr>
            <w:tr w14:paraId="73805C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vMerge w:val="restart"/>
                  <w:tcBorders>
                    <w:tl2br w:val="nil"/>
                    <w:tr2bl w:val="nil"/>
                  </w:tcBorders>
                  <w:vAlign w:val="center"/>
                </w:tcPr>
                <w:p w14:paraId="22FDF92F">
                  <w:pPr>
                    <w:pStyle w:val="64"/>
                    <w:adjustRightInd w:val="0"/>
                    <w:textAlignment w:val="baseline"/>
                    <w:rPr>
                      <w:rFonts w:eastAsia="宋体"/>
                      <w:color w:val="auto"/>
                      <w:sz w:val="21"/>
                    </w:rPr>
                  </w:pPr>
                  <w:r>
                    <w:rPr>
                      <w:rFonts w:hint="eastAsia" w:eastAsia="宋体"/>
                      <w:color w:val="auto"/>
                      <w:sz w:val="21"/>
                    </w:rPr>
                    <w:t>声环境</w:t>
                  </w:r>
                </w:p>
              </w:tc>
              <w:tc>
                <w:tcPr>
                  <w:tcW w:w="634" w:type="pct"/>
                  <w:tcBorders>
                    <w:tl2br w:val="nil"/>
                    <w:tr2bl w:val="nil"/>
                  </w:tcBorders>
                  <w:vAlign w:val="center"/>
                </w:tcPr>
                <w:p w14:paraId="73F9FBAF">
                  <w:pPr>
                    <w:pStyle w:val="64"/>
                    <w:adjustRightInd w:val="0"/>
                    <w:textAlignment w:val="baseline"/>
                    <w:rPr>
                      <w:rFonts w:eastAsia="宋体"/>
                      <w:color w:val="auto"/>
                      <w:sz w:val="21"/>
                    </w:rPr>
                  </w:pPr>
                  <w:r>
                    <w:rPr>
                      <w:rFonts w:hint="eastAsia" w:eastAsia="宋体"/>
                      <w:color w:val="auto"/>
                      <w:sz w:val="21"/>
                    </w:rPr>
                    <w:t>关坝镇居民一</w:t>
                  </w:r>
                </w:p>
              </w:tc>
              <w:tc>
                <w:tcPr>
                  <w:tcW w:w="1006" w:type="pct"/>
                  <w:tcBorders>
                    <w:tl2br w:val="nil"/>
                    <w:tr2bl w:val="nil"/>
                  </w:tcBorders>
                  <w:vAlign w:val="center"/>
                </w:tcPr>
                <w:p w14:paraId="3D2A972D">
                  <w:pPr>
                    <w:adjustRightInd w:val="0"/>
                    <w:jc w:val="center"/>
                    <w:textAlignment w:val="baseline"/>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106.963038</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32.597504</w:t>
                  </w:r>
                </w:p>
              </w:tc>
              <w:tc>
                <w:tcPr>
                  <w:tcW w:w="614" w:type="pct"/>
                  <w:tcBorders>
                    <w:tl2br w:val="nil"/>
                    <w:tr2bl w:val="nil"/>
                  </w:tcBorders>
                  <w:vAlign w:val="center"/>
                </w:tcPr>
                <w:p w14:paraId="14B4ACB8">
                  <w:pPr>
                    <w:pStyle w:val="64"/>
                    <w:adjustRightInd w:val="0"/>
                    <w:textAlignment w:val="baseline"/>
                    <w:rPr>
                      <w:rFonts w:eastAsia="宋体"/>
                      <w:color w:val="auto"/>
                      <w:sz w:val="21"/>
                      <w:highlight w:val="none"/>
                    </w:rPr>
                  </w:pPr>
                  <w:r>
                    <w:rPr>
                      <w:rFonts w:hint="eastAsia" w:eastAsia="宋体"/>
                      <w:color w:val="auto"/>
                      <w:sz w:val="21"/>
                      <w:highlight w:val="none"/>
                      <w:lang w:eastAsia="zh-CN"/>
                    </w:rPr>
                    <w:t>西</w:t>
                  </w:r>
                  <w:r>
                    <w:rPr>
                      <w:rFonts w:hint="eastAsia" w:eastAsia="宋体"/>
                      <w:color w:val="auto"/>
                      <w:sz w:val="21"/>
                      <w:highlight w:val="none"/>
                    </w:rPr>
                    <w:t>侧</w:t>
                  </w:r>
                  <w:r>
                    <w:rPr>
                      <w:rFonts w:hint="eastAsia" w:eastAsia="宋体"/>
                      <w:color w:val="auto"/>
                      <w:sz w:val="21"/>
                      <w:highlight w:val="none"/>
                      <w:lang w:val="en-US" w:eastAsia="zh-CN"/>
                    </w:rPr>
                    <w:t>6</w:t>
                  </w:r>
                  <w:r>
                    <w:rPr>
                      <w:rFonts w:hint="eastAsia" w:eastAsia="宋体"/>
                      <w:color w:val="auto"/>
                      <w:sz w:val="21"/>
                      <w:highlight w:val="none"/>
                    </w:rPr>
                    <w:t>m</w:t>
                  </w:r>
                </w:p>
              </w:tc>
              <w:tc>
                <w:tcPr>
                  <w:tcW w:w="409" w:type="pct"/>
                  <w:tcBorders>
                    <w:tl2br w:val="nil"/>
                    <w:tr2bl w:val="nil"/>
                  </w:tcBorders>
                  <w:vAlign w:val="center"/>
                </w:tcPr>
                <w:p w14:paraId="3397540B">
                  <w:pPr>
                    <w:pStyle w:val="64"/>
                    <w:adjustRightInd w:val="0"/>
                    <w:textAlignment w:val="baseline"/>
                    <w:rPr>
                      <w:rFonts w:eastAsia="宋体"/>
                      <w:color w:val="auto"/>
                      <w:sz w:val="21"/>
                    </w:rPr>
                  </w:pPr>
                  <w:r>
                    <w:rPr>
                      <w:rFonts w:hint="eastAsia" w:eastAsia="宋体"/>
                      <w:color w:val="auto"/>
                      <w:sz w:val="21"/>
                    </w:rPr>
                    <w:t>居住区</w:t>
                  </w:r>
                </w:p>
              </w:tc>
              <w:tc>
                <w:tcPr>
                  <w:tcW w:w="513" w:type="pct"/>
                  <w:tcBorders>
                    <w:tl2br w:val="nil"/>
                    <w:tr2bl w:val="nil"/>
                  </w:tcBorders>
                  <w:vAlign w:val="center"/>
                </w:tcPr>
                <w:p w14:paraId="44E3140C">
                  <w:pPr>
                    <w:pStyle w:val="64"/>
                    <w:adjustRightInd w:val="0"/>
                    <w:textAlignment w:val="baseline"/>
                    <w:rPr>
                      <w:rFonts w:eastAsia="宋体"/>
                      <w:color w:val="auto"/>
                      <w:sz w:val="21"/>
                    </w:rPr>
                  </w:pPr>
                  <w:r>
                    <w:rPr>
                      <w:rFonts w:hint="eastAsia" w:eastAsia="宋体"/>
                      <w:color w:val="auto"/>
                      <w:sz w:val="21"/>
                    </w:rPr>
                    <w:t>10人</w:t>
                  </w:r>
                </w:p>
              </w:tc>
              <w:tc>
                <w:tcPr>
                  <w:tcW w:w="811" w:type="pct"/>
                  <w:vMerge w:val="restart"/>
                  <w:tcBorders>
                    <w:tl2br w:val="nil"/>
                    <w:tr2bl w:val="nil"/>
                  </w:tcBorders>
                  <w:vAlign w:val="center"/>
                </w:tcPr>
                <w:p w14:paraId="10340FB1">
                  <w:pPr>
                    <w:pStyle w:val="64"/>
                    <w:adjustRightInd w:val="0"/>
                    <w:textAlignment w:val="baseline"/>
                    <w:rPr>
                      <w:rFonts w:eastAsia="宋体"/>
                      <w:b/>
                      <w:bCs/>
                      <w:color w:val="auto"/>
                      <w:sz w:val="21"/>
                    </w:rPr>
                  </w:pPr>
                  <w:r>
                    <w:rPr>
                      <w:rFonts w:eastAsia="宋体"/>
                      <w:color w:val="auto"/>
                      <w:sz w:val="21"/>
                    </w:rPr>
                    <w:t>（GB3096-2008）中2类标准</w:t>
                  </w:r>
                </w:p>
              </w:tc>
              <w:tc>
                <w:tcPr>
                  <w:tcW w:w="461" w:type="pct"/>
                  <w:vMerge w:val="restart"/>
                  <w:tcBorders>
                    <w:tl2br w:val="nil"/>
                    <w:tr2bl w:val="nil"/>
                  </w:tcBorders>
                  <w:vAlign w:val="center"/>
                </w:tcPr>
                <w:p w14:paraId="16EECAEE">
                  <w:pPr>
                    <w:pStyle w:val="64"/>
                    <w:adjustRightInd w:val="0"/>
                    <w:textAlignment w:val="baseline"/>
                    <w:rPr>
                      <w:rFonts w:eastAsia="宋体"/>
                      <w:b/>
                      <w:bCs/>
                      <w:color w:val="auto"/>
                      <w:sz w:val="21"/>
                    </w:rPr>
                  </w:pPr>
                  <w:r>
                    <w:rPr>
                      <w:rFonts w:eastAsia="宋体"/>
                      <w:color w:val="auto"/>
                      <w:sz w:val="21"/>
                    </w:rPr>
                    <w:t>项目用地50m范围</w:t>
                  </w:r>
                </w:p>
              </w:tc>
            </w:tr>
            <w:tr w14:paraId="123519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vMerge w:val="continue"/>
                  <w:tcBorders>
                    <w:tl2br w:val="nil"/>
                    <w:tr2bl w:val="nil"/>
                  </w:tcBorders>
                  <w:vAlign w:val="center"/>
                </w:tcPr>
                <w:p w14:paraId="4CDDE5C7">
                  <w:pPr>
                    <w:pStyle w:val="64"/>
                    <w:adjustRightInd w:val="0"/>
                    <w:textAlignment w:val="baseline"/>
                    <w:rPr>
                      <w:rFonts w:hint="eastAsia" w:eastAsia="宋体"/>
                      <w:color w:val="auto"/>
                      <w:sz w:val="21"/>
                    </w:rPr>
                  </w:pPr>
                </w:p>
              </w:tc>
              <w:tc>
                <w:tcPr>
                  <w:tcW w:w="634" w:type="pct"/>
                  <w:tcBorders>
                    <w:tl2br w:val="nil"/>
                    <w:tr2bl w:val="nil"/>
                  </w:tcBorders>
                  <w:shd w:val="clear" w:color="auto" w:fill="auto"/>
                  <w:vAlign w:val="center"/>
                </w:tcPr>
                <w:p w14:paraId="0113818C">
                  <w:pPr>
                    <w:pStyle w:val="64"/>
                    <w:adjustRightInd w:val="0"/>
                    <w:textAlignment w:val="baseline"/>
                    <w:rPr>
                      <w:rFonts w:hint="eastAsia" w:ascii="Times New Roman" w:hAnsi="Times New Roman" w:eastAsia="宋体" w:cs="Times New Roman"/>
                      <w:color w:val="auto"/>
                      <w:sz w:val="21"/>
                      <w:szCs w:val="21"/>
                      <w:lang w:val="en-US" w:eastAsia="zh-CN" w:bidi="ar-SA"/>
                    </w:rPr>
                  </w:pPr>
                  <w:r>
                    <w:rPr>
                      <w:rFonts w:hint="eastAsia" w:eastAsia="宋体"/>
                      <w:color w:val="auto"/>
                      <w:sz w:val="21"/>
                    </w:rPr>
                    <w:t>关坝镇小学</w:t>
                  </w:r>
                </w:p>
              </w:tc>
              <w:tc>
                <w:tcPr>
                  <w:tcW w:w="1006" w:type="pct"/>
                  <w:tcBorders>
                    <w:tl2br w:val="nil"/>
                    <w:tr2bl w:val="nil"/>
                  </w:tcBorders>
                  <w:shd w:val="clear" w:color="auto" w:fill="auto"/>
                  <w:vAlign w:val="center"/>
                </w:tcPr>
                <w:p w14:paraId="5DF7437C">
                  <w:pPr>
                    <w:adjustRightInd w:val="0"/>
                    <w:jc w:val="center"/>
                    <w:textAlignment w:val="baseline"/>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106.962147</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32.598003</w:t>
                  </w:r>
                </w:p>
              </w:tc>
              <w:tc>
                <w:tcPr>
                  <w:tcW w:w="614" w:type="pct"/>
                  <w:tcBorders>
                    <w:tl2br w:val="nil"/>
                    <w:tr2bl w:val="nil"/>
                  </w:tcBorders>
                  <w:shd w:val="clear" w:color="auto" w:fill="auto"/>
                  <w:vAlign w:val="center"/>
                </w:tcPr>
                <w:p w14:paraId="7A196171">
                  <w:pPr>
                    <w:pStyle w:val="64"/>
                    <w:adjustRightInd w:val="0"/>
                    <w:textAlignment w:val="baseline"/>
                    <w:rPr>
                      <w:rFonts w:hint="eastAsia" w:ascii="Times New Roman" w:hAnsi="Times New Roman" w:eastAsia="宋体" w:cs="Times New Roman"/>
                      <w:color w:val="auto"/>
                      <w:sz w:val="21"/>
                      <w:szCs w:val="21"/>
                      <w:highlight w:val="none"/>
                      <w:lang w:val="en-US" w:eastAsia="zh-CN" w:bidi="ar-SA"/>
                    </w:rPr>
                  </w:pPr>
                  <w:r>
                    <w:rPr>
                      <w:rFonts w:hint="eastAsia" w:eastAsia="宋体"/>
                      <w:color w:val="auto"/>
                      <w:sz w:val="21"/>
                      <w:highlight w:val="none"/>
                      <w:lang w:eastAsia="zh-CN"/>
                    </w:rPr>
                    <w:t>西</w:t>
                  </w:r>
                  <w:r>
                    <w:rPr>
                      <w:rFonts w:hint="eastAsia" w:eastAsia="宋体"/>
                      <w:color w:val="auto"/>
                      <w:sz w:val="21"/>
                      <w:highlight w:val="none"/>
                    </w:rPr>
                    <w:t>侧</w:t>
                  </w:r>
                  <w:r>
                    <w:rPr>
                      <w:rFonts w:hint="eastAsia" w:eastAsia="宋体"/>
                      <w:color w:val="auto"/>
                      <w:sz w:val="21"/>
                      <w:highlight w:val="none"/>
                      <w:lang w:val="en-US" w:eastAsia="zh-CN"/>
                    </w:rPr>
                    <w:t>28</w:t>
                  </w:r>
                  <w:r>
                    <w:rPr>
                      <w:rFonts w:hint="eastAsia" w:eastAsia="宋体"/>
                      <w:color w:val="auto"/>
                      <w:sz w:val="21"/>
                      <w:highlight w:val="none"/>
                    </w:rPr>
                    <w:t>m</w:t>
                  </w:r>
                </w:p>
              </w:tc>
              <w:tc>
                <w:tcPr>
                  <w:tcW w:w="409" w:type="pct"/>
                  <w:tcBorders>
                    <w:tl2br w:val="nil"/>
                    <w:tr2bl w:val="nil"/>
                  </w:tcBorders>
                  <w:shd w:val="clear" w:color="auto" w:fill="auto"/>
                  <w:vAlign w:val="center"/>
                </w:tcPr>
                <w:p w14:paraId="25031653">
                  <w:pPr>
                    <w:pStyle w:val="64"/>
                    <w:adjustRightInd w:val="0"/>
                    <w:textAlignment w:val="baseline"/>
                    <w:rPr>
                      <w:rFonts w:hint="eastAsia" w:ascii="Times New Roman" w:hAnsi="Times New Roman" w:eastAsia="宋体" w:cs="Times New Roman"/>
                      <w:color w:val="auto"/>
                      <w:sz w:val="21"/>
                      <w:szCs w:val="21"/>
                      <w:highlight w:val="none"/>
                      <w:lang w:val="en-US" w:eastAsia="zh-CN" w:bidi="ar-SA"/>
                    </w:rPr>
                  </w:pPr>
                  <w:r>
                    <w:rPr>
                      <w:rFonts w:hint="eastAsia" w:eastAsia="宋体"/>
                      <w:color w:val="auto"/>
                      <w:sz w:val="21"/>
                      <w:highlight w:val="none"/>
                    </w:rPr>
                    <w:t>学校</w:t>
                  </w:r>
                </w:p>
              </w:tc>
              <w:tc>
                <w:tcPr>
                  <w:tcW w:w="513" w:type="pct"/>
                  <w:tcBorders>
                    <w:tl2br w:val="nil"/>
                    <w:tr2bl w:val="nil"/>
                  </w:tcBorders>
                  <w:shd w:val="clear" w:color="auto" w:fill="auto"/>
                  <w:vAlign w:val="center"/>
                </w:tcPr>
                <w:p w14:paraId="3422484A">
                  <w:pPr>
                    <w:pStyle w:val="64"/>
                    <w:adjustRightInd w:val="0"/>
                    <w:textAlignment w:val="baseline"/>
                    <w:rPr>
                      <w:rFonts w:hint="eastAsia" w:ascii="Times New Roman" w:hAnsi="Times New Roman" w:eastAsia="宋体" w:cs="Times New Roman"/>
                      <w:color w:val="auto"/>
                      <w:sz w:val="21"/>
                      <w:szCs w:val="21"/>
                      <w:lang w:val="en-US" w:eastAsia="zh-CN" w:bidi="ar-SA"/>
                    </w:rPr>
                  </w:pPr>
                  <w:r>
                    <w:rPr>
                      <w:rFonts w:hint="eastAsia" w:eastAsia="宋体"/>
                      <w:color w:val="auto"/>
                      <w:sz w:val="21"/>
                      <w:lang w:val="en-US" w:eastAsia="zh-CN"/>
                    </w:rPr>
                    <w:t>200~300</w:t>
                  </w:r>
                  <w:r>
                    <w:rPr>
                      <w:rFonts w:hint="eastAsia" w:eastAsia="宋体"/>
                      <w:color w:val="auto"/>
                      <w:sz w:val="21"/>
                    </w:rPr>
                    <w:t>人</w:t>
                  </w:r>
                </w:p>
              </w:tc>
              <w:tc>
                <w:tcPr>
                  <w:tcW w:w="811" w:type="pct"/>
                  <w:vMerge w:val="continue"/>
                  <w:tcBorders>
                    <w:tl2br w:val="nil"/>
                    <w:tr2bl w:val="nil"/>
                  </w:tcBorders>
                  <w:vAlign w:val="center"/>
                </w:tcPr>
                <w:p w14:paraId="1DF0EC5D">
                  <w:pPr>
                    <w:pStyle w:val="64"/>
                    <w:adjustRightInd w:val="0"/>
                    <w:textAlignment w:val="baseline"/>
                    <w:rPr>
                      <w:rFonts w:eastAsia="宋体"/>
                      <w:color w:val="auto"/>
                      <w:sz w:val="21"/>
                    </w:rPr>
                  </w:pPr>
                </w:p>
              </w:tc>
              <w:tc>
                <w:tcPr>
                  <w:tcW w:w="461" w:type="pct"/>
                  <w:vMerge w:val="continue"/>
                  <w:tcBorders>
                    <w:tl2br w:val="nil"/>
                    <w:tr2bl w:val="nil"/>
                  </w:tcBorders>
                  <w:vAlign w:val="center"/>
                </w:tcPr>
                <w:p w14:paraId="3E639B79">
                  <w:pPr>
                    <w:pStyle w:val="64"/>
                    <w:adjustRightInd w:val="0"/>
                    <w:textAlignment w:val="baseline"/>
                    <w:rPr>
                      <w:rFonts w:eastAsia="宋体"/>
                      <w:color w:val="auto"/>
                      <w:sz w:val="21"/>
                    </w:rPr>
                  </w:pPr>
                </w:p>
              </w:tc>
            </w:tr>
            <w:tr w14:paraId="7306B3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vMerge w:val="continue"/>
                  <w:tcBorders>
                    <w:tl2br w:val="nil"/>
                    <w:tr2bl w:val="nil"/>
                  </w:tcBorders>
                  <w:vAlign w:val="center"/>
                </w:tcPr>
                <w:p w14:paraId="6D0363DB">
                  <w:pPr>
                    <w:pStyle w:val="64"/>
                    <w:adjustRightInd w:val="0"/>
                    <w:textAlignment w:val="baseline"/>
                    <w:rPr>
                      <w:rFonts w:eastAsia="宋体"/>
                      <w:color w:val="auto"/>
                      <w:sz w:val="21"/>
                    </w:rPr>
                  </w:pPr>
                </w:p>
              </w:tc>
              <w:tc>
                <w:tcPr>
                  <w:tcW w:w="634" w:type="pct"/>
                  <w:tcBorders>
                    <w:tl2br w:val="nil"/>
                    <w:tr2bl w:val="nil"/>
                  </w:tcBorders>
                  <w:vAlign w:val="center"/>
                </w:tcPr>
                <w:p w14:paraId="725C5D3C">
                  <w:pPr>
                    <w:pStyle w:val="64"/>
                    <w:adjustRightInd w:val="0"/>
                    <w:textAlignment w:val="baseline"/>
                    <w:rPr>
                      <w:rFonts w:hint="eastAsia" w:eastAsia="宋体"/>
                      <w:color w:val="auto"/>
                      <w:sz w:val="21"/>
                      <w:lang w:eastAsia="zh-CN"/>
                    </w:rPr>
                  </w:pPr>
                  <w:r>
                    <w:rPr>
                      <w:rFonts w:hint="eastAsia" w:eastAsia="宋体"/>
                      <w:color w:val="auto"/>
                      <w:sz w:val="21"/>
                      <w:lang w:eastAsia="zh-CN"/>
                    </w:rPr>
                    <w:t>安置房</w:t>
                  </w:r>
                </w:p>
              </w:tc>
              <w:tc>
                <w:tcPr>
                  <w:tcW w:w="1006" w:type="pct"/>
                  <w:tcBorders>
                    <w:tl2br w:val="nil"/>
                    <w:tr2bl w:val="nil"/>
                  </w:tcBorders>
                  <w:vAlign w:val="center"/>
                </w:tcPr>
                <w:p w14:paraId="48C30174">
                  <w:pPr>
                    <w:adjustRightInd w:val="0"/>
                    <w:jc w:val="center"/>
                    <w:textAlignment w:val="baseline"/>
                    <w:rPr>
                      <w:rFonts w:ascii="Times New Roman" w:hAnsi="Times New Roman" w:eastAsia="宋体" w:cs="Times New Roman"/>
                      <w:color w:val="auto"/>
                    </w:rPr>
                  </w:pPr>
                  <w:r>
                    <w:rPr>
                      <w:rFonts w:hint="eastAsia" w:ascii="Times New Roman" w:hAnsi="Times New Roman" w:eastAsia="宋体" w:cs="Times New Roman"/>
                      <w:color w:val="auto"/>
                    </w:rPr>
                    <w:t>106.964526</w:t>
                  </w:r>
                  <w:r>
                    <w:rPr>
                      <w:rFonts w:hint="eastAsia" w:cs="Times New Roman"/>
                      <w:color w:val="auto"/>
                      <w:lang w:eastAsia="zh-CN"/>
                    </w:rPr>
                    <w:t>，</w:t>
                  </w:r>
                  <w:r>
                    <w:rPr>
                      <w:rFonts w:hint="eastAsia" w:ascii="Times New Roman" w:hAnsi="Times New Roman" w:eastAsia="宋体" w:cs="Times New Roman"/>
                      <w:color w:val="auto"/>
                    </w:rPr>
                    <w:t>32.599222</w:t>
                  </w:r>
                </w:p>
              </w:tc>
              <w:tc>
                <w:tcPr>
                  <w:tcW w:w="614" w:type="pct"/>
                  <w:tcBorders>
                    <w:tl2br w:val="nil"/>
                    <w:tr2bl w:val="nil"/>
                  </w:tcBorders>
                  <w:vAlign w:val="center"/>
                </w:tcPr>
                <w:p w14:paraId="73E70D28">
                  <w:pPr>
                    <w:pStyle w:val="64"/>
                    <w:adjustRightInd w:val="0"/>
                    <w:textAlignment w:val="baseline"/>
                    <w:rPr>
                      <w:rFonts w:hint="eastAsia" w:eastAsia="宋体"/>
                      <w:color w:val="auto"/>
                      <w:sz w:val="21"/>
                      <w:highlight w:val="none"/>
                      <w:lang w:eastAsia="zh-CN"/>
                    </w:rPr>
                  </w:pPr>
                  <w:r>
                    <w:rPr>
                      <w:rFonts w:hint="eastAsia" w:eastAsia="宋体"/>
                      <w:color w:val="auto"/>
                      <w:sz w:val="21"/>
                      <w:highlight w:val="none"/>
                      <w:lang w:eastAsia="zh-CN"/>
                    </w:rPr>
                    <w:t>北侧紧邻</w:t>
                  </w:r>
                </w:p>
              </w:tc>
              <w:tc>
                <w:tcPr>
                  <w:tcW w:w="409" w:type="pct"/>
                  <w:tcBorders>
                    <w:tl2br w:val="nil"/>
                    <w:tr2bl w:val="nil"/>
                  </w:tcBorders>
                  <w:vAlign w:val="center"/>
                </w:tcPr>
                <w:p w14:paraId="79725F69">
                  <w:pPr>
                    <w:pStyle w:val="64"/>
                    <w:adjustRightInd w:val="0"/>
                    <w:textAlignment w:val="baseline"/>
                    <w:rPr>
                      <w:rFonts w:hint="eastAsia" w:eastAsia="宋体"/>
                      <w:color w:val="auto"/>
                      <w:sz w:val="21"/>
                      <w:highlight w:val="none"/>
                      <w:lang w:eastAsia="zh-CN"/>
                    </w:rPr>
                  </w:pPr>
                  <w:r>
                    <w:rPr>
                      <w:rFonts w:hint="eastAsia" w:eastAsia="宋体"/>
                      <w:color w:val="auto"/>
                      <w:sz w:val="21"/>
                      <w:highlight w:val="none"/>
                      <w:lang w:eastAsia="zh-CN"/>
                    </w:rPr>
                    <w:t>居住区</w:t>
                  </w:r>
                </w:p>
              </w:tc>
              <w:tc>
                <w:tcPr>
                  <w:tcW w:w="513" w:type="pct"/>
                  <w:tcBorders>
                    <w:tl2br w:val="nil"/>
                    <w:tr2bl w:val="nil"/>
                  </w:tcBorders>
                  <w:vAlign w:val="center"/>
                </w:tcPr>
                <w:p w14:paraId="1CEBDDFC">
                  <w:pPr>
                    <w:pStyle w:val="64"/>
                    <w:adjustRightInd w:val="0"/>
                    <w:textAlignment w:val="baseline"/>
                    <w:rPr>
                      <w:rFonts w:hint="default" w:eastAsia="宋体"/>
                      <w:color w:val="auto"/>
                      <w:sz w:val="21"/>
                      <w:lang w:val="en-US" w:eastAsia="zh-CN"/>
                    </w:rPr>
                  </w:pPr>
                  <w:r>
                    <w:rPr>
                      <w:rFonts w:hint="eastAsia" w:eastAsia="宋体"/>
                      <w:color w:val="auto"/>
                      <w:sz w:val="21"/>
                      <w:lang w:eastAsia="zh-CN"/>
                    </w:rPr>
                    <w:t>预计</w:t>
                  </w:r>
                  <w:r>
                    <w:rPr>
                      <w:rFonts w:hint="eastAsia" w:eastAsia="宋体"/>
                      <w:color w:val="auto"/>
                      <w:sz w:val="21"/>
                      <w:lang w:val="en-US" w:eastAsia="zh-CN"/>
                    </w:rPr>
                    <w:t>650人</w:t>
                  </w:r>
                </w:p>
              </w:tc>
              <w:tc>
                <w:tcPr>
                  <w:tcW w:w="811" w:type="pct"/>
                  <w:vMerge w:val="continue"/>
                  <w:tcBorders>
                    <w:tl2br w:val="nil"/>
                    <w:tr2bl w:val="nil"/>
                  </w:tcBorders>
                  <w:vAlign w:val="center"/>
                </w:tcPr>
                <w:p w14:paraId="4E78E1B9">
                  <w:pPr>
                    <w:pStyle w:val="64"/>
                    <w:adjustRightInd w:val="0"/>
                    <w:textAlignment w:val="baseline"/>
                    <w:rPr>
                      <w:rFonts w:eastAsia="宋体"/>
                      <w:b/>
                      <w:bCs/>
                      <w:color w:val="auto"/>
                      <w:sz w:val="21"/>
                    </w:rPr>
                  </w:pPr>
                </w:p>
              </w:tc>
              <w:tc>
                <w:tcPr>
                  <w:tcW w:w="461" w:type="pct"/>
                  <w:vMerge w:val="continue"/>
                  <w:tcBorders>
                    <w:tl2br w:val="nil"/>
                    <w:tr2bl w:val="nil"/>
                  </w:tcBorders>
                  <w:vAlign w:val="center"/>
                </w:tcPr>
                <w:p w14:paraId="3BCDC236">
                  <w:pPr>
                    <w:pStyle w:val="64"/>
                    <w:adjustRightInd w:val="0"/>
                    <w:textAlignment w:val="baseline"/>
                    <w:rPr>
                      <w:rFonts w:eastAsia="宋体"/>
                      <w:b/>
                      <w:bCs/>
                      <w:color w:val="auto"/>
                      <w:sz w:val="21"/>
                    </w:rPr>
                  </w:pPr>
                </w:p>
              </w:tc>
            </w:tr>
            <w:tr w14:paraId="43B1DD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vMerge w:val="restart"/>
                  <w:tcBorders>
                    <w:tl2br w:val="nil"/>
                    <w:tr2bl w:val="nil"/>
                  </w:tcBorders>
                  <w:vAlign w:val="center"/>
                </w:tcPr>
                <w:p w14:paraId="08404456">
                  <w:pPr>
                    <w:pStyle w:val="64"/>
                    <w:adjustRightInd w:val="0"/>
                    <w:textAlignment w:val="baseline"/>
                    <w:rPr>
                      <w:rFonts w:eastAsia="宋体"/>
                      <w:color w:val="auto"/>
                      <w:sz w:val="21"/>
                    </w:rPr>
                  </w:pPr>
                  <w:r>
                    <w:rPr>
                      <w:rFonts w:eastAsia="宋体"/>
                      <w:color w:val="auto"/>
                      <w:sz w:val="21"/>
                    </w:rPr>
                    <w:t>大气环境</w:t>
                  </w:r>
                </w:p>
              </w:tc>
              <w:tc>
                <w:tcPr>
                  <w:tcW w:w="634" w:type="pct"/>
                  <w:tcBorders>
                    <w:tl2br w:val="nil"/>
                    <w:tr2bl w:val="nil"/>
                  </w:tcBorders>
                  <w:vAlign w:val="center"/>
                </w:tcPr>
                <w:p w14:paraId="3F969756">
                  <w:pPr>
                    <w:pStyle w:val="64"/>
                    <w:adjustRightInd w:val="0"/>
                    <w:textAlignment w:val="baseline"/>
                    <w:rPr>
                      <w:rFonts w:eastAsia="宋体"/>
                      <w:color w:val="auto"/>
                      <w:sz w:val="21"/>
                    </w:rPr>
                  </w:pPr>
                  <w:r>
                    <w:rPr>
                      <w:rFonts w:hint="eastAsia" w:eastAsia="宋体"/>
                      <w:color w:val="auto"/>
                      <w:sz w:val="21"/>
                    </w:rPr>
                    <w:t>关坝镇居民一</w:t>
                  </w:r>
                </w:p>
              </w:tc>
              <w:tc>
                <w:tcPr>
                  <w:tcW w:w="1006" w:type="pct"/>
                  <w:tcBorders>
                    <w:tl2br w:val="nil"/>
                    <w:tr2bl w:val="nil"/>
                  </w:tcBorders>
                  <w:vAlign w:val="center"/>
                </w:tcPr>
                <w:p w14:paraId="493EF630">
                  <w:pPr>
                    <w:adjustRightInd w:val="0"/>
                    <w:jc w:val="center"/>
                    <w:textAlignment w:val="baseline"/>
                    <w:rPr>
                      <w:rFonts w:ascii="Times New Roman" w:hAnsi="Times New Roman" w:eastAsia="宋体" w:cs="Times New Roman"/>
                      <w:color w:val="auto"/>
                    </w:rPr>
                  </w:pPr>
                  <w:r>
                    <w:rPr>
                      <w:rFonts w:hint="eastAsia" w:ascii="Times New Roman" w:hAnsi="Times New Roman" w:eastAsia="宋体" w:cs="Times New Roman"/>
                      <w:color w:val="auto"/>
                    </w:rPr>
                    <w:t>106.963038</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32.597504</w:t>
                  </w:r>
                </w:p>
              </w:tc>
              <w:tc>
                <w:tcPr>
                  <w:tcW w:w="614" w:type="pct"/>
                  <w:tcBorders>
                    <w:tl2br w:val="nil"/>
                    <w:tr2bl w:val="nil"/>
                  </w:tcBorders>
                  <w:vAlign w:val="center"/>
                </w:tcPr>
                <w:p w14:paraId="08C16770">
                  <w:pPr>
                    <w:pStyle w:val="64"/>
                    <w:adjustRightInd w:val="0"/>
                    <w:textAlignment w:val="baseline"/>
                    <w:rPr>
                      <w:rFonts w:eastAsia="宋体"/>
                      <w:color w:val="auto"/>
                      <w:sz w:val="21"/>
                      <w:highlight w:val="none"/>
                    </w:rPr>
                  </w:pPr>
                  <w:r>
                    <w:rPr>
                      <w:rFonts w:hint="eastAsia" w:eastAsia="宋体"/>
                      <w:color w:val="auto"/>
                      <w:sz w:val="21"/>
                      <w:highlight w:val="none"/>
                      <w:lang w:eastAsia="zh-CN"/>
                    </w:rPr>
                    <w:t>西</w:t>
                  </w:r>
                  <w:r>
                    <w:rPr>
                      <w:rFonts w:hint="eastAsia" w:eastAsia="宋体"/>
                      <w:color w:val="auto"/>
                      <w:sz w:val="21"/>
                      <w:highlight w:val="none"/>
                    </w:rPr>
                    <w:t>侧</w:t>
                  </w:r>
                  <w:r>
                    <w:rPr>
                      <w:rFonts w:hint="eastAsia" w:eastAsia="宋体"/>
                      <w:color w:val="auto"/>
                      <w:sz w:val="21"/>
                      <w:highlight w:val="none"/>
                      <w:lang w:val="en-US" w:eastAsia="zh-CN"/>
                    </w:rPr>
                    <w:t>6</w:t>
                  </w:r>
                  <w:r>
                    <w:rPr>
                      <w:rFonts w:hint="eastAsia" w:eastAsia="宋体"/>
                      <w:color w:val="auto"/>
                      <w:sz w:val="21"/>
                      <w:highlight w:val="none"/>
                    </w:rPr>
                    <w:t>m</w:t>
                  </w:r>
                </w:p>
              </w:tc>
              <w:tc>
                <w:tcPr>
                  <w:tcW w:w="409" w:type="pct"/>
                  <w:tcBorders>
                    <w:tl2br w:val="nil"/>
                    <w:tr2bl w:val="nil"/>
                  </w:tcBorders>
                  <w:vAlign w:val="center"/>
                </w:tcPr>
                <w:p w14:paraId="60220EED">
                  <w:pPr>
                    <w:pStyle w:val="64"/>
                    <w:adjustRightInd w:val="0"/>
                    <w:textAlignment w:val="baseline"/>
                    <w:rPr>
                      <w:rFonts w:eastAsia="宋体"/>
                      <w:color w:val="auto"/>
                      <w:sz w:val="21"/>
                      <w:highlight w:val="none"/>
                    </w:rPr>
                  </w:pPr>
                  <w:r>
                    <w:rPr>
                      <w:rFonts w:hint="eastAsia" w:eastAsia="宋体"/>
                      <w:color w:val="auto"/>
                      <w:sz w:val="21"/>
                      <w:highlight w:val="none"/>
                    </w:rPr>
                    <w:t>居住区</w:t>
                  </w:r>
                </w:p>
              </w:tc>
              <w:tc>
                <w:tcPr>
                  <w:tcW w:w="513" w:type="pct"/>
                  <w:tcBorders>
                    <w:tl2br w:val="nil"/>
                    <w:tr2bl w:val="nil"/>
                  </w:tcBorders>
                  <w:vAlign w:val="center"/>
                </w:tcPr>
                <w:p w14:paraId="7643F373">
                  <w:pPr>
                    <w:pStyle w:val="64"/>
                    <w:adjustRightInd w:val="0"/>
                    <w:textAlignment w:val="baseline"/>
                    <w:rPr>
                      <w:rFonts w:eastAsia="宋体"/>
                      <w:color w:val="auto"/>
                      <w:sz w:val="21"/>
                    </w:rPr>
                  </w:pPr>
                  <w:r>
                    <w:rPr>
                      <w:rFonts w:hint="eastAsia" w:eastAsia="宋体"/>
                      <w:color w:val="auto"/>
                      <w:sz w:val="21"/>
                    </w:rPr>
                    <w:t>600人</w:t>
                  </w:r>
                </w:p>
              </w:tc>
              <w:tc>
                <w:tcPr>
                  <w:tcW w:w="811" w:type="pct"/>
                  <w:vMerge w:val="restart"/>
                  <w:tcBorders>
                    <w:tl2br w:val="nil"/>
                    <w:tr2bl w:val="nil"/>
                  </w:tcBorders>
                  <w:vAlign w:val="center"/>
                </w:tcPr>
                <w:p w14:paraId="59C59F91">
                  <w:pPr>
                    <w:pStyle w:val="64"/>
                    <w:adjustRightInd w:val="0"/>
                    <w:textAlignment w:val="baseline"/>
                    <w:rPr>
                      <w:rFonts w:hint="default" w:eastAsia="宋体"/>
                      <w:color w:val="auto"/>
                      <w:sz w:val="21"/>
                      <w:lang w:val="en-US" w:eastAsia="zh-CN"/>
                    </w:rPr>
                  </w:pPr>
                  <w:r>
                    <w:rPr>
                      <w:rFonts w:eastAsia="宋体"/>
                      <w:color w:val="auto"/>
                      <w:sz w:val="21"/>
                    </w:rPr>
                    <w:t>GB3095-20</w:t>
                  </w:r>
                  <w:r>
                    <w:rPr>
                      <w:rFonts w:hint="eastAsia" w:eastAsia="宋体"/>
                      <w:color w:val="auto"/>
                      <w:sz w:val="21"/>
                      <w:lang w:val="en-US" w:eastAsia="zh-CN"/>
                    </w:rPr>
                    <w:t>26</w:t>
                  </w:r>
                </w:p>
                <w:p w14:paraId="5C1D61DF">
                  <w:pPr>
                    <w:pStyle w:val="64"/>
                    <w:adjustRightInd w:val="0"/>
                    <w:textAlignment w:val="baseline"/>
                    <w:rPr>
                      <w:rFonts w:eastAsia="宋体"/>
                      <w:color w:val="auto"/>
                      <w:sz w:val="21"/>
                    </w:rPr>
                  </w:pPr>
                  <w:r>
                    <w:rPr>
                      <w:rFonts w:hint="eastAsia" w:eastAsia="宋体"/>
                      <w:color w:val="auto"/>
                      <w:sz w:val="21"/>
                    </w:rPr>
                    <w:t>二</w:t>
                  </w:r>
                  <w:r>
                    <w:rPr>
                      <w:rFonts w:eastAsia="宋体"/>
                      <w:color w:val="auto"/>
                      <w:sz w:val="21"/>
                    </w:rPr>
                    <w:t>级标准</w:t>
                  </w:r>
                </w:p>
              </w:tc>
              <w:tc>
                <w:tcPr>
                  <w:tcW w:w="461" w:type="pct"/>
                  <w:vMerge w:val="restart"/>
                  <w:tcBorders>
                    <w:tl2br w:val="nil"/>
                    <w:tr2bl w:val="nil"/>
                  </w:tcBorders>
                  <w:vAlign w:val="center"/>
                </w:tcPr>
                <w:p w14:paraId="50FBC58F">
                  <w:pPr>
                    <w:pStyle w:val="64"/>
                    <w:adjustRightInd w:val="0"/>
                    <w:textAlignment w:val="baseline"/>
                    <w:rPr>
                      <w:rFonts w:eastAsia="宋体"/>
                      <w:color w:val="auto"/>
                      <w:sz w:val="21"/>
                    </w:rPr>
                  </w:pPr>
                  <w:r>
                    <w:rPr>
                      <w:rFonts w:eastAsia="宋体"/>
                      <w:color w:val="auto"/>
                      <w:sz w:val="21"/>
                    </w:rPr>
                    <w:t>项目用地500m范围</w:t>
                  </w:r>
                </w:p>
              </w:tc>
            </w:tr>
            <w:tr w14:paraId="64B254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vMerge w:val="continue"/>
                  <w:tcBorders>
                    <w:tl2br w:val="nil"/>
                    <w:tr2bl w:val="nil"/>
                  </w:tcBorders>
                  <w:vAlign w:val="center"/>
                </w:tcPr>
                <w:p w14:paraId="0FFA3559">
                  <w:pPr>
                    <w:pStyle w:val="64"/>
                    <w:adjustRightInd w:val="0"/>
                    <w:textAlignment w:val="baseline"/>
                    <w:rPr>
                      <w:rFonts w:eastAsia="宋体"/>
                      <w:color w:val="auto"/>
                      <w:sz w:val="21"/>
                    </w:rPr>
                  </w:pPr>
                </w:p>
              </w:tc>
              <w:tc>
                <w:tcPr>
                  <w:tcW w:w="634" w:type="pct"/>
                  <w:tcBorders>
                    <w:tl2br w:val="nil"/>
                    <w:tr2bl w:val="nil"/>
                  </w:tcBorders>
                  <w:vAlign w:val="center"/>
                </w:tcPr>
                <w:p w14:paraId="7D81E6EB">
                  <w:pPr>
                    <w:pStyle w:val="64"/>
                    <w:adjustRightInd w:val="0"/>
                    <w:textAlignment w:val="baseline"/>
                    <w:rPr>
                      <w:rFonts w:eastAsia="宋体"/>
                      <w:color w:val="auto"/>
                      <w:sz w:val="21"/>
                    </w:rPr>
                  </w:pPr>
                  <w:r>
                    <w:rPr>
                      <w:rFonts w:hint="eastAsia" w:eastAsia="宋体"/>
                      <w:color w:val="auto"/>
                      <w:sz w:val="21"/>
                    </w:rPr>
                    <w:t>关坝镇居民二</w:t>
                  </w:r>
                </w:p>
              </w:tc>
              <w:tc>
                <w:tcPr>
                  <w:tcW w:w="1006" w:type="pct"/>
                  <w:tcBorders>
                    <w:tl2br w:val="nil"/>
                    <w:tr2bl w:val="nil"/>
                  </w:tcBorders>
                  <w:vAlign w:val="center"/>
                </w:tcPr>
                <w:p w14:paraId="74DB0DDF">
                  <w:pPr>
                    <w:adjustRightInd w:val="0"/>
                    <w:jc w:val="center"/>
                    <w:textAlignment w:val="baseline"/>
                    <w:rPr>
                      <w:rFonts w:ascii="Times New Roman" w:hAnsi="Times New Roman" w:eastAsia="宋体" w:cs="Times New Roman"/>
                      <w:color w:val="auto"/>
                    </w:rPr>
                  </w:pPr>
                  <w:r>
                    <w:rPr>
                      <w:rFonts w:hint="eastAsia" w:ascii="Times New Roman" w:hAnsi="Times New Roman" w:eastAsia="宋体" w:cs="Times New Roman"/>
                      <w:color w:val="auto"/>
                    </w:rPr>
                    <w:t>106.958693</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32.599006</w:t>
                  </w:r>
                </w:p>
              </w:tc>
              <w:tc>
                <w:tcPr>
                  <w:tcW w:w="614" w:type="pct"/>
                  <w:tcBorders>
                    <w:tl2br w:val="nil"/>
                    <w:tr2bl w:val="nil"/>
                  </w:tcBorders>
                  <w:vAlign w:val="center"/>
                </w:tcPr>
                <w:p w14:paraId="4786D9AE">
                  <w:pPr>
                    <w:pStyle w:val="64"/>
                    <w:adjustRightInd w:val="0"/>
                    <w:textAlignment w:val="baseline"/>
                    <w:rPr>
                      <w:rFonts w:eastAsia="宋体"/>
                      <w:color w:val="auto"/>
                      <w:sz w:val="21"/>
                      <w:highlight w:val="yellow"/>
                    </w:rPr>
                  </w:pPr>
                  <w:r>
                    <w:rPr>
                      <w:rFonts w:hint="eastAsia" w:eastAsia="宋体"/>
                      <w:color w:val="auto"/>
                      <w:sz w:val="21"/>
                      <w:highlight w:val="none"/>
                      <w:lang w:eastAsia="zh-CN"/>
                    </w:rPr>
                    <w:t>西北</w:t>
                  </w:r>
                  <w:r>
                    <w:rPr>
                      <w:rFonts w:hint="eastAsia" w:eastAsia="宋体"/>
                      <w:color w:val="auto"/>
                      <w:sz w:val="21"/>
                      <w:highlight w:val="none"/>
                    </w:rPr>
                    <w:t>侧</w:t>
                  </w:r>
                  <w:r>
                    <w:rPr>
                      <w:rFonts w:hint="eastAsia" w:eastAsia="宋体"/>
                      <w:color w:val="auto"/>
                      <w:sz w:val="21"/>
                      <w:highlight w:val="none"/>
                      <w:lang w:val="en-US" w:eastAsia="zh-CN"/>
                    </w:rPr>
                    <w:t>347</w:t>
                  </w:r>
                  <w:r>
                    <w:rPr>
                      <w:rFonts w:hint="eastAsia" w:eastAsia="宋体"/>
                      <w:color w:val="auto"/>
                      <w:sz w:val="21"/>
                      <w:highlight w:val="none"/>
                    </w:rPr>
                    <w:t>m</w:t>
                  </w:r>
                </w:p>
              </w:tc>
              <w:tc>
                <w:tcPr>
                  <w:tcW w:w="409" w:type="pct"/>
                  <w:tcBorders>
                    <w:tl2br w:val="nil"/>
                    <w:tr2bl w:val="nil"/>
                  </w:tcBorders>
                  <w:vAlign w:val="center"/>
                </w:tcPr>
                <w:p w14:paraId="46BF9414">
                  <w:pPr>
                    <w:pStyle w:val="64"/>
                    <w:adjustRightInd w:val="0"/>
                    <w:textAlignment w:val="baseline"/>
                    <w:rPr>
                      <w:rFonts w:eastAsia="宋体"/>
                      <w:color w:val="auto"/>
                      <w:sz w:val="21"/>
                    </w:rPr>
                  </w:pPr>
                  <w:r>
                    <w:rPr>
                      <w:rFonts w:hint="eastAsia" w:eastAsia="宋体"/>
                      <w:color w:val="auto"/>
                      <w:sz w:val="21"/>
                    </w:rPr>
                    <w:t>居住区</w:t>
                  </w:r>
                </w:p>
              </w:tc>
              <w:tc>
                <w:tcPr>
                  <w:tcW w:w="513" w:type="pct"/>
                  <w:tcBorders>
                    <w:tl2br w:val="nil"/>
                    <w:tr2bl w:val="nil"/>
                  </w:tcBorders>
                  <w:vAlign w:val="center"/>
                </w:tcPr>
                <w:p w14:paraId="756045D0">
                  <w:pPr>
                    <w:pStyle w:val="64"/>
                    <w:adjustRightInd w:val="0"/>
                    <w:textAlignment w:val="baseline"/>
                    <w:rPr>
                      <w:rFonts w:eastAsia="宋体"/>
                      <w:color w:val="auto"/>
                      <w:sz w:val="21"/>
                    </w:rPr>
                  </w:pPr>
                  <w:r>
                    <w:rPr>
                      <w:rFonts w:hint="eastAsia" w:eastAsia="宋体"/>
                      <w:color w:val="auto"/>
                      <w:sz w:val="21"/>
                      <w:lang w:val="en-US" w:eastAsia="zh-CN"/>
                    </w:rPr>
                    <w:t>6</w:t>
                  </w:r>
                  <w:r>
                    <w:rPr>
                      <w:rFonts w:hint="eastAsia" w:eastAsia="宋体"/>
                      <w:color w:val="auto"/>
                      <w:sz w:val="21"/>
                    </w:rPr>
                    <w:t>00人</w:t>
                  </w:r>
                </w:p>
              </w:tc>
              <w:tc>
                <w:tcPr>
                  <w:tcW w:w="811" w:type="pct"/>
                  <w:vMerge w:val="continue"/>
                  <w:tcBorders>
                    <w:tl2br w:val="nil"/>
                    <w:tr2bl w:val="nil"/>
                  </w:tcBorders>
                  <w:vAlign w:val="center"/>
                </w:tcPr>
                <w:p w14:paraId="1D8FCD4D">
                  <w:pPr>
                    <w:pStyle w:val="64"/>
                    <w:adjustRightInd w:val="0"/>
                    <w:textAlignment w:val="baseline"/>
                    <w:rPr>
                      <w:rFonts w:eastAsia="宋体"/>
                      <w:color w:val="auto"/>
                      <w:sz w:val="21"/>
                    </w:rPr>
                  </w:pPr>
                </w:p>
              </w:tc>
              <w:tc>
                <w:tcPr>
                  <w:tcW w:w="461" w:type="pct"/>
                  <w:vMerge w:val="continue"/>
                  <w:tcBorders>
                    <w:tl2br w:val="nil"/>
                    <w:tr2bl w:val="nil"/>
                  </w:tcBorders>
                  <w:vAlign w:val="center"/>
                </w:tcPr>
                <w:p w14:paraId="0A1EE641">
                  <w:pPr>
                    <w:pStyle w:val="64"/>
                    <w:adjustRightInd w:val="0"/>
                    <w:textAlignment w:val="baseline"/>
                    <w:rPr>
                      <w:rFonts w:eastAsia="宋体"/>
                      <w:color w:val="auto"/>
                      <w:sz w:val="21"/>
                    </w:rPr>
                  </w:pPr>
                </w:p>
              </w:tc>
            </w:tr>
            <w:tr w14:paraId="5A19BF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vMerge w:val="continue"/>
                  <w:tcBorders>
                    <w:tl2br w:val="nil"/>
                    <w:tr2bl w:val="nil"/>
                  </w:tcBorders>
                  <w:vAlign w:val="center"/>
                </w:tcPr>
                <w:p w14:paraId="61AC2100">
                  <w:pPr>
                    <w:pStyle w:val="64"/>
                    <w:adjustRightInd w:val="0"/>
                    <w:textAlignment w:val="baseline"/>
                    <w:rPr>
                      <w:rFonts w:eastAsia="宋体"/>
                      <w:color w:val="auto"/>
                      <w:sz w:val="21"/>
                    </w:rPr>
                  </w:pPr>
                </w:p>
              </w:tc>
              <w:tc>
                <w:tcPr>
                  <w:tcW w:w="634" w:type="pct"/>
                  <w:tcBorders>
                    <w:tl2br w:val="nil"/>
                    <w:tr2bl w:val="nil"/>
                  </w:tcBorders>
                  <w:shd w:val="clear" w:color="auto" w:fill="auto"/>
                  <w:vAlign w:val="center"/>
                </w:tcPr>
                <w:p w14:paraId="589AF827">
                  <w:pPr>
                    <w:pStyle w:val="64"/>
                    <w:adjustRightInd w:val="0"/>
                    <w:textAlignment w:val="baseline"/>
                    <w:rPr>
                      <w:rFonts w:hint="eastAsia" w:ascii="Times New Roman" w:hAnsi="Times New Roman" w:eastAsia="宋体" w:cs="Times New Roman"/>
                      <w:color w:val="auto"/>
                      <w:sz w:val="21"/>
                      <w:szCs w:val="21"/>
                      <w:lang w:val="en-US" w:eastAsia="zh-CN" w:bidi="ar-SA"/>
                    </w:rPr>
                  </w:pPr>
                  <w:r>
                    <w:rPr>
                      <w:rFonts w:hint="eastAsia" w:eastAsia="宋体"/>
                      <w:color w:val="auto"/>
                      <w:sz w:val="21"/>
                      <w:lang w:eastAsia="zh-CN"/>
                    </w:rPr>
                    <w:t>安置房</w:t>
                  </w:r>
                </w:p>
              </w:tc>
              <w:tc>
                <w:tcPr>
                  <w:tcW w:w="1006" w:type="pct"/>
                  <w:tcBorders>
                    <w:tl2br w:val="nil"/>
                    <w:tr2bl w:val="nil"/>
                  </w:tcBorders>
                  <w:shd w:val="clear" w:color="auto" w:fill="auto"/>
                  <w:vAlign w:val="center"/>
                </w:tcPr>
                <w:p w14:paraId="5E178B56">
                  <w:pPr>
                    <w:adjustRightInd w:val="0"/>
                    <w:jc w:val="center"/>
                    <w:textAlignment w:val="baseline"/>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106.964526</w:t>
                  </w:r>
                  <w:r>
                    <w:rPr>
                      <w:rFonts w:hint="eastAsia" w:cs="Times New Roman"/>
                      <w:color w:val="auto"/>
                      <w:lang w:eastAsia="zh-CN"/>
                    </w:rPr>
                    <w:t>，</w:t>
                  </w:r>
                  <w:r>
                    <w:rPr>
                      <w:rFonts w:hint="eastAsia" w:ascii="Times New Roman" w:hAnsi="Times New Roman" w:eastAsia="宋体" w:cs="Times New Roman"/>
                      <w:color w:val="auto"/>
                    </w:rPr>
                    <w:t>32.599222</w:t>
                  </w:r>
                </w:p>
              </w:tc>
              <w:tc>
                <w:tcPr>
                  <w:tcW w:w="614" w:type="pct"/>
                  <w:tcBorders>
                    <w:tl2br w:val="nil"/>
                    <w:tr2bl w:val="nil"/>
                  </w:tcBorders>
                  <w:shd w:val="clear" w:color="auto" w:fill="auto"/>
                  <w:vAlign w:val="center"/>
                </w:tcPr>
                <w:p w14:paraId="60DFFB7E">
                  <w:pPr>
                    <w:pStyle w:val="64"/>
                    <w:adjustRightInd w:val="0"/>
                    <w:textAlignment w:val="baseline"/>
                    <w:rPr>
                      <w:rFonts w:hint="eastAsia" w:ascii="Times New Roman" w:hAnsi="Times New Roman" w:eastAsia="宋体" w:cs="Times New Roman"/>
                      <w:color w:val="auto"/>
                      <w:sz w:val="21"/>
                      <w:szCs w:val="21"/>
                      <w:highlight w:val="none"/>
                      <w:lang w:val="en-US" w:eastAsia="zh-CN" w:bidi="ar-SA"/>
                    </w:rPr>
                  </w:pPr>
                  <w:r>
                    <w:rPr>
                      <w:rFonts w:hint="eastAsia" w:eastAsia="宋体"/>
                      <w:color w:val="auto"/>
                      <w:sz w:val="21"/>
                      <w:highlight w:val="none"/>
                      <w:lang w:eastAsia="zh-CN"/>
                    </w:rPr>
                    <w:t>北侧紧邻</w:t>
                  </w:r>
                </w:p>
              </w:tc>
              <w:tc>
                <w:tcPr>
                  <w:tcW w:w="409" w:type="pct"/>
                  <w:tcBorders>
                    <w:tl2br w:val="nil"/>
                    <w:tr2bl w:val="nil"/>
                  </w:tcBorders>
                  <w:shd w:val="clear" w:color="auto" w:fill="auto"/>
                  <w:vAlign w:val="center"/>
                </w:tcPr>
                <w:p w14:paraId="10061DF2">
                  <w:pPr>
                    <w:pStyle w:val="64"/>
                    <w:adjustRightInd w:val="0"/>
                    <w:textAlignment w:val="baseline"/>
                    <w:rPr>
                      <w:rFonts w:hint="eastAsia" w:ascii="Times New Roman" w:hAnsi="Times New Roman" w:eastAsia="宋体" w:cs="Times New Roman"/>
                      <w:color w:val="auto"/>
                      <w:sz w:val="21"/>
                      <w:szCs w:val="21"/>
                      <w:highlight w:val="none"/>
                      <w:lang w:val="en-US" w:eastAsia="zh-CN" w:bidi="ar-SA"/>
                    </w:rPr>
                  </w:pPr>
                  <w:r>
                    <w:rPr>
                      <w:rFonts w:hint="eastAsia" w:eastAsia="宋体"/>
                      <w:color w:val="auto"/>
                      <w:sz w:val="21"/>
                      <w:highlight w:val="none"/>
                      <w:lang w:eastAsia="zh-CN"/>
                    </w:rPr>
                    <w:t>居住区</w:t>
                  </w:r>
                </w:p>
              </w:tc>
              <w:tc>
                <w:tcPr>
                  <w:tcW w:w="513" w:type="pct"/>
                  <w:tcBorders>
                    <w:tl2br w:val="nil"/>
                    <w:tr2bl w:val="nil"/>
                  </w:tcBorders>
                  <w:shd w:val="clear" w:color="auto" w:fill="auto"/>
                  <w:vAlign w:val="center"/>
                </w:tcPr>
                <w:p w14:paraId="5B3B10F7">
                  <w:pPr>
                    <w:pStyle w:val="64"/>
                    <w:adjustRightInd w:val="0"/>
                    <w:textAlignment w:val="baseline"/>
                    <w:rPr>
                      <w:rFonts w:hint="eastAsia" w:ascii="Times New Roman" w:hAnsi="Times New Roman" w:eastAsia="宋体" w:cs="Times New Roman"/>
                      <w:color w:val="auto"/>
                      <w:sz w:val="21"/>
                      <w:szCs w:val="21"/>
                      <w:lang w:val="en-US" w:eastAsia="zh-CN" w:bidi="ar-SA"/>
                    </w:rPr>
                  </w:pPr>
                  <w:r>
                    <w:rPr>
                      <w:rFonts w:hint="eastAsia" w:eastAsia="宋体"/>
                      <w:color w:val="auto"/>
                      <w:sz w:val="21"/>
                      <w:lang w:eastAsia="zh-CN"/>
                    </w:rPr>
                    <w:t>预计</w:t>
                  </w:r>
                  <w:r>
                    <w:rPr>
                      <w:rFonts w:hint="eastAsia" w:eastAsia="宋体"/>
                      <w:color w:val="auto"/>
                      <w:sz w:val="21"/>
                      <w:lang w:val="en-US" w:eastAsia="zh-CN"/>
                    </w:rPr>
                    <w:t>650人</w:t>
                  </w:r>
                </w:p>
              </w:tc>
              <w:tc>
                <w:tcPr>
                  <w:tcW w:w="811" w:type="pct"/>
                  <w:vMerge w:val="continue"/>
                  <w:tcBorders>
                    <w:tl2br w:val="nil"/>
                    <w:tr2bl w:val="nil"/>
                  </w:tcBorders>
                  <w:vAlign w:val="center"/>
                </w:tcPr>
                <w:p w14:paraId="2288DFCD">
                  <w:pPr>
                    <w:pStyle w:val="64"/>
                    <w:adjustRightInd w:val="0"/>
                    <w:textAlignment w:val="baseline"/>
                    <w:rPr>
                      <w:rFonts w:eastAsia="宋体"/>
                      <w:color w:val="auto"/>
                      <w:sz w:val="21"/>
                    </w:rPr>
                  </w:pPr>
                </w:p>
              </w:tc>
              <w:tc>
                <w:tcPr>
                  <w:tcW w:w="461" w:type="pct"/>
                  <w:vMerge w:val="continue"/>
                  <w:tcBorders>
                    <w:tl2br w:val="nil"/>
                    <w:tr2bl w:val="nil"/>
                  </w:tcBorders>
                  <w:vAlign w:val="center"/>
                </w:tcPr>
                <w:p w14:paraId="79D82C06">
                  <w:pPr>
                    <w:pStyle w:val="64"/>
                    <w:adjustRightInd w:val="0"/>
                    <w:textAlignment w:val="baseline"/>
                    <w:rPr>
                      <w:rFonts w:eastAsia="宋体"/>
                      <w:color w:val="auto"/>
                      <w:sz w:val="21"/>
                    </w:rPr>
                  </w:pPr>
                </w:p>
              </w:tc>
            </w:tr>
            <w:tr w14:paraId="45B344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vMerge w:val="continue"/>
                  <w:tcBorders>
                    <w:tl2br w:val="nil"/>
                    <w:tr2bl w:val="nil"/>
                  </w:tcBorders>
                  <w:vAlign w:val="center"/>
                </w:tcPr>
                <w:p w14:paraId="1B21BC3F">
                  <w:pPr>
                    <w:pStyle w:val="64"/>
                    <w:adjustRightInd w:val="0"/>
                    <w:textAlignment w:val="baseline"/>
                    <w:rPr>
                      <w:rFonts w:eastAsia="宋体"/>
                      <w:color w:val="auto"/>
                      <w:sz w:val="21"/>
                    </w:rPr>
                  </w:pPr>
                </w:p>
              </w:tc>
              <w:tc>
                <w:tcPr>
                  <w:tcW w:w="634" w:type="pct"/>
                  <w:tcBorders>
                    <w:tl2br w:val="nil"/>
                    <w:tr2bl w:val="nil"/>
                  </w:tcBorders>
                  <w:vAlign w:val="center"/>
                </w:tcPr>
                <w:p w14:paraId="2A9E2FE4">
                  <w:pPr>
                    <w:pStyle w:val="64"/>
                    <w:adjustRightInd w:val="0"/>
                    <w:textAlignment w:val="baseline"/>
                    <w:rPr>
                      <w:rFonts w:eastAsia="宋体"/>
                      <w:color w:val="auto"/>
                      <w:sz w:val="21"/>
                    </w:rPr>
                  </w:pPr>
                  <w:r>
                    <w:rPr>
                      <w:rFonts w:hint="eastAsia" w:eastAsia="宋体"/>
                      <w:color w:val="auto"/>
                      <w:sz w:val="21"/>
                    </w:rPr>
                    <w:t>关坝镇小学</w:t>
                  </w:r>
                </w:p>
              </w:tc>
              <w:tc>
                <w:tcPr>
                  <w:tcW w:w="1006" w:type="pct"/>
                  <w:tcBorders>
                    <w:tl2br w:val="nil"/>
                    <w:tr2bl w:val="nil"/>
                  </w:tcBorders>
                  <w:vAlign w:val="center"/>
                </w:tcPr>
                <w:p w14:paraId="5A1BA02F">
                  <w:pPr>
                    <w:adjustRightInd w:val="0"/>
                    <w:jc w:val="center"/>
                    <w:textAlignment w:val="baseline"/>
                    <w:rPr>
                      <w:rFonts w:ascii="Times New Roman" w:hAnsi="Times New Roman" w:eastAsia="宋体" w:cs="Times New Roman"/>
                      <w:color w:val="auto"/>
                    </w:rPr>
                  </w:pPr>
                  <w:r>
                    <w:rPr>
                      <w:rFonts w:hint="eastAsia" w:ascii="Times New Roman" w:hAnsi="Times New Roman" w:eastAsia="宋体" w:cs="Times New Roman"/>
                      <w:color w:val="auto"/>
                    </w:rPr>
                    <w:t>106.962147</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32.598003</w:t>
                  </w:r>
                </w:p>
              </w:tc>
              <w:tc>
                <w:tcPr>
                  <w:tcW w:w="614" w:type="pct"/>
                  <w:tcBorders>
                    <w:tl2br w:val="nil"/>
                    <w:tr2bl w:val="nil"/>
                  </w:tcBorders>
                  <w:vAlign w:val="center"/>
                </w:tcPr>
                <w:p w14:paraId="3C87BCB8">
                  <w:pPr>
                    <w:pStyle w:val="64"/>
                    <w:adjustRightInd w:val="0"/>
                    <w:textAlignment w:val="baseline"/>
                    <w:rPr>
                      <w:rFonts w:eastAsia="宋体"/>
                      <w:color w:val="auto"/>
                      <w:sz w:val="21"/>
                      <w:highlight w:val="none"/>
                    </w:rPr>
                  </w:pPr>
                  <w:r>
                    <w:rPr>
                      <w:rFonts w:hint="eastAsia" w:eastAsia="宋体"/>
                      <w:color w:val="auto"/>
                      <w:sz w:val="21"/>
                      <w:highlight w:val="none"/>
                      <w:lang w:eastAsia="zh-CN"/>
                    </w:rPr>
                    <w:t>西</w:t>
                  </w:r>
                  <w:r>
                    <w:rPr>
                      <w:rFonts w:hint="eastAsia" w:eastAsia="宋体"/>
                      <w:color w:val="auto"/>
                      <w:sz w:val="21"/>
                      <w:highlight w:val="none"/>
                    </w:rPr>
                    <w:t>侧</w:t>
                  </w:r>
                  <w:r>
                    <w:rPr>
                      <w:rFonts w:hint="eastAsia" w:eastAsia="宋体"/>
                      <w:color w:val="auto"/>
                      <w:sz w:val="21"/>
                      <w:highlight w:val="none"/>
                      <w:lang w:val="en-US" w:eastAsia="zh-CN"/>
                    </w:rPr>
                    <w:t>28</w:t>
                  </w:r>
                  <w:r>
                    <w:rPr>
                      <w:rFonts w:hint="eastAsia" w:eastAsia="宋体"/>
                      <w:color w:val="auto"/>
                      <w:sz w:val="21"/>
                      <w:highlight w:val="none"/>
                    </w:rPr>
                    <w:t>m</w:t>
                  </w:r>
                </w:p>
              </w:tc>
              <w:tc>
                <w:tcPr>
                  <w:tcW w:w="409" w:type="pct"/>
                  <w:tcBorders>
                    <w:tl2br w:val="nil"/>
                    <w:tr2bl w:val="nil"/>
                  </w:tcBorders>
                  <w:vAlign w:val="center"/>
                </w:tcPr>
                <w:p w14:paraId="448DC0FC">
                  <w:pPr>
                    <w:pStyle w:val="64"/>
                    <w:adjustRightInd w:val="0"/>
                    <w:textAlignment w:val="baseline"/>
                    <w:rPr>
                      <w:rFonts w:eastAsia="宋体"/>
                      <w:color w:val="auto"/>
                      <w:sz w:val="21"/>
                      <w:highlight w:val="none"/>
                    </w:rPr>
                  </w:pPr>
                  <w:r>
                    <w:rPr>
                      <w:rFonts w:hint="eastAsia" w:eastAsia="宋体"/>
                      <w:color w:val="auto"/>
                      <w:sz w:val="21"/>
                      <w:highlight w:val="none"/>
                    </w:rPr>
                    <w:t>学校</w:t>
                  </w:r>
                </w:p>
              </w:tc>
              <w:tc>
                <w:tcPr>
                  <w:tcW w:w="513" w:type="pct"/>
                  <w:tcBorders>
                    <w:tl2br w:val="nil"/>
                    <w:tr2bl w:val="nil"/>
                  </w:tcBorders>
                  <w:vAlign w:val="center"/>
                </w:tcPr>
                <w:p w14:paraId="0AFD9277">
                  <w:pPr>
                    <w:pStyle w:val="64"/>
                    <w:adjustRightInd w:val="0"/>
                    <w:textAlignment w:val="baseline"/>
                    <w:rPr>
                      <w:rFonts w:eastAsia="宋体"/>
                      <w:color w:val="auto"/>
                      <w:sz w:val="21"/>
                      <w:highlight w:val="none"/>
                    </w:rPr>
                  </w:pPr>
                  <w:r>
                    <w:rPr>
                      <w:rFonts w:hint="eastAsia" w:eastAsia="宋体"/>
                      <w:color w:val="auto"/>
                      <w:sz w:val="21"/>
                      <w:highlight w:val="none"/>
                      <w:lang w:val="en-US" w:eastAsia="zh-CN"/>
                    </w:rPr>
                    <w:t>200~300</w:t>
                  </w:r>
                  <w:r>
                    <w:rPr>
                      <w:rFonts w:hint="eastAsia" w:eastAsia="宋体"/>
                      <w:color w:val="auto"/>
                      <w:sz w:val="21"/>
                      <w:highlight w:val="none"/>
                    </w:rPr>
                    <w:t>人</w:t>
                  </w:r>
                </w:p>
              </w:tc>
              <w:tc>
                <w:tcPr>
                  <w:tcW w:w="811" w:type="pct"/>
                  <w:vMerge w:val="continue"/>
                  <w:tcBorders>
                    <w:tl2br w:val="nil"/>
                    <w:tr2bl w:val="nil"/>
                  </w:tcBorders>
                  <w:vAlign w:val="center"/>
                </w:tcPr>
                <w:p w14:paraId="262E89AD">
                  <w:pPr>
                    <w:pStyle w:val="64"/>
                    <w:adjustRightInd w:val="0"/>
                    <w:textAlignment w:val="baseline"/>
                    <w:rPr>
                      <w:rFonts w:eastAsia="宋体"/>
                      <w:color w:val="auto"/>
                      <w:sz w:val="21"/>
                      <w:highlight w:val="yellow"/>
                    </w:rPr>
                  </w:pPr>
                </w:p>
              </w:tc>
              <w:tc>
                <w:tcPr>
                  <w:tcW w:w="461" w:type="pct"/>
                  <w:vMerge w:val="continue"/>
                  <w:tcBorders>
                    <w:tl2br w:val="nil"/>
                    <w:tr2bl w:val="nil"/>
                  </w:tcBorders>
                  <w:vAlign w:val="center"/>
                </w:tcPr>
                <w:p w14:paraId="7D8CE84F">
                  <w:pPr>
                    <w:pStyle w:val="64"/>
                    <w:adjustRightInd w:val="0"/>
                    <w:textAlignment w:val="baseline"/>
                    <w:rPr>
                      <w:rFonts w:eastAsia="宋体"/>
                      <w:color w:val="auto"/>
                      <w:sz w:val="21"/>
                      <w:highlight w:val="yellow"/>
                    </w:rPr>
                  </w:pPr>
                </w:p>
              </w:tc>
            </w:tr>
            <w:tr w14:paraId="31E4D2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vMerge w:val="continue"/>
                  <w:tcBorders>
                    <w:tl2br w:val="nil"/>
                    <w:tr2bl w:val="nil"/>
                  </w:tcBorders>
                  <w:vAlign w:val="center"/>
                </w:tcPr>
                <w:p w14:paraId="6DF5E2CB">
                  <w:pPr>
                    <w:pStyle w:val="64"/>
                    <w:adjustRightInd w:val="0"/>
                    <w:textAlignment w:val="baseline"/>
                    <w:rPr>
                      <w:rFonts w:eastAsia="宋体"/>
                      <w:color w:val="auto"/>
                      <w:sz w:val="21"/>
                    </w:rPr>
                  </w:pPr>
                </w:p>
              </w:tc>
              <w:tc>
                <w:tcPr>
                  <w:tcW w:w="634" w:type="pct"/>
                  <w:tcBorders>
                    <w:tl2br w:val="nil"/>
                    <w:tr2bl w:val="nil"/>
                  </w:tcBorders>
                  <w:vAlign w:val="center"/>
                </w:tcPr>
                <w:p w14:paraId="115D0B63">
                  <w:pPr>
                    <w:pStyle w:val="64"/>
                    <w:adjustRightInd w:val="0"/>
                    <w:textAlignment w:val="baseline"/>
                    <w:rPr>
                      <w:rFonts w:eastAsia="宋体"/>
                      <w:color w:val="auto"/>
                      <w:sz w:val="21"/>
                    </w:rPr>
                  </w:pPr>
                  <w:r>
                    <w:rPr>
                      <w:rFonts w:hint="eastAsia" w:eastAsia="宋体"/>
                      <w:color w:val="auto"/>
                      <w:sz w:val="21"/>
                    </w:rPr>
                    <w:t>高速路旁居民</w:t>
                  </w:r>
                </w:p>
              </w:tc>
              <w:tc>
                <w:tcPr>
                  <w:tcW w:w="1006" w:type="pct"/>
                  <w:tcBorders>
                    <w:tl2br w:val="nil"/>
                    <w:tr2bl w:val="nil"/>
                  </w:tcBorders>
                  <w:vAlign w:val="center"/>
                </w:tcPr>
                <w:p w14:paraId="50AE4A6D">
                  <w:pPr>
                    <w:adjustRightInd w:val="0"/>
                    <w:jc w:val="center"/>
                    <w:textAlignment w:val="baseline"/>
                    <w:rPr>
                      <w:rFonts w:ascii="Times New Roman" w:hAnsi="Times New Roman" w:eastAsia="宋体" w:cs="Times New Roman"/>
                      <w:color w:val="auto"/>
                    </w:rPr>
                  </w:pPr>
                  <w:r>
                    <w:rPr>
                      <w:rFonts w:hint="eastAsia" w:ascii="Times New Roman" w:hAnsi="Times New Roman" w:eastAsia="宋体" w:cs="Times New Roman"/>
                      <w:color w:val="auto"/>
                    </w:rPr>
                    <w:t>106.967147</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32.597150</w:t>
                  </w:r>
                </w:p>
              </w:tc>
              <w:tc>
                <w:tcPr>
                  <w:tcW w:w="614" w:type="pct"/>
                  <w:tcBorders>
                    <w:tl2br w:val="nil"/>
                    <w:tr2bl w:val="nil"/>
                  </w:tcBorders>
                  <w:vAlign w:val="center"/>
                </w:tcPr>
                <w:p w14:paraId="6671D731">
                  <w:pPr>
                    <w:pStyle w:val="64"/>
                    <w:adjustRightInd w:val="0"/>
                    <w:textAlignment w:val="baseline"/>
                    <w:rPr>
                      <w:rFonts w:eastAsia="宋体"/>
                      <w:color w:val="auto"/>
                      <w:sz w:val="21"/>
                      <w:highlight w:val="none"/>
                    </w:rPr>
                  </w:pPr>
                  <w:r>
                    <w:rPr>
                      <w:rFonts w:hint="eastAsia" w:eastAsia="宋体"/>
                      <w:color w:val="auto"/>
                      <w:sz w:val="21"/>
                      <w:highlight w:val="none"/>
                    </w:rPr>
                    <w:t>东</w:t>
                  </w:r>
                  <w:r>
                    <w:rPr>
                      <w:rFonts w:hint="eastAsia" w:eastAsia="宋体"/>
                      <w:color w:val="auto"/>
                      <w:sz w:val="21"/>
                      <w:highlight w:val="none"/>
                      <w:lang w:eastAsia="zh-CN"/>
                    </w:rPr>
                    <w:t>南</w:t>
                  </w:r>
                  <w:r>
                    <w:rPr>
                      <w:rFonts w:hint="eastAsia" w:eastAsia="宋体"/>
                      <w:color w:val="auto"/>
                      <w:sz w:val="21"/>
                      <w:highlight w:val="none"/>
                    </w:rPr>
                    <w:t>侧</w:t>
                  </w:r>
                  <w:r>
                    <w:rPr>
                      <w:rFonts w:hint="eastAsia" w:eastAsia="宋体"/>
                      <w:color w:val="auto"/>
                      <w:sz w:val="21"/>
                      <w:highlight w:val="none"/>
                      <w:lang w:val="en-US" w:eastAsia="zh-CN"/>
                    </w:rPr>
                    <w:t>152</w:t>
                  </w:r>
                  <w:r>
                    <w:rPr>
                      <w:rFonts w:hint="eastAsia" w:eastAsia="宋体"/>
                      <w:color w:val="auto"/>
                      <w:sz w:val="21"/>
                      <w:highlight w:val="none"/>
                    </w:rPr>
                    <w:t>m</w:t>
                  </w:r>
                </w:p>
              </w:tc>
              <w:tc>
                <w:tcPr>
                  <w:tcW w:w="409" w:type="pct"/>
                  <w:tcBorders>
                    <w:tl2br w:val="nil"/>
                    <w:tr2bl w:val="nil"/>
                  </w:tcBorders>
                  <w:vAlign w:val="center"/>
                </w:tcPr>
                <w:p w14:paraId="5ACDF247">
                  <w:pPr>
                    <w:pStyle w:val="64"/>
                    <w:adjustRightInd w:val="0"/>
                    <w:textAlignment w:val="baseline"/>
                    <w:rPr>
                      <w:rFonts w:eastAsia="宋体"/>
                      <w:color w:val="auto"/>
                      <w:sz w:val="21"/>
                      <w:highlight w:val="none"/>
                    </w:rPr>
                  </w:pPr>
                  <w:r>
                    <w:rPr>
                      <w:rFonts w:hint="eastAsia" w:eastAsia="宋体"/>
                      <w:color w:val="auto"/>
                      <w:sz w:val="21"/>
                      <w:highlight w:val="none"/>
                    </w:rPr>
                    <w:t>居住区</w:t>
                  </w:r>
                </w:p>
              </w:tc>
              <w:tc>
                <w:tcPr>
                  <w:tcW w:w="513" w:type="pct"/>
                  <w:tcBorders>
                    <w:tl2br w:val="nil"/>
                    <w:tr2bl w:val="nil"/>
                  </w:tcBorders>
                  <w:vAlign w:val="center"/>
                </w:tcPr>
                <w:p w14:paraId="2F4BF710">
                  <w:pPr>
                    <w:pStyle w:val="64"/>
                    <w:adjustRightInd w:val="0"/>
                    <w:textAlignment w:val="baseline"/>
                    <w:rPr>
                      <w:rFonts w:eastAsia="宋体"/>
                      <w:color w:val="auto"/>
                      <w:sz w:val="21"/>
                    </w:rPr>
                  </w:pPr>
                  <w:r>
                    <w:rPr>
                      <w:rFonts w:hint="eastAsia" w:eastAsia="宋体"/>
                      <w:color w:val="auto"/>
                      <w:sz w:val="21"/>
                      <w:lang w:val="en-US" w:eastAsia="zh-CN"/>
                    </w:rPr>
                    <w:t>40</w:t>
                  </w:r>
                  <w:r>
                    <w:rPr>
                      <w:rFonts w:hint="eastAsia" w:eastAsia="宋体"/>
                      <w:color w:val="auto"/>
                      <w:sz w:val="21"/>
                    </w:rPr>
                    <w:t>人</w:t>
                  </w:r>
                </w:p>
              </w:tc>
              <w:tc>
                <w:tcPr>
                  <w:tcW w:w="811" w:type="pct"/>
                  <w:vMerge w:val="continue"/>
                  <w:tcBorders>
                    <w:tl2br w:val="nil"/>
                    <w:tr2bl w:val="nil"/>
                  </w:tcBorders>
                  <w:vAlign w:val="center"/>
                </w:tcPr>
                <w:p w14:paraId="4A6BFE74">
                  <w:pPr>
                    <w:pStyle w:val="64"/>
                    <w:adjustRightInd w:val="0"/>
                    <w:textAlignment w:val="baseline"/>
                    <w:rPr>
                      <w:rFonts w:eastAsia="宋体"/>
                      <w:color w:val="auto"/>
                      <w:sz w:val="21"/>
                      <w:highlight w:val="yellow"/>
                    </w:rPr>
                  </w:pPr>
                </w:p>
              </w:tc>
              <w:tc>
                <w:tcPr>
                  <w:tcW w:w="461" w:type="pct"/>
                  <w:vMerge w:val="continue"/>
                  <w:tcBorders>
                    <w:tl2br w:val="nil"/>
                    <w:tr2bl w:val="nil"/>
                  </w:tcBorders>
                  <w:vAlign w:val="center"/>
                </w:tcPr>
                <w:p w14:paraId="33779410">
                  <w:pPr>
                    <w:pStyle w:val="64"/>
                    <w:adjustRightInd w:val="0"/>
                    <w:textAlignment w:val="baseline"/>
                    <w:rPr>
                      <w:rFonts w:eastAsia="宋体"/>
                      <w:color w:val="auto"/>
                      <w:sz w:val="21"/>
                      <w:highlight w:val="yellow"/>
                    </w:rPr>
                  </w:pPr>
                </w:p>
              </w:tc>
            </w:tr>
            <w:tr w14:paraId="07E850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tcBorders>
                    <w:tl2br w:val="nil"/>
                    <w:tr2bl w:val="nil"/>
                  </w:tcBorders>
                  <w:vAlign w:val="center"/>
                </w:tcPr>
                <w:p w14:paraId="3C1439C8">
                  <w:pPr>
                    <w:pStyle w:val="64"/>
                    <w:adjustRightInd w:val="0"/>
                    <w:textAlignment w:val="baseline"/>
                    <w:rPr>
                      <w:rFonts w:eastAsia="宋体"/>
                      <w:color w:val="auto"/>
                      <w:sz w:val="21"/>
                    </w:rPr>
                  </w:pPr>
                  <w:r>
                    <w:rPr>
                      <w:rFonts w:eastAsia="宋体"/>
                      <w:color w:val="auto"/>
                      <w:sz w:val="21"/>
                    </w:rPr>
                    <w:t>地表水</w:t>
                  </w:r>
                </w:p>
              </w:tc>
              <w:tc>
                <w:tcPr>
                  <w:tcW w:w="634" w:type="pct"/>
                  <w:tcBorders>
                    <w:tl2br w:val="nil"/>
                    <w:tr2bl w:val="nil"/>
                  </w:tcBorders>
                  <w:vAlign w:val="center"/>
                </w:tcPr>
                <w:p w14:paraId="4BB65229">
                  <w:pPr>
                    <w:pStyle w:val="64"/>
                    <w:adjustRightInd w:val="0"/>
                    <w:textAlignment w:val="baseline"/>
                    <w:rPr>
                      <w:rFonts w:eastAsia="宋体"/>
                      <w:color w:val="auto"/>
                      <w:sz w:val="21"/>
                    </w:rPr>
                  </w:pPr>
                  <w:r>
                    <w:rPr>
                      <w:rFonts w:hint="eastAsia" w:eastAsia="宋体"/>
                      <w:color w:val="auto"/>
                      <w:sz w:val="21"/>
                    </w:rPr>
                    <w:t>南江河</w:t>
                  </w:r>
                </w:p>
              </w:tc>
              <w:tc>
                <w:tcPr>
                  <w:tcW w:w="1006" w:type="pct"/>
                  <w:tcBorders>
                    <w:tl2br w:val="nil"/>
                    <w:tr2bl w:val="nil"/>
                  </w:tcBorders>
                  <w:vAlign w:val="center"/>
                </w:tcPr>
                <w:p w14:paraId="03A59DBB">
                  <w:pPr>
                    <w:adjustRightInd w:val="0"/>
                    <w:jc w:val="center"/>
                    <w:textAlignment w:val="baseline"/>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val="en-US" w:eastAsia="zh-CN"/>
                    </w:rPr>
                    <w:t>/</w:t>
                  </w:r>
                </w:p>
              </w:tc>
              <w:tc>
                <w:tcPr>
                  <w:tcW w:w="614" w:type="pct"/>
                  <w:tcBorders>
                    <w:tl2br w:val="nil"/>
                    <w:tr2bl w:val="nil"/>
                  </w:tcBorders>
                  <w:vAlign w:val="center"/>
                </w:tcPr>
                <w:p w14:paraId="3D464A06">
                  <w:pPr>
                    <w:pStyle w:val="64"/>
                    <w:adjustRightInd w:val="0"/>
                    <w:textAlignment w:val="baseline"/>
                    <w:rPr>
                      <w:rFonts w:eastAsia="宋体"/>
                      <w:color w:val="auto"/>
                      <w:sz w:val="21"/>
                      <w:highlight w:val="none"/>
                    </w:rPr>
                  </w:pPr>
                  <w:r>
                    <w:rPr>
                      <w:rFonts w:hint="eastAsia" w:eastAsia="宋体"/>
                      <w:color w:val="auto"/>
                      <w:sz w:val="21"/>
                      <w:highlight w:val="none"/>
                    </w:rPr>
                    <w:t>南</w:t>
                  </w:r>
                  <w:r>
                    <w:rPr>
                      <w:rFonts w:eastAsia="宋体"/>
                      <w:color w:val="auto"/>
                      <w:sz w:val="21"/>
                      <w:highlight w:val="none"/>
                    </w:rPr>
                    <w:t>侧</w:t>
                  </w:r>
                  <w:r>
                    <w:rPr>
                      <w:rFonts w:hint="eastAsia" w:eastAsia="宋体"/>
                      <w:color w:val="auto"/>
                      <w:sz w:val="21"/>
                      <w:highlight w:val="none"/>
                      <w:lang w:val="en-US" w:eastAsia="zh-CN"/>
                    </w:rPr>
                    <w:t>30</w:t>
                  </w:r>
                  <w:r>
                    <w:rPr>
                      <w:rFonts w:eastAsia="宋体"/>
                      <w:color w:val="auto"/>
                      <w:sz w:val="21"/>
                      <w:highlight w:val="none"/>
                    </w:rPr>
                    <w:t>m</w:t>
                  </w:r>
                </w:p>
              </w:tc>
              <w:tc>
                <w:tcPr>
                  <w:tcW w:w="409" w:type="pct"/>
                  <w:tcBorders>
                    <w:tl2br w:val="nil"/>
                    <w:tr2bl w:val="nil"/>
                  </w:tcBorders>
                  <w:vAlign w:val="center"/>
                </w:tcPr>
                <w:p w14:paraId="53F8EF7A">
                  <w:pPr>
                    <w:pStyle w:val="64"/>
                    <w:adjustRightInd w:val="0"/>
                    <w:textAlignment w:val="baseline"/>
                    <w:rPr>
                      <w:rFonts w:eastAsia="宋体"/>
                      <w:color w:val="auto"/>
                      <w:sz w:val="21"/>
                      <w:highlight w:val="none"/>
                    </w:rPr>
                  </w:pPr>
                  <w:r>
                    <w:rPr>
                      <w:rFonts w:eastAsia="宋体"/>
                      <w:color w:val="auto"/>
                      <w:sz w:val="21"/>
                      <w:highlight w:val="none"/>
                    </w:rPr>
                    <w:t>河流</w:t>
                  </w:r>
                </w:p>
              </w:tc>
              <w:tc>
                <w:tcPr>
                  <w:tcW w:w="513" w:type="pct"/>
                  <w:tcBorders>
                    <w:tl2br w:val="nil"/>
                    <w:tr2bl w:val="nil"/>
                  </w:tcBorders>
                  <w:vAlign w:val="center"/>
                </w:tcPr>
                <w:p w14:paraId="319FFCA5">
                  <w:pPr>
                    <w:pStyle w:val="64"/>
                    <w:adjustRightInd w:val="0"/>
                    <w:textAlignment w:val="baseline"/>
                    <w:rPr>
                      <w:rFonts w:eastAsia="宋体"/>
                      <w:color w:val="auto"/>
                      <w:sz w:val="21"/>
                    </w:rPr>
                  </w:pPr>
                  <w:r>
                    <w:rPr>
                      <w:rFonts w:eastAsia="宋体"/>
                      <w:color w:val="auto"/>
                      <w:sz w:val="21"/>
                    </w:rPr>
                    <w:t>/</w:t>
                  </w:r>
                </w:p>
              </w:tc>
              <w:tc>
                <w:tcPr>
                  <w:tcW w:w="811" w:type="pct"/>
                  <w:tcBorders>
                    <w:tl2br w:val="nil"/>
                    <w:tr2bl w:val="nil"/>
                  </w:tcBorders>
                  <w:vAlign w:val="center"/>
                </w:tcPr>
                <w:p w14:paraId="2AFE94DA">
                  <w:pPr>
                    <w:pStyle w:val="64"/>
                    <w:adjustRightInd w:val="0"/>
                    <w:textAlignment w:val="baseline"/>
                    <w:rPr>
                      <w:rFonts w:eastAsia="宋体"/>
                      <w:color w:val="auto"/>
                      <w:sz w:val="21"/>
                    </w:rPr>
                  </w:pPr>
                  <w:r>
                    <w:rPr>
                      <w:rFonts w:eastAsia="宋体"/>
                      <w:color w:val="auto"/>
                      <w:sz w:val="21"/>
                    </w:rPr>
                    <w:t>GB3838-2002中</w:t>
                  </w:r>
                  <w:r>
                    <w:rPr>
                      <w:rFonts w:hint="eastAsia" w:ascii="宋体" w:hAnsi="宋体" w:eastAsia="宋体" w:cs="宋体"/>
                      <w:color w:val="auto"/>
                      <w:sz w:val="21"/>
                    </w:rPr>
                    <w:t>Ⅲ</w:t>
                  </w:r>
                  <w:r>
                    <w:rPr>
                      <w:rFonts w:eastAsia="宋体"/>
                      <w:color w:val="auto"/>
                      <w:sz w:val="21"/>
                    </w:rPr>
                    <w:t>类标准</w:t>
                  </w:r>
                </w:p>
              </w:tc>
              <w:tc>
                <w:tcPr>
                  <w:tcW w:w="461" w:type="pct"/>
                  <w:tcBorders>
                    <w:tl2br w:val="nil"/>
                    <w:tr2bl w:val="nil"/>
                  </w:tcBorders>
                  <w:vAlign w:val="center"/>
                </w:tcPr>
                <w:p w14:paraId="53FB0DF7">
                  <w:pPr>
                    <w:pStyle w:val="64"/>
                    <w:adjustRightInd w:val="0"/>
                    <w:textAlignment w:val="baseline"/>
                    <w:rPr>
                      <w:rFonts w:eastAsia="宋体"/>
                      <w:color w:val="auto"/>
                      <w:sz w:val="21"/>
                    </w:rPr>
                  </w:pPr>
                  <w:r>
                    <w:rPr>
                      <w:rFonts w:eastAsia="宋体"/>
                      <w:color w:val="auto"/>
                      <w:sz w:val="21"/>
                    </w:rPr>
                    <w:t>/</w:t>
                  </w:r>
                </w:p>
              </w:tc>
            </w:tr>
          </w:tbl>
          <w:p w14:paraId="7D5B7C47">
            <w:pPr>
              <w:pStyle w:val="9"/>
              <w:keepNext/>
              <w:spacing w:before="120" w:beforeLines="50"/>
              <w:rPr>
                <w:rFonts w:cs="Times New Roman"/>
                <w:bCs/>
                <w:color w:val="auto"/>
              </w:rPr>
            </w:pPr>
            <w:r>
              <w:rPr>
                <w:rFonts w:cs="Times New Roman"/>
                <w:bCs/>
                <w:color w:val="auto"/>
              </w:rPr>
              <w:t>表3-</w:t>
            </w:r>
            <w:r>
              <w:rPr>
                <w:rFonts w:hint="eastAsia" w:cs="Times New Roman"/>
                <w:bCs/>
                <w:color w:val="auto"/>
              </w:rPr>
              <w:t>8</w:t>
            </w:r>
            <w:r>
              <w:rPr>
                <w:rFonts w:cs="Times New Roman"/>
                <w:bCs/>
                <w:color w:val="auto"/>
              </w:rPr>
              <w:t xml:space="preserve">     生态环境敏感保护目标</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561"/>
              <w:gridCol w:w="539"/>
              <w:gridCol w:w="1438"/>
              <w:gridCol w:w="3575"/>
              <w:gridCol w:w="1769"/>
            </w:tblGrid>
            <w:tr w14:paraId="54AE18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 w:hRule="atLeast"/>
                <w:jc w:val="center"/>
              </w:trPr>
              <w:tc>
                <w:tcPr>
                  <w:tcW w:w="2538" w:type="dxa"/>
                  <w:gridSpan w:val="3"/>
                  <w:tcBorders>
                    <w:tl2br w:val="nil"/>
                    <w:tr2bl w:val="nil"/>
                  </w:tcBorders>
                  <w:vAlign w:val="center"/>
                </w:tcPr>
                <w:p w14:paraId="6F9B25D9">
                  <w:pPr>
                    <w:adjustRightInd w:val="0"/>
                    <w:snapToGrid w:val="0"/>
                    <w:spacing w:line="360" w:lineRule="auto"/>
                    <w:jc w:val="center"/>
                    <w:rPr>
                      <w:rFonts w:hint="default" w:ascii="Times New Roman" w:hAnsi="Times New Roman" w:eastAsia="宋体" w:cs="Times New Roman"/>
                      <w:b/>
                      <w:color w:val="auto"/>
                      <w:kern w:val="24"/>
                      <w:szCs w:val="21"/>
                    </w:rPr>
                  </w:pPr>
                  <w:r>
                    <w:rPr>
                      <w:rFonts w:hint="default" w:ascii="Times New Roman" w:hAnsi="Times New Roman" w:eastAsia="宋体" w:cs="Times New Roman"/>
                      <w:b/>
                      <w:color w:val="auto"/>
                      <w:kern w:val="0"/>
                      <w:szCs w:val="21"/>
                    </w:rPr>
                    <w:t>类型</w:t>
                  </w:r>
                </w:p>
              </w:tc>
              <w:tc>
                <w:tcPr>
                  <w:tcW w:w="3575" w:type="dxa"/>
                  <w:tcBorders>
                    <w:tl2br w:val="nil"/>
                    <w:tr2bl w:val="nil"/>
                  </w:tcBorders>
                  <w:vAlign w:val="center"/>
                </w:tcPr>
                <w:p w14:paraId="1D901E43">
                  <w:pPr>
                    <w:adjustRightInd w:val="0"/>
                    <w:snapToGrid w:val="0"/>
                    <w:jc w:val="center"/>
                    <w:textAlignment w:val="baseline"/>
                    <w:rPr>
                      <w:rFonts w:hint="default" w:ascii="Times New Roman" w:hAnsi="Times New Roman" w:eastAsia="宋体" w:cs="Times New Roman"/>
                      <w:b/>
                      <w:color w:val="auto"/>
                      <w:kern w:val="24"/>
                      <w:szCs w:val="21"/>
                    </w:rPr>
                  </w:pPr>
                  <w:r>
                    <w:rPr>
                      <w:rFonts w:hint="default" w:ascii="Times New Roman" w:hAnsi="Times New Roman" w:eastAsia="宋体" w:cs="Times New Roman"/>
                      <w:b/>
                      <w:color w:val="auto"/>
                      <w:kern w:val="0"/>
                      <w:szCs w:val="21"/>
                      <w:lang w:eastAsia="zh-CN"/>
                    </w:rPr>
                    <w:t>概况</w:t>
                  </w:r>
                </w:p>
              </w:tc>
              <w:tc>
                <w:tcPr>
                  <w:tcW w:w="1769" w:type="dxa"/>
                  <w:tcBorders>
                    <w:tl2br w:val="nil"/>
                    <w:tr2bl w:val="nil"/>
                  </w:tcBorders>
                  <w:vAlign w:val="center"/>
                </w:tcPr>
                <w:p w14:paraId="3A55FF6F">
                  <w:pPr>
                    <w:adjustRightInd w:val="0"/>
                    <w:snapToGrid w:val="0"/>
                    <w:jc w:val="center"/>
                    <w:textAlignment w:val="baseline"/>
                    <w:rPr>
                      <w:rFonts w:hint="default" w:ascii="Times New Roman" w:hAnsi="Times New Roman" w:eastAsia="宋体" w:cs="Times New Roman"/>
                      <w:b/>
                      <w:color w:val="auto"/>
                      <w:kern w:val="24"/>
                      <w:szCs w:val="21"/>
                      <w:lang w:eastAsia="zh-CN"/>
                    </w:rPr>
                  </w:pPr>
                  <w:r>
                    <w:rPr>
                      <w:rFonts w:hint="default" w:ascii="Times New Roman" w:hAnsi="Times New Roman" w:eastAsia="宋体" w:cs="Times New Roman"/>
                      <w:b/>
                      <w:color w:val="auto"/>
                      <w:kern w:val="24"/>
                      <w:szCs w:val="21"/>
                      <w:lang w:eastAsia="zh-CN"/>
                    </w:rPr>
                    <w:t>与项目关系</w:t>
                  </w:r>
                </w:p>
              </w:tc>
            </w:tr>
            <w:tr w14:paraId="172341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 w:hRule="atLeast"/>
                <w:jc w:val="center"/>
              </w:trPr>
              <w:tc>
                <w:tcPr>
                  <w:tcW w:w="561" w:type="dxa"/>
                  <w:tcBorders>
                    <w:tl2br w:val="nil"/>
                    <w:tr2bl w:val="nil"/>
                  </w:tcBorders>
                  <w:vAlign w:val="center"/>
                </w:tcPr>
                <w:p w14:paraId="6EE8041B">
                  <w:pPr>
                    <w:autoSpaceDE w:val="0"/>
                    <w:autoSpaceDN w:val="0"/>
                    <w:adjustRightInd w:val="0"/>
                    <w:snapToGrid w:val="0"/>
                    <w:jc w:val="center"/>
                    <w:textAlignment w:val="baseline"/>
                    <w:rPr>
                      <w:rFonts w:hint="default" w:ascii="Times New Roman" w:hAnsi="Times New Roman" w:eastAsia="宋体" w:cs="Times New Roman"/>
                      <w:b/>
                      <w:bCs w:val="0"/>
                      <w:color w:val="auto"/>
                      <w:kern w:val="0"/>
                      <w:szCs w:val="21"/>
                      <w:lang w:eastAsia="zh-CN"/>
                    </w:rPr>
                  </w:pPr>
                  <w:r>
                    <w:rPr>
                      <w:rFonts w:hint="default" w:ascii="Times New Roman" w:hAnsi="Times New Roman" w:eastAsia="宋体" w:cs="Times New Roman"/>
                      <w:b w:val="0"/>
                      <w:bCs/>
                      <w:color w:val="auto"/>
                      <w:kern w:val="0"/>
                      <w:szCs w:val="21"/>
                      <w:lang w:eastAsia="zh-CN"/>
                    </w:rPr>
                    <w:t>生态敏感区</w:t>
                  </w:r>
                </w:p>
              </w:tc>
              <w:tc>
                <w:tcPr>
                  <w:tcW w:w="1977" w:type="dxa"/>
                  <w:gridSpan w:val="2"/>
                  <w:tcBorders>
                    <w:tl2br w:val="nil"/>
                    <w:tr2bl w:val="nil"/>
                  </w:tcBorders>
                  <w:vAlign w:val="center"/>
                </w:tcPr>
                <w:p w14:paraId="3EF43FAE">
                  <w:pPr>
                    <w:autoSpaceDE w:val="0"/>
                    <w:autoSpaceDN w:val="0"/>
                    <w:adjustRightInd w:val="0"/>
                    <w:snapToGrid w:val="0"/>
                    <w:jc w:val="center"/>
                    <w:textAlignment w:val="baseline"/>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光雾山-诺水河世界地质公园</w:t>
                  </w:r>
                </w:p>
              </w:tc>
              <w:tc>
                <w:tcPr>
                  <w:tcW w:w="3575" w:type="dxa"/>
                  <w:tcBorders>
                    <w:tl2br w:val="nil"/>
                    <w:tr2bl w:val="nil"/>
                  </w:tcBorders>
                  <w:vAlign w:val="center"/>
                </w:tcPr>
                <w:p w14:paraId="5285E1E2">
                  <w:pPr>
                    <w:autoSpaceDE w:val="0"/>
                    <w:autoSpaceDN w:val="0"/>
                    <w:adjustRightInd w:val="0"/>
                    <w:snapToGrid w:val="0"/>
                    <w:jc w:val="center"/>
                    <w:textAlignment w:val="baseline"/>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地处中国南北地质、地理过渡带；位于秦岭南坡四川省巴中市南江县（光雾山园区）、通江县（诺水河园区）境内，公园范围北以与陕西省界为边界，西以与旺苍县界为边界，东以大通江为边界，南以地质遗迹展布和主要的山脊沟谷为边界，即沿临江寺‐铁厂河‐黄泥坝‐尖峰顶‐金场坝一线，由209个边界拐点圈闭形成，面积1818km</w:t>
                  </w:r>
                  <w:r>
                    <w:rPr>
                      <w:rFonts w:hint="default" w:ascii="Times New Roman" w:hAnsi="Times New Roman" w:eastAsia="宋体" w:cs="Times New Roman"/>
                      <w:color w:val="auto"/>
                      <w:kern w:val="0"/>
                      <w:szCs w:val="21"/>
                      <w:vertAlign w:val="superscript"/>
                    </w:rPr>
                    <w:t>2</w:t>
                  </w:r>
                  <w:r>
                    <w:rPr>
                      <w:rFonts w:hint="default" w:ascii="Times New Roman" w:hAnsi="Times New Roman" w:eastAsia="宋体" w:cs="Times New Roman"/>
                      <w:color w:val="auto"/>
                      <w:kern w:val="0"/>
                      <w:szCs w:val="21"/>
                    </w:rPr>
                    <w:t>，其中，属南江县面积1376km</w:t>
                  </w:r>
                  <w:r>
                    <w:rPr>
                      <w:rFonts w:hint="default" w:ascii="Times New Roman" w:hAnsi="Times New Roman" w:eastAsia="宋体" w:cs="Times New Roman"/>
                      <w:color w:val="auto"/>
                      <w:kern w:val="0"/>
                      <w:szCs w:val="21"/>
                      <w:vertAlign w:val="superscript"/>
                    </w:rPr>
                    <w:t>2</w:t>
                  </w:r>
                  <w:r>
                    <w:rPr>
                      <w:rFonts w:hint="default" w:ascii="Times New Roman" w:hAnsi="Times New Roman" w:eastAsia="宋体" w:cs="Times New Roman"/>
                      <w:color w:val="auto"/>
                      <w:kern w:val="0"/>
                      <w:szCs w:val="21"/>
                    </w:rPr>
                    <w:t>、通江县面积442km</w:t>
                  </w:r>
                  <w:r>
                    <w:rPr>
                      <w:rFonts w:hint="default" w:ascii="Times New Roman" w:hAnsi="Times New Roman" w:eastAsia="宋体" w:cs="Times New Roman"/>
                      <w:color w:val="auto"/>
                      <w:kern w:val="0"/>
                      <w:szCs w:val="21"/>
                      <w:vertAlign w:val="superscript"/>
                    </w:rPr>
                    <w:t>2</w:t>
                  </w:r>
                  <w:r>
                    <w:rPr>
                      <w:rFonts w:hint="default" w:ascii="Times New Roman" w:hAnsi="Times New Roman" w:eastAsia="宋体" w:cs="Times New Roman"/>
                      <w:color w:val="auto"/>
                      <w:kern w:val="0"/>
                      <w:szCs w:val="21"/>
                    </w:rPr>
                    <w:t>。</w:t>
                  </w:r>
                </w:p>
              </w:tc>
              <w:tc>
                <w:tcPr>
                  <w:tcW w:w="1769" w:type="dxa"/>
                  <w:tcBorders>
                    <w:tl2br w:val="nil"/>
                    <w:tr2bl w:val="nil"/>
                  </w:tcBorders>
                  <w:vAlign w:val="center"/>
                </w:tcPr>
                <w:p w14:paraId="2F4A93D1">
                  <w:pPr>
                    <w:adjustRightInd w:val="0"/>
                    <w:snapToGrid w:val="0"/>
                    <w:jc w:val="center"/>
                    <w:textAlignment w:val="baseline"/>
                    <w:rPr>
                      <w:rFonts w:hint="default" w:ascii="Times New Roman" w:hAnsi="Times New Roman" w:eastAsia="宋体" w:cs="Times New Roman"/>
                      <w:bCs/>
                      <w:color w:val="auto"/>
                      <w:kern w:val="0"/>
                      <w:szCs w:val="21"/>
                      <w:lang w:eastAsia="zh-CN"/>
                    </w:rPr>
                  </w:pPr>
                  <w:r>
                    <w:rPr>
                      <w:rFonts w:hint="default" w:ascii="Times New Roman" w:hAnsi="Times New Roman" w:eastAsia="宋体" w:cs="Times New Roman"/>
                      <w:color w:val="auto"/>
                      <w:kern w:val="0"/>
                      <w:szCs w:val="21"/>
                      <w:lang w:eastAsia="zh-CN"/>
                    </w:rPr>
                    <w:t>项目位于</w:t>
                  </w:r>
                  <w:r>
                    <w:rPr>
                      <w:rFonts w:hint="default" w:ascii="Times New Roman" w:hAnsi="Times New Roman" w:eastAsia="宋体" w:cs="Times New Roman"/>
                      <w:color w:val="auto"/>
                      <w:kern w:val="0"/>
                      <w:szCs w:val="21"/>
                    </w:rPr>
                    <w:t>光雾山-诺水河世界地质公园综合</w:t>
                  </w:r>
                  <w:r>
                    <w:rPr>
                      <w:rFonts w:hint="default" w:ascii="Times New Roman" w:hAnsi="Times New Roman" w:eastAsia="宋体" w:cs="Times New Roman"/>
                      <w:color w:val="auto"/>
                      <w:kern w:val="0"/>
                      <w:sz w:val="21"/>
                      <w:szCs w:val="21"/>
                    </w:rPr>
                    <w:t>服务区内</w:t>
                  </w:r>
                  <w:r>
                    <w:rPr>
                      <w:rFonts w:hint="default" w:ascii="Times New Roman" w:hAnsi="Times New Roman" w:eastAsia="宋体" w:cs="Times New Roman"/>
                      <w:color w:val="auto"/>
                      <w:kern w:val="0"/>
                      <w:sz w:val="21"/>
                      <w:szCs w:val="21"/>
                      <w:lang w:eastAsia="zh-CN"/>
                    </w:rPr>
                    <w:t>，占地面积</w:t>
                  </w:r>
                  <w:r>
                    <w:rPr>
                      <w:rFonts w:hint="default" w:ascii="Times New Roman" w:hAnsi="Times New Roman" w:eastAsia="宋体" w:cs="Times New Roman"/>
                      <w:color w:val="auto"/>
                      <w:sz w:val="21"/>
                      <w:szCs w:val="21"/>
                      <w:highlight w:val="none"/>
                      <w:lang w:val="en-US" w:eastAsia="zh-CN"/>
                    </w:rPr>
                    <w:t>2.0711h</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2</w:t>
                  </w:r>
                </w:p>
              </w:tc>
            </w:tr>
            <w:tr w14:paraId="3831DE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 w:hRule="atLeast"/>
                <w:jc w:val="center"/>
              </w:trPr>
              <w:tc>
                <w:tcPr>
                  <w:tcW w:w="561" w:type="dxa"/>
                  <w:vMerge w:val="restart"/>
                  <w:tcBorders>
                    <w:tl2br w:val="nil"/>
                    <w:tr2bl w:val="nil"/>
                  </w:tcBorders>
                  <w:vAlign w:val="center"/>
                </w:tcPr>
                <w:p w14:paraId="127EC651">
                  <w:pPr>
                    <w:autoSpaceDE w:val="0"/>
                    <w:autoSpaceDN w:val="0"/>
                    <w:adjustRightInd w:val="0"/>
                    <w:snapToGrid w:val="0"/>
                    <w:jc w:val="center"/>
                    <w:textAlignment w:val="baseline"/>
                    <w:rPr>
                      <w:rFonts w:hint="default" w:ascii="Times New Roman" w:hAnsi="Times New Roman" w:eastAsia="宋体" w:cs="Times New Roman"/>
                      <w:b/>
                      <w:bCs w:val="0"/>
                      <w:color w:val="auto"/>
                      <w:kern w:val="0"/>
                      <w:szCs w:val="21"/>
                      <w:lang w:eastAsia="zh-CN"/>
                    </w:rPr>
                  </w:pPr>
                  <w:r>
                    <w:rPr>
                      <w:rFonts w:hint="default" w:ascii="Times New Roman" w:hAnsi="Times New Roman" w:eastAsia="宋体" w:cs="Times New Roman"/>
                      <w:b w:val="0"/>
                      <w:bCs/>
                      <w:color w:val="auto"/>
                      <w:kern w:val="0"/>
                      <w:szCs w:val="21"/>
                      <w:lang w:eastAsia="zh-CN"/>
                    </w:rPr>
                    <w:t>重要物种</w:t>
                  </w:r>
                </w:p>
              </w:tc>
              <w:tc>
                <w:tcPr>
                  <w:tcW w:w="539" w:type="dxa"/>
                  <w:vMerge w:val="restart"/>
                  <w:tcBorders>
                    <w:tl2br w:val="nil"/>
                    <w:tr2bl w:val="nil"/>
                  </w:tcBorders>
                  <w:vAlign w:val="center"/>
                </w:tcPr>
                <w:p w14:paraId="179D2EC3">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野生植物</w:t>
                  </w:r>
                </w:p>
              </w:tc>
              <w:tc>
                <w:tcPr>
                  <w:tcW w:w="1438" w:type="dxa"/>
                  <w:tcBorders>
                    <w:tl2br w:val="nil"/>
                    <w:tr2bl w:val="nil"/>
                  </w:tcBorders>
                  <w:vAlign w:val="center"/>
                </w:tcPr>
                <w:p w14:paraId="20DF07EC">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重点保护野生植物</w:t>
                  </w:r>
                </w:p>
              </w:tc>
              <w:tc>
                <w:tcPr>
                  <w:tcW w:w="3575" w:type="dxa"/>
                  <w:tcBorders>
                    <w:tl2br w:val="nil"/>
                    <w:tr2bl w:val="nil"/>
                  </w:tcBorders>
                  <w:vAlign w:val="center"/>
                </w:tcPr>
                <w:p w14:paraId="0DDEB6A5">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w:t>
                  </w:r>
                </w:p>
              </w:tc>
              <w:tc>
                <w:tcPr>
                  <w:tcW w:w="1769" w:type="dxa"/>
                  <w:tcBorders>
                    <w:tl2br w:val="nil"/>
                    <w:tr2bl w:val="nil"/>
                  </w:tcBorders>
                  <w:vAlign w:val="center"/>
                </w:tcPr>
                <w:p w14:paraId="14D92AB3">
                  <w:pPr>
                    <w:adjustRightInd w:val="0"/>
                    <w:snapToGrid w:val="0"/>
                    <w:jc w:val="center"/>
                    <w:textAlignment w:val="baseline"/>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w:t>
                  </w:r>
                </w:p>
              </w:tc>
            </w:tr>
            <w:tr w14:paraId="4795AF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 w:hRule="atLeast"/>
                <w:jc w:val="center"/>
              </w:trPr>
              <w:tc>
                <w:tcPr>
                  <w:tcW w:w="561" w:type="dxa"/>
                  <w:vMerge w:val="continue"/>
                  <w:tcBorders>
                    <w:tl2br w:val="nil"/>
                    <w:tr2bl w:val="nil"/>
                  </w:tcBorders>
                  <w:vAlign w:val="center"/>
                </w:tcPr>
                <w:p w14:paraId="367B3166">
                  <w:pPr>
                    <w:autoSpaceDE w:val="0"/>
                    <w:autoSpaceDN w:val="0"/>
                    <w:adjustRightInd w:val="0"/>
                    <w:snapToGrid w:val="0"/>
                    <w:jc w:val="center"/>
                    <w:textAlignment w:val="baseline"/>
                    <w:rPr>
                      <w:rFonts w:hint="default" w:ascii="Times New Roman" w:hAnsi="Times New Roman" w:eastAsia="宋体" w:cs="Times New Roman"/>
                      <w:b/>
                      <w:color w:val="auto"/>
                      <w:kern w:val="0"/>
                      <w:szCs w:val="21"/>
                      <w:lang w:eastAsia="zh-CN"/>
                    </w:rPr>
                  </w:pPr>
                </w:p>
              </w:tc>
              <w:tc>
                <w:tcPr>
                  <w:tcW w:w="539" w:type="dxa"/>
                  <w:vMerge w:val="continue"/>
                  <w:tcBorders>
                    <w:tl2br w:val="nil"/>
                    <w:tr2bl w:val="nil"/>
                  </w:tcBorders>
                  <w:vAlign w:val="center"/>
                </w:tcPr>
                <w:p w14:paraId="0CE89BE8">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p>
              </w:tc>
              <w:tc>
                <w:tcPr>
                  <w:tcW w:w="1438" w:type="dxa"/>
                  <w:tcBorders>
                    <w:tl2br w:val="nil"/>
                    <w:tr2bl w:val="nil"/>
                  </w:tcBorders>
                  <w:vAlign w:val="center"/>
                </w:tcPr>
                <w:p w14:paraId="2CF88346">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受威胁物种</w:t>
                  </w:r>
                </w:p>
              </w:tc>
              <w:tc>
                <w:tcPr>
                  <w:tcW w:w="3575" w:type="dxa"/>
                  <w:tcBorders>
                    <w:tl2br w:val="nil"/>
                    <w:tr2bl w:val="nil"/>
                  </w:tcBorders>
                  <w:vAlign w:val="center"/>
                </w:tcPr>
                <w:p w14:paraId="49B9BF53">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w:t>
                  </w:r>
                </w:p>
              </w:tc>
              <w:tc>
                <w:tcPr>
                  <w:tcW w:w="1769" w:type="dxa"/>
                  <w:tcBorders>
                    <w:tl2br w:val="nil"/>
                    <w:tr2bl w:val="nil"/>
                  </w:tcBorders>
                  <w:vAlign w:val="center"/>
                </w:tcPr>
                <w:p w14:paraId="7F6AF582">
                  <w:pPr>
                    <w:adjustRightInd w:val="0"/>
                    <w:snapToGrid w:val="0"/>
                    <w:jc w:val="center"/>
                    <w:textAlignment w:val="baseline"/>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w:t>
                  </w:r>
                </w:p>
              </w:tc>
            </w:tr>
            <w:tr w14:paraId="66564E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 w:hRule="atLeast"/>
                <w:jc w:val="center"/>
              </w:trPr>
              <w:tc>
                <w:tcPr>
                  <w:tcW w:w="561" w:type="dxa"/>
                  <w:vMerge w:val="continue"/>
                  <w:tcBorders>
                    <w:tl2br w:val="nil"/>
                    <w:tr2bl w:val="nil"/>
                  </w:tcBorders>
                  <w:vAlign w:val="center"/>
                </w:tcPr>
                <w:p w14:paraId="264DCF0D">
                  <w:pPr>
                    <w:autoSpaceDE w:val="0"/>
                    <w:autoSpaceDN w:val="0"/>
                    <w:adjustRightInd w:val="0"/>
                    <w:snapToGrid w:val="0"/>
                    <w:jc w:val="center"/>
                    <w:textAlignment w:val="baseline"/>
                    <w:rPr>
                      <w:rFonts w:hint="default" w:ascii="Times New Roman" w:hAnsi="Times New Roman" w:eastAsia="宋体" w:cs="Times New Roman"/>
                      <w:b/>
                      <w:color w:val="auto"/>
                      <w:kern w:val="0"/>
                      <w:szCs w:val="21"/>
                      <w:lang w:eastAsia="zh-CN"/>
                    </w:rPr>
                  </w:pPr>
                </w:p>
              </w:tc>
              <w:tc>
                <w:tcPr>
                  <w:tcW w:w="539" w:type="dxa"/>
                  <w:vMerge w:val="continue"/>
                  <w:tcBorders>
                    <w:tl2br w:val="nil"/>
                    <w:tr2bl w:val="nil"/>
                  </w:tcBorders>
                  <w:vAlign w:val="center"/>
                </w:tcPr>
                <w:p w14:paraId="50CA0456">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p>
              </w:tc>
              <w:tc>
                <w:tcPr>
                  <w:tcW w:w="1438" w:type="dxa"/>
                  <w:tcBorders>
                    <w:tl2br w:val="nil"/>
                    <w:tr2bl w:val="nil"/>
                  </w:tcBorders>
                  <w:vAlign w:val="center"/>
                </w:tcPr>
                <w:p w14:paraId="47D33B79">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特有种</w:t>
                  </w:r>
                </w:p>
              </w:tc>
              <w:tc>
                <w:tcPr>
                  <w:tcW w:w="3575" w:type="dxa"/>
                  <w:tcBorders>
                    <w:tl2br w:val="nil"/>
                    <w:tr2bl w:val="nil"/>
                  </w:tcBorders>
                  <w:vAlign w:val="center"/>
                </w:tcPr>
                <w:p w14:paraId="6901543B">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29</w:t>
                  </w:r>
                  <w:r>
                    <w:rPr>
                      <w:rFonts w:hint="default" w:ascii="Times New Roman" w:hAnsi="Times New Roman" w:eastAsia="宋体" w:cs="Times New Roman"/>
                      <w:color w:val="auto"/>
                      <w:kern w:val="0"/>
                      <w:szCs w:val="21"/>
                      <w:lang w:val="en-US" w:eastAsia="zh-CN"/>
                    </w:rPr>
                    <w:t>种（</w:t>
                  </w:r>
                  <w:r>
                    <w:rPr>
                      <w:rFonts w:hint="eastAsia" w:ascii="Times New Roman" w:hAnsi="Times New Roman" w:eastAsia="宋体" w:cs="Times New Roman"/>
                      <w:color w:val="auto"/>
                      <w:kern w:val="0"/>
                      <w:szCs w:val="21"/>
                      <w:lang w:val="en-US" w:eastAsia="zh-CN"/>
                    </w:rPr>
                    <w:t>柳杉、桤木</w:t>
                  </w:r>
                  <w:r>
                    <w:rPr>
                      <w:rFonts w:hint="default" w:ascii="Times New Roman" w:hAnsi="Times New Roman" w:eastAsia="宋体" w:cs="Times New Roman"/>
                      <w:color w:val="auto"/>
                      <w:kern w:val="0"/>
                      <w:szCs w:val="21"/>
                      <w:lang w:val="en-US" w:eastAsia="zh-CN"/>
                    </w:rPr>
                    <w:t>等）</w:t>
                  </w:r>
                </w:p>
              </w:tc>
              <w:tc>
                <w:tcPr>
                  <w:tcW w:w="1769" w:type="dxa"/>
                  <w:tcBorders>
                    <w:tl2br w:val="nil"/>
                    <w:tr2bl w:val="nil"/>
                  </w:tcBorders>
                  <w:vAlign w:val="center"/>
                </w:tcPr>
                <w:p w14:paraId="119B2B8F">
                  <w:pPr>
                    <w:adjustRightInd w:val="0"/>
                    <w:snapToGrid w:val="0"/>
                    <w:jc w:val="center"/>
                    <w:textAlignment w:val="baseline"/>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施工扰动占用，施工扬尘间接影响</w:t>
                  </w:r>
                </w:p>
              </w:tc>
            </w:tr>
            <w:tr w14:paraId="599DF5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 w:hRule="atLeast"/>
                <w:jc w:val="center"/>
              </w:trPr>
              <w:tc>
                <w:tcPr>
                  <w:tcW w:w="561" w:type="dxa"/>
                  <w:vMerge w:val="continue"/>
                  <w:tcBorders>
                    <w:tl2br w:val="nil"/>
                    <w:tr2bl w:val="nil"/>
                  </w:tcBorders>
                  <w:vAlign w:val="center"/>
                </w:tcPr>
                <w:p w14:paraId="595FD3A6">
                  <w:pPr>
                    <w:autoSpaceDE w:val="0"/>
                    <w:autoSpaceDN w:val="0"/>
                    <w:adjustRightInd w:val="0"/>
                    <w:snapToGrid w:val="0"/>
                    <w:jc w:val="center"/>
                    <w:textAlignment w:val="baseline"/>
                    <w:rPr>
                      <w:rFonts w:hint="default" w:ascii="Times New Roman" w:hAnsi="Times New Roman" w:eastAsia="宋体" w:cs="Times New Roman"/>
                      <w:b/>
                      <w:color w:val="auto"/>
                      <w:kern w:val="0"/>
                      <w:szCs w:val="21"/>
                      <w:lang w:eastAsia="zh-CN"/>
                    </w:rPr>
                  </w:pPr>
                </w:p>
              </w:tc>
              <w:tc>
                <w:tcPr>
                  <w:tcW w:w="539" w:type="dxa"/>
                  <w:vMerge w:val="continue"/>
                  <w:tcBorders>
                    <w:tl2br w:val="nil"/>
                    <w:tr2bl w:val="nil"/>
                  </w:tcBorders>
                  <w:vAlign w:val="center"/>
                </w:tcPr>
                <w:p w14:paraId="7B014D2D">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p>
              </w:tc>
              <w:tc>
                <w:tcPr>
                  <w:tcW w:w="1438" w:type="dxa"/>
                  <w:tcBorders>
                    <w:tl2br w:val="nil"/>
                    <w:tr2bl w:val="nil"/>
                  </w:tcBorders>
                  <w:vAlign w:val="center"/>
                </w:tcPr>
                <w:p w14:paraId="6F457A5B">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极小种群物种</w:t>
                  </w:r>
                </w:p>
              </w:tc>
              <w:tc>
                <w:tcPr>
                  <w:tcW w:w="3575" w:type="dxa"/>
                  <w:tcBorders>
                    <w:tl2br w:val="nil"/>
                    <w:tr2bl w:val="nil"/>
                  </w:tcBorders>
                  <w:vAlign w:val="center"/>
                </w:tcPr>
                <w:p w14:paraId="4DEF1C59">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w:t>
                  </w:r>
                </w:p>
              </w:tc>
              <w:tc>
                <w:tcPr>
                  <w:tcW w:w="1769" w:type="dxa"/>
                  <w:tcBorders>
                    <w:tl2br w:val="nil"/>
                    <w:tr2bl w:val="nil"/>
                  </w:tcBorders>
                  <w:vAlign w:val="center"/>
                </w:tcPr>
                <w:p w14:paraId="5EC10B3D">
                  <w:pPr>
                    <w:adjustRightInd w:val="0"/>
                    <w:snapToGrid w:val="0"/>
                    <w:jc w:val="center"/>
                    <w:textAlignment w:val="baseline"/>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w:t>
                  </w:r>
                </w:p>
              </w:tc>
            </w:tr>
            <w:tr w14:paraId="0FE396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 w:hRule="atLeast"/>
                <w:jc w:val="center"/>
              </w:trPr>
              <w:tc>
                <w:tcPr>
                  <w:tcW w:w="561" w:type="dxa"/>
                  <w:vMerge w:val="continue"/>
                  <w:tcBorders>
                    <w:tl2br w:val="nil"/>
                    <w:tr2bl w:val="nil"/>
                  </w:tcBorders>
                  <w:vAlign w:val="center"/>
                </w:tcPr>
                <w:p w14:paraId="2F5C3488">
                  <w:pPr>
                    <w:autoSpaceDE w:val="0"/>
                    <w:autoSpaceDN w:val="0"/>
                    <w:adjustRightInd w:val="0"/>
                    <w:snapToGrid w:val="0"/>
                    <w:jc w:val="center"/>
                    <w:textAlignment w:val="baseline"/>
                    <w:rPr>
                      <w:rFonts w:hint="default" w:ascii="Times New Roman" w:hAnsi="Times New Roman" w:eastAsia="宋体" w:cs="Times New Roman"/>
                      <w:b/>
                      <w:color w:val="auto"/>
                      <w:kern w:val="0"/>
                      <w:szCs w:val="21"/>
                      <w:lang w:eastAsia="zh-CN"/>
                    </w:rPr>
                  </w:pPr>
                </w:p>
              </w:tc>
              <w:tc>
                <w:tcPr>
                  <w:tcW w:w="1977" w:type="dxa"/>
                  <w:gridSpan w:val="2"/>
                  <w:tcBorders>
                    <w:tl2br w:val="nil"/>
                    <w:tr2bl w:val="nil"/>
                  </w:tcBorders>
                  <w:vAlign w:val="center"/>
                </w:tcPr>
                <w:p w14:paraId="220A1BDE">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古树名木</w:t>
                  </w:r>
                </w:p>
              </w:tc>
              <w:tc>
                <w:tcPr>
                  <w:tcW w:w="3575" w:type="dxa"/>
                  <w:tcBorders>
                    <w:tl2br w:val="nil"/>
                    <w:tr2bl w:val="nil"/>
                  </w:tcBorders>
                  <w:vAlign w:val="center"/>
                </w:tcPr>
                <w:p w14:paraId="7C26CB89">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w:t>
                  </w:r>
                </w:p>
              </w:tc>
              <w:tc>
                <w:tcPr>
                  <w:tcW w:w="1769" w:type="dxa"/>
                  <w:tcBorders>
                    <w:tl2br w:val="nil"/>
                    <w:tr2bl w:val="nil"/>
                  </w:tcBorders>
                  <w:vAlign w:val="center"/>
                </w:tcPr>
                <w:p w14:paraId="0B451BC7">
                  <w:pPr>
                    <w:adjustRightInd w:val="0"/>
                    <w:snapToGrid w:val="0"/>
                    <w:jc w:val="center"/>
                    <w:textAlignment w:val="baseline"/>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w:t>
                  </w:r>
                </w:p>
              </w:tc>
            </w:tr>
            <w:tr w14:paraId="531CE1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 w:hRule="atLeast"/>
                <w:jc w:val="center"/>
              </w:trPr>
              <w:tc>
                <w:tcPr>
                  <w:tcW w:w="561" w:type="dxa"/>
                  <w:vMerge w:val="continue"/>
                  <w:tcBorders>
                    <w:tl2br w:val="nil"/>
                    <w:tr2bl w:val="nil"/>
                  </w:tcBorders>
                  <w:vAlign w:val="center"/>
                </w:tcPr>
                <w:p w14:paraId="6F8A0219">
                  <w:pPr>
                    <w:autoSpaceDE w:val="0"/>
                    <w:autoSpaceDN w:val="0"/>
                    <w:adjustRightInd w:val="0"/>
                    <w:snapToGrid w:val="0"/>
                    <w:jc w:val="center"/>
                    <w:textAlignment w:val="baseline"/>
                    <w:rPr>
                      <w:rFonts w:hint="default" w:ascii="Times New Roman" w:hAnsi="Times New Roman" w:eastAsia="宋体" w:cs="Times New Roman"/>
                      <w:b/>
                      <w:color w:val="auto"/>
                      <w:kern w:val="0"/>
                      <w:szCs w:val="21"/>
                      <w:lang w:eastAsia="zh-CN"/>
                    </w:rPr>
                  </w:pPr>
                </w:p>
              </w:tc>
              <w:tc>
                <w:tcPr>
                  <w:tcW w:w="539" w:type="dxa"/>
                  <w:vMerge w:val="restart"/>
                  <w:tcBorders>
                    <w:tl2br w:val="nil"/>
                    <w:tr2bl w:val="nil"/>
                  </w:tcBorders>
                  <w:vAlign w:val="center"/>
                </w:tcPr>
                <w:p w14:paraId="1FB58760">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野生陆生动物</w:t>
                  </w:r>
                </w:p>
              </w:tc>
              <w:tc>
                <w:tcPr>
                  <w:tcW w:w="1438" w:type="dxa"/>
                  <w:tcBorders>
                    <w:tl2br w:val="nil"/>
                    <w:tr2bl w:val="nil"/>
                  </w:tcBorders>
                  <w:shd w:val="clear" w:color="auto" w:fill="auto"/>
                  <w:vAlign w:val="center"/>
                </w:tcPr>
                <w:p w14:paraId="5ADFEA22">
                  <w:pPr>
                    <w:autoSpaceDE w:val="0"/>
                    <w:autoSpaceDN w:val="0"/>
                    <w:adjustRightInd w:val="0"/>
                    <w:snapToGrid w:val="0"/>
                    <w:jc w:val="center"/>
                    <w:textAlignment w:val="baseline"/>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Cs w:val="21"/>
                      <w:lang w:eastAsia="zh-CN"/>
                    </w:rPr>
                    <w:t>重点保护动物</w:t>
                  </w:r>
                </w:p>
              </w:tc>
              <w:tc>
                <w:tcPr>
                  <w:tcW w:w="3575" w:type="dxa"/>
                  <w:tcBorders>
                    <w:tl2br w:val="nil"/>
                    <w:tr2bl w:val="nil"/>
                  </w:tcBorders>
                  <w:vAlign w:val="center"/>
                </w:tcPr>
                <w:p w14:paraId="11B88838">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w:t>
                  </w:r>
                </w:p>
              </w:tc>
              <w:tc>
                <w:tcPr>
                  <w:tcW w:w="1769" w:type="dxa"/>
                  <w:tcBorders>
                    <w:tl2br w:val="nil"/>
                    <w:tr2bl w:val="nil"/>
                  </w:tcBorders>
                  <w:vAlign w:val="center"/>
                </w:tcPr>
                <w:p w14:paraId="5629325F">
                  <w:pPr>
                    <w:adjustRightInd w:val="0"/>
                    <w:snapToGrid w:val="0"/>
                    <w:jc w:val="center"/>
                    <w:textAlignment w:val="baseline"/>
                    <w:rPr>
                      <w:rFonts w:hint="default" w:ascii="Times New Roman" w:hAnsi="Times New Roman" w:eastAsia="宋体" w:cs="Times New Roman"/>
                      <w:color w:val="auto"/>
                      <w:kern w:val="0"/>
                      <w:szCs w:val="21"/>
                      <w:lang w:eastAsia="zh-CN"/>
                    </w:rPr>
                  </w:pPr>
                </w:p>
              </w:tc>
            </w:tr>
            <w:tr w14:paraId="14436F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 w:hRule="atLeast"/>
                <w:jc w:val="center"/>
              </w:trPr>
              <w:tc>
                <w:tcPr>
                  <w:tcW w:w="561" w:type="dxa"/>
                  <w:vMerge w:val="continue"/>
                  <w:tcBorders>
                    <w:tl2br w:val="nil"/>
                    <w:tr2bl w:val="nil"/>
                  </w:tcBorders>
                  <w:vAlign w:val="center"/>
                </w:tcPr>
                <w:p w14:paraId="10AA748E">
                  <w:pPr>
                    <w:autoSpaceDE w:val="0"/>
                    <w:autoSpaceDN w:val="0"/>
                    <w:adjustRightInd w:val="0"/>
                    <w:snapToGrid w:val="0"/>
                    <w:jc w:val="center"/>
                    <w:textAlignment w:val="baseline"/>
                    <w:rPr>
                      <w:rFonts w:hint="default" w:ascii="Times New Roman" w:hAnsi="Times New Roman" w:eastAsia="宋体" w:cs="Times New Roman"/>
                      <w:b/>
                      <w:color w:val="auto"/>
                      <w:kern w:val="0"/>
                      <w:szCs w:val="21"/>
                      <w:lang w:eastAsia="zh-CN"/>
                    </w:rPr>
                  </w:pPr>
                </w:p>
              </w:tc>
              <w:tc>
                <w:tcPr>
                  <w:tcW w:w="539" w:type="dxa"/>
                  <w:vMerge w:val="continue"/>
                  <w:tcBorders>
                    <w:tl2br w:val="nil"/>
                    <w:tr2bl w:val="nil"/>
                  </w:tcBorders>
                  <w:vAlign w:val="center"/>
                </w:tcPr>
                <w:p w14:paraId="4901555F">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p>
              </w:tc>
              <w:tc>
                <w:tcPr>
                  <w:tcW w:w="1438" w:type="dxa"/>
                  <w:tcBorders>
                    <w:tl2br w:val="nil"/>
                    <w:tr2bl w:val="nil"/>
                  </w:tcBorders>
                  <w:shd w:val="clear" w:color="auto" w:fill="auto"/>
                  <w:vAlign w:val="center"/>
                </w:tcPr>
                <w:p w14:paraId="5174AEFB">
                  <w:pPr>
                    <w:autoSpaceDE w:val="0"/>
                    <w:autoSpaceDN w:val="0"/>
                    <w:adjustRightInd w:val="0"/>
                    <w:snapToGrid w:val="0"/>
                    <w:jc w:val="center"/>
                    <w:textAlignment w:val="baseline"/>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Cs w:val="21"/>
                      <w:lang w:eastAsia="zh-CN"/>
                    </w:rPr>
                    <w:t>受威胁动物</w:t>
                  </w:r>
                </w:p>
              </w:tc>
              <w:tc>
                <w:tcPr>
                  <w:tcW w:w="3575" w:type="dxa"/>
                  <w:tcBorders>
                    <w:tl2br w:val="nil"/>
                    <w:tr2bl w:val="nil"/>
                  </w:tcBorders>
                  <w:vAlign w:val="center"/>
                </w:tcPr>
                <w:p w14:paraId="4278FF00">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eastAsia="zh-CN"/>
                    </w:rPr>
                    <w:t>易危</w:t>
                  </w:r>
                  <w:r>
                    <w:rPr>
                      <w:rFonts w:hint="eastAsia" w:ascii="Times New Roman" w:hAnsi="Times New Roman" w:eastAsia="宋体" w:cs="Times New Roman"/>
                      <w:color w:val="auto"/>
                      <w:kern w:val="0"/>
                      <w:szCs w:val="21"/>
                      <w:lang w:val="en-US" w:eastAsia="zh-CN"/>
                    </w:rPr>
                    <w:t>4</w:t>
                  </w:r>
                  <w:r>
                    <w:rPr>
                      <w:rFonts w:hint="default" w:ascii="Times New Roman" w:hAnsi="Times New Roman" w:eastAsia="宋体" w:cs="Times New Roman"/>
                      <w:color w:val="auto"/>
                      <w:kern w:val="0"/>
                      <w:szCs w:val="21"/>
                      <w:lang w:val="en-US" w:eastAsia="zh-CN"/>
                    </w:rPr>
                    <w:t>种（黑眉锦蛇、光雾臭蛙等）</w:t>
                  </w:r>
                </w:p>
              </w:tc>
              <w:tc>
                <w:tcPr>
                  <w:tcW w:w="1769" w:type="dxa"/>
                  <w:vMerge w:val="restart"/>
                  <w:tcBorders>
                    <w:tl2br w:val="nil"/>
                    <w:tr2bl w:val="nil"/>
                  </w:tcBorders>
                  <w:vAlign w:val="center"/>
                </w:tcPr>
                <w:p w14:paraId="2FFA2E86">
                  <w:pPr>
                    <w:adjustRightInd w:val="0"/>
                    <w:snapToGrid w:val="0"/>
                    <w:jc w:val="center"/>
                    <w:textAlignment w:val="baseline"/>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施工扰动影响生境、扬尘噪声间接影响</w:t>
                  </w:r>
                </w:p>
              </w:tc>
            </w:tr>
            <w:tr w14:paraId="7DEADB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 w:hRule="atLeast"/>
                <w:jc w:val="center"/>
              </w:trPr>
              <w:tc>
                <w:tcPr>
                  <w:tcW w:w="561" w:type="dxa"/>
                  <w:vMerge w:val="continue"/>
                  <w:tcBorders>
                    <w:tl2br w:val="nil"/>
                    <w:tr2bl w:val="nil"/>
                  </w:tcBorders>
                  <w:vAlign w:val="center"/>
                </w:tcPr>
                <w:p w14:paraId="5DCAC245">
                  <w:pPr>
                    <w:autoSpaceDE w:val="0"/>
                    <w:autoSpaceDN w:val="0"/>
                    <w:adjustRightInd w:val="0"/>
                    <w:snapToGrid w:val="0"/>
                    <w:jc w:val="center"/>
                    <w:textAlignment w:val="baseline"/>
                    <w:rPr>
                      <w:rFonts w:hint="default" w:ascii="Times New Roman" w:hAnsi="Times New Roman" w:eastAsia="宋体" w:cs="Times New Roman"/>
                      <w:b/>
                      <w:color w:val="auto"/>
                      <w:kern w:val="0"/>
                      <w:szCs w:val="21"/>
                      <w:lang w:eastAsia="zh-CN"/>
                    </w:rPr>
                  </w:pPr>
                </w:p>
              </w:tc>
              <w:tc>
                <w:tcPr>
                  <w:tcW w:w="539" w:type="dxa"/>
                  <w:vMerge w:val="continue"/>
                  <w:tcBorders>
                    <w:tl2br w:val="nil"/>
                    <w:tr2bl w:val="nil"/>
                  </w:tcBorders>
                  <w:vAlign w:val="center"/>
                </w:tcPr>
                <w:p w14:paraId="63CC7834">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p>
              </w:tc>
              <w:tc>
                <w:tcPr>
                  <w:tcW w:w="1438" w:type="dxa"/>
                  <w:tcBorders>
                    <w:tl2br w:val="nil"/>
                    <w:tr2bl w:val="nil"/>
                  </w:tcBorders>
                  <w:shd w:val="clear" w:color="auto" w:fill="auto"/>
                  <w:vAlign w:val="center"/>
                </w:tcPr>
                <w:p w14:paraId="0929F8DD">
                  <w:pPr>
                    <w:autoSpaceDE w:val="0"/>
                    <w:autoSpaceDN w:val="0"/>
                    <w:adjustRightInd w:val="0"/>
                    <w:snapToGrid w:val="0"/>
                    <w:jc w:val="center"/>
                    <w:textAlignment w:val="baseline"/>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Cs w:val="21"/>
                      <w:lang w:eastAsia="zh-CN"/>
                    </w:rPr>
                    <w:t>特有动物</w:t>
                  </w:r>
                </w:p>
              </w:tc>
              <w:tc>
                <w:tcPr>
                  <w:tcW w:w="3575" w:type="dxa"/>
                  <w:tcBorders>
                    <w:tl2br w:val="nil"/>
                    <w:tr2bl w:val="nil"/>
                  </w:tcBorders>
                  <w:vAlign w:val="center"/>
                </w:tcPr>
                <w:p w14:paraId="40D26E60">
                  <w:pPr>
                    <w:autoSpaceDE w:val="0"/>
                    <w:autoSpaceDN w:val="0"/>
                    <w:adjustRightInd w:val="0"/>
                    <w:snapToGrid w:val="0"/>
                    <w:jc w:val="center"/>
                    <w:textAlignment w:val="baseline"/>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特有种5种（蹼趾壁虎、南江齿蟾等）</w:t>
                  </w:r>
                </w:p>
              </w:tc>
              <w:tc>
                <w:tcPr>
                  <w:tcW w:w="1769" w:type="dxa"/>
                  <w:vMerge w:val="continue"/>
                  <w:tcBorders>
                    <w:tl2br w:val="nil"/>
                    <w:tr2bl w:val="nil"/>
                  </w:tcBorders>
                  <w:vAlign w:val="center"/>
                </w:tcPr>
                <w:p w14:paraId="06642FE4">
                  <w:pPr>
                    <w:adjustRightInd w:val="0"/>
                    <w:snapToGrid w:val="0"/>
                    <w:jc w:val="center"/>
                    <w:textAlignment w:val="baseline"/>
                    <w:rPr>
                      <w:rFonts w:hint="default" w:ascii="Times New Roman" w:hAnsi="Times New Roman" w:eastAsia="宋体" w:cs="Times New Roman"/>
                      <w:color w:val="auto"/>
                      <w:kern w:val="0"/>
                      <w:szCs w:val="21"/>
                      <w:lang w:eastAsia="zh-CN"/>
                    </w:rPr>
                  </w:pPr>
                </w:p>
              </w:tc>
            </w:tr>
            <w:tr w14:paraId="6C4A42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 w:hRule="atLeast"/>
                <w:jc w:val="center"/>
              </w:trPr>
              <w:tc>
                <w:tcPr>
                  <w:tcW w:w="561" w:type="dxa"/>
                  <w:vMerge w:val="restart"/>
                  <w:tcBorders>
                    <w:tl2br w:val="nil"/>
                    <w:tr2bl w:val="nil"/>
                  </w:tcBorders>
                  <w:vAlign w:val="center"/>
                </w:tcPr>
                <w:p w14:paraId="394D1DF7">
                  <w:pPr>
                    <w:autoSpaceDE w:val="0"/>
                    <w:autoSpaceDN w:val="0"/>
                    <w:adjustRightInd w:val="0"/>
                    <w:snapToGrid w:val="0"/>
                    <w:jc w:val="center"/>
                    <w:textAlignment w:val="baseline"/>
                    <w:rPr>
                      <w:rFonts w:hint="default" w:ascii="Times New Roman" w:hAnsi="Times New Roman" w:eastAsia="宋体" w:cs="Times New Roman"/>
                      <w:b/>
                      <w:color w:val="auto"/>
                      <w:kern w:val="0"/>
                      <w:szCs w:val="21"/>
                      <w:lang w:eastAsia="zh-CN"/>
                    </w:rPr>
                  </w:pPr>
                  <w:r>
                    <w:rPr>
                      <w:rFonts w:hint="default" w:ascii="Times New Roman" w:hAnsi="Times New Roman" w:eastAsia="宋体" w:cs="Times New Roman"/>
                      <w:b w:val="0"/>
                      <w:bCs/>
                      <w:color w:val="auto"/>
                      <w:kern w:val="0"/>
                      <w:szCs w:val="21"/>
                      <w:lang w:eastAsia="zh-CN"/>
                    </w:rPr>
                    <w:t>其他需要保护的生态空间</w:t>
                  </w:r>
                </w:p>
              </w:tc>
              <w:tc>
                <w:tcPr>
                  <w:tcW w:w="1977" w:type="dxa"/>
                  <w:gridSpan w:val="2"/>
                  <w:tcBorders>
                    <w:tl2br w:val="nil"/>
                    <w:tr2bl w:val="nil"/>
                  </w:tcBorders>
                  <w:vAlign w:val="center"/>
                </w:tcPr>
                <w:p w14:paraId="3B795C51">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公益林</w:t>
                  </w:r>
                </w:p>
              </w:tc>
              <w:tc>
                <w:tcPr>
                  <w:tcW w:w="3575" w:type="dxa"/>
                  <w:tcBorders>
                    <w:tl2br w:val="nil"/>
                    <w:tr2bl w:val="nil"/>
                  </w:tcBorders>
                  <w:vAlign w:val="center"/>
                </w:tcPr>
                <w:p w14:paraId="2643910A">
                  <w:pPr>
                    <w:autoSpaceDE w:val="0"/>
                    <w:autoSpaceDN w:val="0"/>
                    <w:adjustRightInd w:val="0"/>
                    <w:snapToGrid w:val="0"/>
                    <w:jc w:val="center"/>
                    <w:textAlignment w:val="baseline"/>
                    <w:rPr>
                      <w:rFonts w:hint="default" w:ascii="Times New Roman" w:hAnsi="Times New Roman" w:eastAsia="宋体" w:cs="Times New Roman"/>
                      <w:color w:val="auto"/>
                      <w:kern w:val="0"/>
                      <w:szCs w:val="21"/>
                      <w:highlight w:val="none"/>
                      <w:lang w:eastAsia="zh-CN"/>
                    </w:rPr>
                  </w:pPr>
                  <w:r>
                    <w:rPr>
                      <w:rFonts w:hint="default" w:ascii="Times New Roman" w:hAnsi="Times New Roman" w:eastAsia="宋体" w:cs="Times New Roman"/>
                      <w:color w:val="auto"/>
                      <w:kern w:val="0"/>
                      <w:szCs w:val="21"/>
                      <w:highlight w:val="none"/>
                      <w:lang w:eastAsia="zh-CN"/>
                    </w:rPr>
                    <w:t>区域公益林以水青冈林为主</w:t>
                  </w:r>
                </w:p>
              </w:tc>
              <w:tc>
                <w:tcPr>
                  <w:tcW w:w="1769" w:type="dxa"/>
                  <w:tcBorders>
                    <w:tl2br w:val="nil"/>
                    <w:tr2bl w:val="nil"/>
                  </w:tcBorders>
                  <w:vAlign w:val="center"/>
                </w:tcPr>
                <w:p w14:paraId="520BC276">
                  <w:pPr>
                    <w:adjustRightInd w:val="0"/>
                    <w:snapToGrid w:val="0"/>
                    <w:jc w:val="center"/>
                    <w:textAlignment w:val="baseline"/>
                    <w:rPr>
                      <w:rFonts w:hint="default" w:ascii="Times New Roman" w:hAnsi="Times New Roman" w:eastAsia="宋体" w:cs="Times New Roman"/>
                      <w:bCs/>
                      <w:color w:val="auto"/>
                      <w:kern w:val="0"/>
                      <w:szCs w:val="21"/>
                      <w:highlight w:val="none"/>
                      <w:lang w:eastAsia="zh-CN"/>
                    </w:rPr>
                  </w:pPr>
                  <w:r>
                    <w:rPr>
                      <w:rFonts w:hint="default" w:ascii="Times New Roman" w:hAnsi="Times New Roman" w:eastAsia="宋体" w:cs="Times New Roman"/>
                      <w:bCs/>
                      <w:color w:val="auto"/>
                      <w:kern w:val="0"/>
                      <w:szCs w:val="21"/>
                      <w:highlight w:val="none"/>
                      <w:lang w:eastAsia="zh-CN"/>
                    </w:rPr>
                    <w:t>评价范围内涉及</w:t>
                  </w:r>
                  <w:r>
                    <w:rPr>
                      <w:rFonts w:hint="default" w:ascii="Times New Roman" w:hAnsi="Times New Roman" w:eastAsia="宋体" w:cs="Times New Roman"/>
                      <w:bCs/>
                      <w:color w:val="auto"/>
                      <w:kern w:val="0"/>
                      <w:szCs w:val="21"/>
                      <w:highlight w:val="none"/>
                      <w:lang w:val="en-US" w:eastAsia="zh-CN"/>
                    </w:rPr>
                    <w:t>4.61</w:t>
                  </w:r>
                  <w:r>
                    <w:rPr>
                      <w:rFonts w:hint="default" w:ascii="Times New Roman" w:hAnsi="Times New Roman" w:eastAsia="宋体" w:cs="Times New Roman"/>
                      <w:color w:val="auto"/>
                      <w:sz w:val="21"/>
                      <w:szCs w:val="21"/>
                      <w:highlight w:val="none"/>
                      <w:lang w:val="en-US" w:eastAsia="zh-CN"/>
                    </w:rPr>
                    <w:t>h</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bCs/>
                      <w:color w:val="auto"/>
                      <w:kern w:val="0"/>
                      <w:szCs w:val="21"/>
                      <w:highlight w:val="none"/>
                      <w:lang w:eastAsia="zh-CN"/>
                    </w:rPr>
                    <w:t>，工程不占用</w:t>
                  </w:r>
                </w:p>
              </w:tc>
            </w:tr>
            <w:tr w14:paraId="054B79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 w:hRule="atLeast"/>
                <w:jc w:val="center"/>
              </w:trPr>
              <w:tc>
                <w:tcPr>
                  <w:tcW w:w="561" w:type="dxa"/>
                  <w:vMerge w:val="continue"/>
                  <w:tcBorders>
                    <w:tl2br w:val="nil"/>
                    <w:tr2bl w:val="nil"/>
                  </w:tcBorders>
                  <w:vAlign w:val="center"/>
                </w:tcPr>
                <w:p w14:paraId="32845E42">
                  <w:pPr>
                    <w:autoSpaceDE w:val="0"/>
                    <w:autoSpaceDN w:val="0"/>
                    <w:adjustRightInd w:val="0"/>
                    <w:snapToGrid w:val="0"/>
                    <w:jc w:val="center"/>
                    <w:textAlignment w:val="baseline"/>
                    <w:rPr>
                      <w:rFonts w:hint="default" w:ascii="Times New Roman" w:hAnsi="Times New Roman" w:eastAsia="宋体" w:cs="Times New Roman"/>
                      <w:b w:val="0"/>
                      <w:bCs/>
                      <w:color w:val="auto"/>
                      <w:kern w:val="0"/>
                      <w:szCs w:val="21"/>
                      <w:lang w:eastAsia="zh-CN"/>
                    </w:rPr>
                  </w:pPr>
                </w:p>
              </w:tc>
              <w:tc>
                <w:tcPr>
                  <w:tcW w:w="1977" w:type="dxa"/>
                  <w:gridSpan w:val="2"/>
                  <w:tcBorders>
                    <w:tl2br w:val="nil"/>
                    <w:tr2bl w:val="nil"/>
                  </w:tcBorders>
                  <w:shd w:val="clear" w:color="auto" w:fill="auto"/>
                  <w:vAlign w:val="center"/>
                </w:tcPr>
                <w:p w14:paraId="6CB5A245">
                  <w:pPr>
                    <w:autoSpaceDE w:val="0"/>
                    <w:autoSpaceDN w:val="0"/>
                    <w:adjustRightInd w:val="0"/>
                    <w:snapToGrid w:val="0"/>
                    <w:jc w:val="center"/>
                    <w:textAlignment w:val="baseline"/>
                    <w:rPr>
                      <w:rFonts w:hint="default" w:ascii="Times New Roman" w:hAnsi="Times New Roman" w:eastAsia="宋体" w:cs="Times New Roman"/>
                      <w:color w:val="auto"/>
                      <w:kern w:val="24"/>
                      <w:sz w:val="21"/>
                      <w:szCs w:val="21"/>
                      <w:lang w:val="en-US" w:eastAsia="zh-CN" w:bidi="ar-SA"/>
                    </w:rPr>
                  </w:pPr>
                  <w:r>
                    <w:rPr>
                      <w:rFonts w:hint="default" w:ascii="Times New Roman" w:hAnsi="Times New Roman" w:eastAsia="宋体" w:cs="Times New Roman"/>
                      <w:color w:val="auto"/>
                      <w:kern w:val="24"/>
                      <w:szCs w:val="21"/>
                      <w:lang w:eastAsia="zh-CN"/>
                    </w:rPr>
                    <w:t>天然林</w:t>
                  </w:r>
                </w:p>
              </w:tc>
              <w:tc>
                <w:tcPr>
                  <w:tcW w:w="3575" w:type="dxa"/>
                  <w:tcBorders>
                    <w:tl2br w:val="nil"/>
                    <w:tr2bl w:val="nil"/>
                  </w:tcBorders>
                  <w:shd w:val="clear" w:color="auto" w:fill="auto"/>
                  <w:vAlign w:val="center"/>
                </w:tcPr>
                <w:p w14:paraId="71415A7D">
                  <w:pPr>
                    <w:autoSpaceDE w:val="0"/>
                    <w:autoSpaceDN w:val="0"/>
                    <w:adjustRightInd w:val="0"/>
                    <w:snapToGrid w:val="0"/>
                    <w:jc w:val="center"/>
                    <w:textAlignment w:val="baseline"/>
                    <w:rPr>
                      <w:rFonts w:hint="default" w:ascii="Times New Roman" w:hAnsi="Times New Roman" w:eastAsia="宋体" w:cs="Times New Roman"/>
                      <w:color w:val="auto"/>
                      <w:kern w:val="24"/>
                      <w:sz w:val="21"/>
                      <w:szCs w:val="21"/>
                      <w:highlight w:val="none"/>
                      <w:lang w:val="en-US" w:eastAsia="zh-CN" w:bidi="ar-SA"/>
                    </w:rPr>
                  </w:pPr>
                  <w:r>
                    <w:rPr>
                      <w:rFonts w:hint="default" w:ascii="Times New Roman" w:hAnsi="Times New Roman" w:eastAsia="宋体" w:cs="Times New Roman"/>
                      <w:color w:val="auto"/>
                      <w:kern w:val="0"/>
                      <w:szCs w:val="21"/>
                      <w:highlight w:val="none"/>
                      <w:lang w:eastAsia="zh-CN"/>
                    </w:rPr>
                    <w:t>区域公益林以水青冈林、柳杉林为主</w:t>
                  </w:r>
                </w:p>
              </w:tc>
              <w:tc>
                <w:tcPr>
                  <w:tcW w:w="1769" w:type="dxa"/>
                  <w:tcBorders>
                    <w:tl2br w:val="nil"/>
                    <w:tr2bl w:val="nil"/>
                  </w:tcBorders>
                  <w:shd w:val="clear" w:color="auto" w:fill="auto"/>
                  <w:vAlign w:val="center"/>
                </w:tcPr>
                <w:p w14:paraId="51D54658">
                  <w:pPr>
                    <w:adjustRightInd w:val="0"/>
                    <w:snapToGrid w:val="0"/>
                    <w:jc w:val="center"/>
                    <w:textAlignment w:val="baseline"/>
                    <w:rPr>
                      <w:rFonts w:hint="default" w:ascii="Times New Roman" w:hAnsi="Times New Roman" w:eastAsia="宋体" w:cs="Times New Roman"/>
                      <w:color w:val="auto"/>
                      <w:kern w:val="24"/>
                      <w:sz w:val="21"/>
                      <w:szCs w:val="21"/>
                      <w:highlight w:val="none"/>
                      <w:lang w:val="en-US" w:eastAsia="zh-CN" w:bidi="ar-SA"/>
                    </w:rPr>
                  </w:pPr>
                  <w:r>
                    <w:rPr>
                      <w:rFonts w:hint="default" w:ascii="Times New Roman" w:hAnsi="Times New Roman" w:eastAsia="宋体" w:cs="Times New Roman"/>
                      <w:bCs/>
                      <w:color w:val="auto"/>
                      <w:kern w:val="0"/>
                      <w:szCs w:val="21"/>
                      <w:highlight w:val="none"/>
                      <w:lang w:eastAsia="zh-CN"/>
                    </w:rPr>
                    <w:t>评价范围内涉及</w:t>
                  </w:r>
                  <w:r>
                    <w:rPr>
                      <w:rFonts w:hint="default" w:ascii="Times New Roman" w:hAnsi="Times New Roman" w:eastAsia="宋体" w:cs="Times New Roman"/>
                      <w:bCs/>
                      <w:color w:val="auto"/>
                      <w:kern w:val="0"/>
                      <w:szCs w:val="21"/>
                      <w:highlight w:val="none"/>
                      <w:lang w:val="en-US" w:eastAsia="zh-CN"/>
                    </w:rPr>
                    <w:t>16.38</w:t>
                  </w:r>
                  <w:r>
                    <w:rPr>
                      <w:rFonts w:hint="default" w:ascii="Times New Roman" w:hAnsi="Times New Roman" w:eastAsia="宋体" w:cs="Times New Roman"/>
                      <w:color w:val="auto"/>
                      <w:sz w:val="21"/>
                      <w:szCs w:val="21"/>
                      <w:highlight w:val="none"/>
                      <w:lang w:val="en-US" w:eastAsia="zh-CN"/>
                    </w:rPr>
                    <w:t>h</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bCs/>
                      <w:color w:val="auto"/>
                      <w:kern w:val="0"/>
                      <w:szCs w:val="21"/>
                      <w:highlight w:val="none"/>
                      <w:lang w:eastAsia="zh-CN"/>
                    </w:rPr>
                    <w:t>，工程不占用</w:t>
                  </w:r>
                </w:p>
              </w:tc>
            </w:tr>
            <w:tr w14:paraId="3CC00D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64" w:hRule="atLeast"/>
                <w:jc w:val="center"/>
              </w:trPr>
              <w:tc>
                <w:tcPr>
                  <w:tcW w:w="561" w:type="dxa"/>
                  <w:vMerge w:val="continue"/>
                  <w:tcBorders>
                    <w:tl2br w:val="nil"/>
                    <w:tr2bl w:val="nil"/>
                  </w:tcBorders>
                  <w:vAlign w:val="center"/>
                </w:tcPr>
                <w:p w14:paraId="7981DC1B">
                  <w:pPr>
                    <w:widowControl/>
                    <w:jc w:val="center"/>
                    <w:rPr>
                      <w:rFonts w:hint="default" w:ascii="Times New Roman" w:hAnsi="Times New Roman" w:eastAsia="宋体" w:cs="Times New Roman"/>
                      <w:b/>
                      <w:color w:val="auto"/>
                      <w:kern w:val="0"/>
                      <w:szCs w:val="21"/>
                    </w:rPr>
                  </w:pPr>
                </w:p>
              </w:tc>
              <w:tc>
                <w:tcPr>
                  <w:tcW w:w="1977" w:type="dxa"/>
                  <w:gridSpan w:val="2"/>
                  <w:tcBorders>
                    <w:tl2br w:val="nil"/>
                    <w:tr2bl w:val="nil"/>
                  </w:tcBorders>
                  <w:vAlign w:val="center"/>
                </w:tcPr>
                <w:p w14:paraId="18CBB752">
                  <w:pPr>
                    <w:autoSpaceDE w:val="0"/>
                    <w:autoSpaceDN w:val="0"/>
                    <w:adjustRightInd w:val="0"/>
                    <w:snapToGrid w:val="0"/>
                    <w:jc w:val="center"/>
                    <w:textAlignment w:val="baseline"/>
                    <w:rPr>
                      <w:rFonts w:hint="default" w:ascii="Times New Roman" w:hAnsi="Times New Roman" w:eastAsia="宋体" w:cs="Times New Roman"/>
                      <w:color w:val="auto"/>
                      <w:kern w:val="24"/>
                      <w:szCs w:val="21"/>
                      <w:lang w:eastAsia="zh-CN"/>
                    </w:rPr>
                  </w:pPr>
                  <w:r>
                    <w:rPr>
                      <w:rFonts w:hint="default" w:ascii="Times New Roman" w:hAnsi="Times New Roman" w:eastAsia="宋体" w:cs="Times New Roman"/>
                      <w:color w:val="auto"/>
                      <w:kern w:val="24"/>
                      <w:szCs w:val="21"/>
                      <w:lang w:eastAsia="zh-CN"/>
                    </w:rPr>
                    <w:t>基本农田</w:t>
                  </w:r>
                </w:p>
              </w:tc>
              <w:tc>
                <w:tcPr>
                  <w:tcW w:w="3575" w:type="dxa"/>
                  <w:tcBorders>
                    <w:tl2br w:val="nil"/>
                    <w:tr2bl w:val="nil"/>
                  </w:tcBorders>
                  <w:vAlign w:val="center"/>
                </w:tcPr>
                <w:p w14:paraId="6892459F">
                  <w:pPr>
                    <w:autoSpaceDE w:val="0"/>
                    <w:autoSpaceDN w:val="0"/>
                    <w:adjustRightInd w:val="0"/>
                    <w:snapToGrid w:val="0"/>
                    <w:jc w:val="center"/>
                    <w:textAlignment w:val="baseline"/>
                    <w:rPr>
                      <w:rFonts w:hint="default" w:ascii="Times New Roman" w:hAnsi="Times New Roman" w:eastAsia="宋体" w:cs="Times New Roman"/>
                      <w:color w:val="auto"/>
                      <w:kern w:val="24"/>
                      <w:szCs w:val="21"/>
                      <w:highlight w:val="none"/>
                    </w:rPr>
                  </w:pPr>
                  <w:r>
                    <w:rPr>
                      <w:rFonts w:hint="default" w:ascii="Times New Roman" w:hAnsi="Times New Roman" w:eastAsia="宋体" w:cs="Times New Roman"/>
                      <w:color w:val="auto"/>
                      <w:kern w:val="0"/>
                      <w:szCs w:val="21"/>
                      <w:highlight w:val="none"/>
                      <w:lang w:eastAsia="zh-CN"/>
                    </w:rPr>
                    <w:t>以旱地为主</w:t>
                  </w:r>
                </w:p>
              </w:tc>
              <w:tc>
                <w:tcPr>
                  <w:tcW w:w="1769" w:type="dxa"/>
                  <w:tcBorders>
                    <w:tl2br w:val="nil"/>
                    <w:tr2bl w:val="nil"/>
                  </w:tcBorders>
                  <w:vAlign w:val="center"/>
                </w:tcPr>
                <w:p w14:paraId="6BB9530A">
                  <w:pPr>
                    <w:adjustRightInd w:val="0"/>
                    <w:snapToGrid w:val="0"/>
                    <w:jc w:val="center"/>
                    <w:textAlignment w:val="baseline"/>
                    <w:rPr>
                      <w:rFonts w:hint="default" w:ascii="Times New Roman" w:hAnsi="Times New Roman" w:eastAsia="宋体" w:cs="Times New Roman"/>
                      <w:color w:val="auto"/>
                      <w:kern w:val="24"/>
                      <w:szCs w:val="21"/>
                      <w:highlight w:val="none"/>
                      <w:lang w:val="en-US" w:eastAsia="zh-CN"/>
                    </w:rPr>
                  </w:pPr>
                  <w:r>
                    <w:rPr>
                      <w:rFonts w:hint="default" w:ascii="Times New Roman" w:hAnsi="Times New Roman" w:eastAsia="宋体" w:cs="Times New Roman"/>
                      <w:bCs/>
                      <w:color w:val="auto"/>
                      <w:kern w:val="0"/>
                      <w:szCs w:val="21"/>
                      <w:highlight w:val="none"/>
                      <w:lang w:eastAsia="zh-CN"/>
                    </w:rPr>
                    <w:t>评价范围内涉及</w:t>
                  </w:r>
                  <w:r>
                    <w:rPr>
                      <w:rFonts w:hint="default" w:ascii="Times New Roman" w:hAnsi="Times New Roman" w:eastAsia="宋体" w:cs="Times New Roman"/>
                      <w:bCs/>
                      <w:color w:val="auto"/>
                      <w:kern w:val="0"/>
                      <w:szCs w:val="21"/>
                      <w:highlight w:val="none"/>
                      <w:lang w:val="en-US" w:eastAsia="zh-CN"/>
                    </w:rPr>
                    <w:t>7.44</w:t>
                  </w:r>
                  <w:r>
                    <w:rPr>
                      <w:rFonts w:hint="default" w:ascii="Times New Roman" w:hAnsi="Times New Roman" w:eastAsia="宋体" w:cs="Times New Roman"/>
                      <w:color w:val="auto"/>
                      <w:sz w:val="21"/>
                      <w:szCs w:val="21"/>
                      <w:highlight w:val="none"/>
                      <w:lang w:val="en-US" w:eastAsia="zh-CN"/>
                    </w:rPr>
                    <w:t>h</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bCs/>
                      <w:color w:val="auto"/>
                      <w:kern w:val="0"/>
                      <w:szCs w:val="21"/>
                      <w:highlight w:val="none"/>
                      <w:lang w:eastAsia="zh-CN"/>
                    </w:rPr>
                    <w:t>，工程不占用</w:t>
                  </w:r>
                </w:p>
              </w:tc>
            </w:tr>
            <w:tr w14:paraId="4A4AD2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66" w:hRule="atLeast"/>
                <w:jc w:val="center"/>
              </w:trPr>
              <w:tc>
                <w:tcPr>
                  <w:tcW w:w="561" w:type="dxa"/>
                  <w:vMerge w:val="continue"/>
                  <w:tcBorders>
                    <w:tl2br w:val="nil"/>
                    <w:tr2bl w:val="nil"/>
                  </w:tcBorders>
                  <w:vAlign w:val="center"/>
                </w:tcPr>
                <w:p w14:paraId="4EA5B62A">
                  <w:pPr>
                    <w:widowControl/>
                    <w:jc w:val="center"/>
                    <w:rPr>
                      <w:rFonts w:hint="default" w:ascii="Times New Roman" w:hAnsi="Times New Roman" w:eastAsia="宋体" w:cs="Times New Roman"/>
                      <w:b/>
                      <w:color w:val="auto"/>
                      <w:kern w:val="0"/>
                      <w:szCs w:val="21"/>
                    </w:rPr>
                  </w:pPr>
                </w:p>
              </w:tc>
              <w:tc>
                <w:tcPr>
                  <w:tcW w:w="1977" w:type="dxa"/>
                  <w:gridSpan w:val="2"/>
                  <w:tcBorders>
                    <w:tl2br w:val="nil"/>
                    <w:tr2bl w:val="nil"/>
                  </w:tcBorders>
                  <w:vAlign w:val="center"/>
                </w:tcPr>
                <w:p w14:paraId="3CB82A0F">
                  <w:pPr>
                    <w:autoSpaceDE w:val="0"/>
                    <w:autoSpaceDN w:val="0"/>
                    <w:adjustRightInd w:val="0"/>
                    <w:snapToGrid w:val="0"/>
                    <w:jc w:val="center"/>
                    <w:textAlignment w:val="baseline"/>
                    <w:rPr>
                      <w:rFonts w:hint="default" w:ascii="Times New Roman" w:hAnsi="Times New Roman" w:eastAsia="宋体" w:cs="Times New Roman"/>
                      <w:color w:val="auto"/>
                      <w:kern w:val="24"/>
                      <w:szCs w:val="21"/>
                      <w:lang w:eastAsia="zh-CN"/>
                    </w:rPr>
                  </w:pPr>
                  <w:r>
                    <w:rPr>
                      <w:rFonts w:hint="default" w:ascii="Times New Roman" w:hAnsi="Times New Roman" w:eastAsia="宋体" w:cs="Times New Roman"/>
                      <w:color w:val="auto"/>
                      <w:kern w:val="24"/>
                      <w:szCs w:val="21"/>
                      <w:lang w:eastAsia="zh-CN"/>
                    </w:rPr>
                    <w:t>基本草原</w:t>
                  </w:r>
                </w:p>
              </w:tc>
              <w:tc>
                <w:tcPr>
                  <w:tcW w:w="3575" w:type="dxa"/>
                  <w:tcBorders>
                    <w:tl2br w:val="nil"/>
                    <w:tr2bl w:val="nil"/>
                  </w:tcBorders>
                  <w:vAlign w:val="center"/>
                </w:tcPr>
                <w:p w14:paraId="2569372A">
                  <w:pPr>
                    <w:autoSpaceDE w:val="0"/>
                    <w:autoSpaceDN w:val="0"/>
                    <w:adjustRightInd w:val="0"/>
                    <w:snapToGrid w:val="0"/>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w:t>
                  </w:r>
                </w:p>
              </w:tc>
              <w:tc>
                <w:tcPr>
                  <w:tcW w:w="1769" w:type="dxa"/>
                  <w:tcBorders>
                    <w:tl2br w:val="nil"/>
                    <w:tr2bl w:val="nil"/>
                  </w:tcBorders>
                  <w:vAlign w:val="center"/>
                </w:tcPr>
                <w:p w14:paraId="73B7E7E5">
                  <w:pPr>
                    <w:adjustRightInd w:val="0"/>
                    <w:snapToGrid w:val="0"/>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w:t>
                  </w:r>
                </w:p>
              </w:tc>
            </w:tr>
          </w:tbl>
          <w:p w14:paraId="654A2817">
            <w:pPr>
              <w:pStyle w:val="19"/>
              <w:ind w:firstLine="0" w:firstLineChars="0"/>
              <w:rPr>
                <w:color w:val="auto"/>
                <w:sz w:val="15"/>
                <w:szCs w:val="15"/>
              </w:rPr>
            </w:pPr>
          </w:p>
        </w:tc>
      </w:tr>
      <w:tr w14:paraId="0825E6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7" w:type="pct"/>
            <w:vAlign w:val="center"/>
          </w:tcPr>
          <w:p w14:paraId="6393AF06">
            <w:pPr>
              <w:adjustRightInd w:val="0"/>
              <w:snapToGrid w:val="0"/>
              <w:jc w:val="center"/>
              <w:rPr>
                <w:color w:val="auto"/>
                <w:kern w:val="0"/>
                <w:sz w:val="24"/>
              </w:rPr>
            </w:pPr>
            <w:r>
              <w:rPr>
                <w:color w:val="auto"/>
                <w:kern w:val="0"/>
                <w:sz w:val="24"/>
              </w:rPr>
              <w:t>评价</w:t>
            </w:r>
          </w:p>
          <w:p w14:paraId="5BB35028">
            <w:pPr>
              <w:adjustRightInd w:val="0"/>
              <w:snapToGrid w:val="0"/>
              <w:jc w:val="center"/>
              <w:rPr>
                <w:color w:val="auto"/>
                <w:kern w:val="0"/>
                <w:szCs w:val="21"/>
              </w:rPr>
            </w:pPr>
            <w:r>
              <w:rPr>
                <w:color w:val="auto"/>
                <w:kern w:val="0"/>
                <w:sz w:val="24"/>
              </w:rPr>
              <w:t>标准</w:t>
            </w:r>
          </w:p>
        </w:tc>
        <w:tc>
          <w:tcPr>
            <w:tcW w:w="4752" w:type="pct"/>
          </w:tcPr>
          <w:p w14:paraId="61CBBF4B">
            <w:pPr>
              <w:numPr>
                <w:ilvl w:val="0"/>
                <w:numId w:val="6"/>
              </w:numPr>
              <w:adjustRightInd w:val="0"/>
              <w:snapToGrid w:val="0"/>
              <w:spacing w:before="120" w:beforeLines="50" w:line="360" w:lineRule="auto"/>
              <w:ind w:firstLine="482" w:firstLineChars="200"/>
              <w:rPr>
                <w:b/>
                <w:bCs/>
                <w:color w:val="auto"/>
                <w:kern w:val="0"/>
                <w:sz w:val="24"/>
              </w:rPr>
            </w:pPr>
            <w:r>
              <w:rPr>
                <w:b/>
                <w:bCs/>
                <w:color w:val="auto"/>
                <w:kern w:val="0"/>
                <w:sz w:val="24"/>
              </w:rPr>
              <w:t>环境质量标准</w:t>
            </w:r>
          </w:p>
          <w:p w14:paraId="406C5E60">
            <w:pPr>
              <w:adjustRightInd w:val="0"/>
              <w:snapToGrid w:val="0"/>
              <w:spacing w:line="360" w:lineRule="auto"/>
              <w:ind w:firstLine="482" w:firstLineChars="200"/>
              <w:rPr>
                <w:b/>
                <w:bCs/>
                <w:color w:val="auto"/>
                <w:kern w:val="0"/>
                <w:sz w:val="24"/>
              </w:rPr>
            </w:pPr>
            <w:r>
              <w:rPr>
                <w:b/>
                <w:bCs/>
                <w:color w:val="auto"/>
                <w:kern w:val="0"/>
                <w:sz w:val="24"/>
              </w:rPr>
              <w:t>1、环境空气质量标准</w:t>
            </w:r>
          </w:p>
          <w:p w14:paraId="1AFA4068">
            <w:pPr>
              <w:spacing w:line="360" w:lineRule="auto"/>
              <w:ind w:firstLine="480" w:firstLineChars="200"/>
              <w:rPr>
                <w:color w:val="auto"/>
                <w:sz w:val="24"/>
              </w:rPr>
            </w:pPr>
            <w:r>
              <w:rPr>
                <w:color w:val="auto"/>
                <w:sz w:val="24"/>
              </w:rPr>
              <w:t>环境空气质量执行《环境空气质量标准》</w:t>
            </w:r>
            <w:r>
              <w:rPr>
                <w:rFonts w:hint="eastAsia"/>
                <w:color w:val="auto"/>
                <w:sz w:val="24"/>
                <w:lang w:eastAsia="zh-CN"/>
              </w:rPr>
              <w:t>（</w:t>
            </w:r>
            <w:r>
              <w:rPr>
                <w:color w:val="auto"/>
                <w:sz w:val="24"/>
              </w:rPr>
              <w:t>GB3095-20</w:t>
            </w:r>
            <w:r>
              <w:rPr>
                <w:rFonts w:hint="eastAsia"/>
                <w:color w:val="auto"/>
                <w:sz w:val="24"/>
                <w:lang w:val="en-US" w:eastAsia="zh-CN"/>
              </w:rPr>
              <w:t>26</w:t>
            </w:r>
            <w:r>
              <w:rPr>
                <w:rFonts w:hint="eastAsia"/>
                <w:color w:val="auto"/>
                <w:sz w:val="24"/>
                <w:lang w:eastAsia="zh-CN"/>
              </w:rPr>
              <w:t>）</w:t>
            </w:r>
            <w:r>
              <w:rPr>
                <w:color w:val="auto"/>
                <w:sz w:val="24"/>
              </w:rPr>
              <w:t>中二级标准要求。</w:t>
            </w:r>
          </w:p>
          <w:p w14:paraId="5ED689B2">
            <w:pPr>
              <w:pStyle w:val="2"/>
              <w:rPr>
                <w:color w:val="auto"/>
              </w:rPr>
            </w:pPr>
          </w:p>
          <w:p w14:paraId="1FF086B6">
            <w:pPr>
              <w:widowControl/>
              <w:numPr>
                <w:ilvl w:val="0"/>
                <w:numId w:val="0"/>
              </w:numPr>
              <w:adjustRightInd w:val="0"/>
              <w:snapToGrid w:val="0"/>
              <w:ind w:leftChars="0"/>
              <w:jc w:val="center"/>
              <w:rPr>
                <w:rFonts w:hint="default"/>
                <w:b/>
                <w:color w:val="auto"/>
                <w:szCs w:val="18"/>
                <w:vertAlign w:val="superscript"/>
                <w:lang w:val="en-US" w:eastAsia="zh-CN"/>
              </w:rPr>
            </w:pPr>
            <w:r>
              <w:rPr>
                <w:rFonts w:hint="eastAsia"/>
                <w:b/>
                <w:color w:val="auto"/>
                <w:szCs w:val="18"/>
                <w:lang w:val="en-US" w:eastAsia="zh-CN"/>
              </w:rPr>
              <w:t xml:space="preserve">表3-22    </w:t>
            </w:r>
            <w:r>
              <w:rPr>
                <w:rFonts w:hint="default"/>
                <w:b/>
                <w:color w:val="auto"/>
                <w:szCs w:val="18"/>
                <w:lang w:val="en-US" w:eastAsia="zh-CN"/>
              </w:rPr>
              <w:t>环境空气质量标准  单位μg/m</w:t>
            </w:r>
            <w:r>
              <w:rPr>
                <w:rFonts w:hint="default"/>
                <w:b/>
                <w:color w:val="auto"/>
                <w:szCs w:val="18"/>
                <w:vertAlign w:val="superscript"/>
                <w:lang w:val="en-US" w:eastAsia="zh-CN"/>
              </w:rPr>
              <w:t>3</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80"/>
              <w:gridCol w:w="1941"/>
              <w:gridCol w:w="2059"/>
              <w:gridCol w:w="1282"/>
              <w:gridCol w:w="1320"/>
            </w:tblGrid>
            <w:tr w14:paraId="0D4A2D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noWrap/>
                  <w:vAlign w:val="center"/>
                </w:tcPr>
                <w:p w14:paraId="7D7EF0C6">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b/>
                      <w:bCs/>
                      <w:color w:val="auto"/>
                      <w:sz w:val="21"/>
                      <w:szCs w:val="21"/>
                      <w:lang w:val="en-US" w:eastAsia="zh-CN" w:bidi="en-US"/>
                    </w:rPr>
                  </w:pPr>
                  <w:r>
                    <w:rPr>
                      <w:rFonts w:hint="default" w:ascii="Times New Roman" w:hAnsi="Times New Roman" w:cs="Times New Roman"/>
                      <w:b/>
                      <w:bCs/>
                      <w:color w:val="auto"/>
                      <w:sz w:val="21"/>
                      <w:szCs w:val="21"/>
                      <w:lang w:val="en-US" w:eastAsia="zh-CN" w:bidi="en-US"/>
                    </w:rPr>
                    <w:t>污染物名称</w:t>
                  </w:r>
                </w:p>
              </w:tc>
              <w:tc>
                <w:tcPr>
                  <w:tcW w:w="1231" w:type="pct"/>
                  <w:noWrap/>
                  <w:vAlign w:val="center"/>
                </w:tcPr>
                <w:p w14:paraId="7A9E7A83">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b/>
                      <w:bCs/>
                      <w:color w:val="auto"/>
                      <w:sz w:val="21"/>
                      <w:szCs w:val="21"/>
                      <w:lang w:val="en-US" w:eastAsia="zh-CN" w:bidi="en-US"/>
                    </w:rPr>
                  </w:pPr>
                  <w:r>
                    <w:rPr>
                      <w:rFonts w:hint="default" w:ascii="Times New Roman" w:hAnsi="Times New Roman" w:cs="Times New Roman"/>
                      <w:b/>
                      <w:bCs/>
                      <w:color w:val="auto"/>
                      <w:sz w:val="21"/>
                      <w:szCs w:val="21"/>
                      <w:lang w:val="en-US" w:eastAsia="zh-CN" w:bidi="en-US"/>
                    </w:rPr>
                    <w:t>取值时间</w:t>
                  </w:r>
                </w:p>
              </w:tc>
              <w:tc>
                <w:tcPr>
                  <w:tcW w:w="1306" w:type="pct"/>
                  <w:noWrap w:val="0"/>
                  <w:vAlign w:val="center"/>
                </w:tcPr>
                <w:p w14:paraId="2919557E">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b/>
                      <w:bCs/>
                      <w:color w:val="auto"/>
                      <w:sz w:val="21"/>
                      <w:szCs w:val="21"/>
                      <w:lang w:val="en-US" w:eastAsia="zh-CN" w:bidi="en-US"/>
                    </w:rPr>
                  </w:pPr>
                  <w:r>
                    <w:rPr>
                      <w:rFonts w:hint="eastAsia" w:ascii="Times New Roman" w:hAnsi="Times New Roman" w:cs="Times New Roman"/>
                      <w:b/>
                      <w:bCs/>
                      <w:color w:val="auto"/>
                      <w:sz w:val="21"/>
                      <w:szCs w:val="21"/>
                      <w:lang w:val="en-US" w:eastAsia="zh-CN" w:bidi="en-US"/>
                    </w:rPr>
                    <w:t>过渡阶段</w:t>
                  </w:r>
                  <w:r>
                    <w:rPr>
                      <w:rFonts w:hint="default" w:ascii="Times New Roman" w:hAnsi="Times New Roman" w:cs="Times New Roman"/>
                      <w:b/>
                      <w:bCs/>
                      <w:color w:val="auto"/>
                      <w:sz w:val="21"/>
                      <w:szCs w:val="21"/>
                      <w:lang w:val="en-US" w:eastAsia="zh-CN" w:bidi="en-US"/>
                    </w:rPr>
                    <w:t>浓度限值</w:t>
                  </w:r>
                </w:p>
              </w:tc>
              <w:tc>
                <w:tcPr>
                  <w:tcW w:w="813" w:type="pct"/>
                  <w:noWrap w:val="0"/>
                  <w:vAlign w:val="center"/>
                </w:tcPr>
                <w:p w14:paraId="0AC817F9">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b/>
                      <w:bCs/>
                      <w:color w:val="auto"/>
                      <w:sz w:val="21"/>
                      <w:szCs w:val="21"/>
                      <w:lang w:val="en-US" w:eastAsia="zh-CN" w:bidi="en-US"/>
                    </w:rPr>
                  </w:pPr>
                  <w:r>
                    <w:rPr>
                      <w:rFonts w:hint="default" w:ascii="Times New Roman" w:hAnsi="Times New Roman" w:cs="Times New Roman"/>
                      <w:b/>
                      <w:bCs/>
                      <w:color w:val="auto"/>
                      <w:sz w:val="21"/>
                      <w:szCs w:val="21"/>
                      <w:lang w:val="en-US" w:eastAsia="zh-CN" w:bidi="en-US"/>
                    </w:rPr>
                    <w:t>浓度限值</w:t>
                  </w:r>
                </w:p>
              </w:tc>
              <w:tc>
                <w:tcPr>
                  <w:tcW w:w="837" w:type="pct"/>
                  <w:noWrap w:val="0"/>
                  <w:vAlign w:val="center"/>
                </w:tcPr>
                <w:p w14:paraId="31EE6D13">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b/>
                      <w:bCs/>
                      <w:color w:val="auto"/>
                      <w:sz w:val="21"/>
                      <w:szCs w:val="21"/>
                      <w:lang w:val="en-US" w:eastAsia="zh-CN" w:bidi="en-US"/>
                    </w:rPr>
                  </w:pPr>
                  <w:r>
                    <w:rPr>
                      <w:rFonts w:hint="default" w:ascii="Times New Roman" w:hAnsi="Times New Roman" w:cs="Times New Roman"/>
                      <w:b/>
                      <w:bCs/>
                      <w:color w:val="auto"/>
                      <w:sz w:val="21"/>
                      <w:szCs w:val="21"/>
                      <w:lang w:val="en-US" w:eastAsia="zh-CN" w:bidi="en-US"/>
                    </w:rPr>
                    <w:t>标准来源</w:t>
                  </w:r>
                </w:p>
              </w:tc>
            </w:tr>
            <w:tr w14:paraId="3FC093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restart"/>
                  <w:noWrap/>
                  <w:vAlign w:val="center"/>
                </w:tcPr>
                <w:p w14:paraId="1B2BF6B9">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SO</w:t>
                  </w:r>
                  <w:r>
                    <w:rPr>
                      <w:rFonts w:hint="default" w:ascii="Times New Roman" w:hAnsi="Times New Roman" w:cs="Times New Roman"/>
                      <w:color w:val="auto"/>
                      <w:sz w:val="21"/>
                      <w:szCs w:val="21"/>
                      <w:vertAlign w:val="subscript"/>
                      <w:lang w:val="en-US" w:eastAsia="zh-CN" w:bidi="en-US"/>
                    </w:rPr>
                    <w:t>2</w:t>
                  </w:r>
                </w:p>
              </w:tc>
              <w:tc>
                <w:tcPr>
                  <w:tcW w:w="1231" w:type="pct"/>
                  <w:noWrap/>
                  <w:vAlign w:val="center"/>
                </w:tcPr>
                <w:p w14:paraId="1A8FBE7E">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年平均</w:t>
                  </w:r>
                </w:p>
              </w:tc>
              <w:tc>
                <w:tcPr>
                  <w:tcW w:w="1306" w:type="pct"/>
                  <w:noWrap w:val="0"/>
                  <w:vAlign w:val="center"/>
                </w:tcPr>
                <w:p w14:paraId="6929130B">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60</w:t>
                  </w:r>
                </w:p>
              </w:tc>
              <w:tc>
                <w:tcPr>
                  <w:tcW w:w="813" w:type="pct"/>
                  <w:noWrap w:val="0"/>
                  <w:vAlign w:val="center"/>
                </w:tcPr>
                <w:p w14:paraId="0DBD4FEA">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20</w:t>
                  </w:r>
                </w:p>
              </w:tc>
              <w:tc>
                <w:tcPr>
                  <w:tcW w:w="837" w:type="pct"/>
                  <w:vMerge w:val="restart"/>
                  <w:noWrap w:val="0"/>
                  <w:vAlign w:val="center"/>
                </w:tcPr>
                <w:p w14:paraId="4427C0CE">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《环境空气质量标准》（GB3095-20</w:t>
                  </w:r>
                  <w:r>
                    <w:rPr>
                      <w:rFonts w:hint="eastAsia" w:ascii="Times New Roman" w:hAnsi="Times New Roman" w:cs="Times New Roman"/>
                      <w:color w:val="auto"/>
                      <w:sz w:val="21"/>
                      <w:szCs w:val="21"/>
                      <w:lang w:val="en-US" w:eastAsia="zh-CN" w:bidi="en-US"/>
                    </w:rPr>
                    <w:t>26</w:t>
                  </w:r>
                  <w:r>
                    <w:rPr>
                      <w:rFonts w:hint="default" w:ascii="Times New Roman" w:hAnsi="Times New Roman" w:cs="Times New Roman"/>
                      <w:color w:val="auto"/>
                      <w:sz w:val="21"/>
                      <w:szCs w:val="21"/>
                      <w:lang w:val="en-US" w:eastAsia="zh-CN" w:bidi="en-US"/>
                    </w:rPr>
                    <w:t>）</w:t>
                  </w:r>
                  <w:r>
                    <w:rPr>
                      <w:rFonts w:hint="eastAsia" w:ascii="Times New Roman" w:hAnsi="Times New Roman" w:cs="Times New Roman"/>
                      <w:color w:val="auto"/>
                      <w:sz w:val="21"/>
                      <w:szCs w:val="21"/>
                      <w:lang w:val="en-US" w:eastAsia="zh-CN" w:bidi="en-US"/>
                    </w:rPr>
                    <w:t>二级标准</w:t>
                  </w:r>
                </w:p>
              </w:tc>
            </w:tr>
            <w:tr w14:paraId="7E38BA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continue"/>
                  <w:noWrap/>
                  <w:vAlign w:val="center"/>
                </w:tcPr>
                <w:p w14:paraId="269772A5">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c>
                <w:tcPr>
                  <w:tcW w:w="1231" w:type="pct"/>
                  <w:noWrap/>
                  <w:vAlign w:val="center"/>
                </w:tcPr>
                <w:p w14:paraId="26F05828">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日</w:t>
                  </w:r>
                  <w:r>
                    <w:rPr>
                      <w:rFonts w:hint="default" w:ascii="Times New Roman" w:hAnsi="Times New Roman" w:cs="Times New Roman"/>
                      <w:color w:val="auto"/>
                      <w:sz w:val="21"/>
                      <w:szCs w:val="21"/>
                      <w:lang w:val="en-US" w:eastAsia="zh-CN" w:bidi="en-US"/>
                    </w:rPr>
                    <w:t>平均</w:t>
                  </w:r>
                </w:p>
              </w:tc>
              <w:tc>
                <w:tcPr>
                  <w:tcW w:w="1306" w:type="pct"/>
                  <w:noWrap w:val="0"/>
                  <w:vAlign w:val="center"/>
                </w:tcPr>
                <w:p w14:paraId="278558EE">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150</w:t>
                  </w:r>
                </w:p>
              </w:tc>
              <w:tc>
                <w:tcPr>
                  <w:tcW w:w="813" w:type="pct"/>
                  <w:noWrap w:val="0"/>
                  <w:vAlign w:val="center"/>
                </w:tcPr>
                <w:p w14:paraId="367E13CF">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50</w:t>
                  </w:r>
                </w:p>
              </w:tc>
              <w:tc>
                <w:tcPr>
                  <w:tcW w:w="837" w:type="pct"/>
                  <w:vMerge w:val="continue"/>
                  <w:noWrap w:val="0"/>
                  <w:vAlign w:val="center"/>
                </w:tcPr>
                <w:p w14:paraId="29082883">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r w14:paraId="5650F9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continue"/>
                  <w:noWrap/>
                  <w:vAlign w:val="center"/>
                </w:tcPr>
                <w:p w14:paraId="2CD7F10F">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c>
                <w:tcPr>
                  <w:tcW w:w="1231" w:type="pct"/>
                  <w:noWrap/>
                  <w:vAlign w:val="center"/>
                </w:tcPr>
                <w:p w14:paraId="25765C2B">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1小时平均</w:t>
                  </w:r>
                </w:p>
              </w:tc>
              <w:tc>
                <w:tcPr>
                  <w:tcW w:w="1306" w:type="pct"/>
                  <w:noWrap w:val="0"/>
                  <w:vAlign w:val="center"/>
                </w:tcPr>
                <w:p w14:paraId="17033551">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500</w:t>
                  </w:r>
                </w:p>
              </w:tc>
              <w:tc>
                <w:tcPr>
                  <w:tcW w:w="813" w:type="pct"/>
                  <w:noWrap w:val="0"/>
                  <w:vAlign w:val="center"/>
                </w:tcPr>
                <w:p w14:paraId="1B04420E">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150</w:t>
                  </w:r>
                </w:p>
              </w:tc>
              <w:tc>
                <w:tcPr>
                  <w:tcW w:w="837" w:type="pct"/>
                  <w:vMerge w:val="continue"/>
                  <w:noWrap w:val="0"/>
                  <w:vAlign w:val="center"/>
                </w:tcPr>
                <w:p w14:paraId="4086B36E">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r w14:paraId="594276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restart"/>
                  <w:noWrap/>
                  <w:vAlign w:val="center"/>
                </w:tcPr>
                <w:p w14:paraId="7FD2C00D">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NO</w:t>
                  </w:r>
                  <w:r>
                    <w:rPr>
                      <w:rFonts w:hint="default" w:ascii="Times New Roman" w:hAnsi="Times New Roman" w:cs="Times New Roman"/>
                      <w:color w:val="auto"/>
                      <w:sz w:val="21"/>
                      <w:szCs w:val="21"/>
                      <w:vertAlign w:val="subscript"/>
                      <w:lang w:val="en-US" w:eastAsia="zh-CN" w:bidi="en-US"/>
                    </w:rPr>
                    <w:t>2</w:t>
                  </w:r>
                </w:p>
              </w:tc>
              <w:tc>
                <w:tcPr>
                  <w:tcW w:w="1231" w:type="pct"/>
                  <w:noWrap/>
                  <w:vAlign w:val="center"/>
                </w:tcPr>
                <w:p w14:paraId="4102F9D7">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年平均</w:t>
                  </w:r>
                </w:p>
              </w:tc>
              <w:tc>
                <w:tcPr>
                  <w:tcW w:w="1306" w:type="pct"/>
                  <w:noWrap w:val="0"/>
                  <w:vAlign w:val="center"/>
                </w:tcPr>
                <w:p w14:paraId="2F97E67F">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40</w:t>
                  </w:r>
                </w:p>
              </w:tc>
              <w:tc>
                <w:tcPr>
                  <w:tcW w:w="813" w:type="pct"/>
                  <w:noWrap w:val="0"/>
                  <w:vAlign w:val="center"/>
                </w:tcPr>
                <w:p w14:paraId="4E63876D">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30</w:t>
                  </w:r>
                </w:p>
              </w:tc>
              <w:tc>
                <w:tcPr>
                  <w:tcW w:w="837" w:type="pct"/>
                  <w:vMerge w:val="continue"/>
                  <w:noWrap w:val="0"/>
                  <w:vAlign w:val="center"/>
                </w:tcPr>
                <w:p w14:paraId="6ADD2D96">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r w14:paraId="192827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continue"/>
                  <w:noWrap/>
                  <w:vAlign w:val="center"/>
                </w:tcPr>
                <w:p w14:paraId="3BA755C8">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c>
                <w:tcPr>
                  <w:tcW w:w="1231" w:type="pct"/>
                  <w:noWrap/>
                  <w:vAlign w:val="center"/>
                </w:tcPr>
                <w:p w14:paraId="110942DF">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日</w:t>
                  </w:r>
                  <w:r>
                    <w:rPr>
                      <w:rFonts w:hint="default" w:ascii="Times New Roman" w:hAnsi="Times New Roman" w:cs="Times New Roman"/>
                      <w:color w:val="auto"/>
                      <w:sz w:val="21"/>
                      <w:szCs w:val="21"/>
                      <w:lang w:val="en-US" w:eastAsia="zh-CN" w:bidi="en-US"/>
                    </w:rPr>
                    <w:t>平均</w:t>
                  </w:r>
                </w:p>
              </w:tc>
              <w:tc>
                <w:tcPr>
                  <w:tcW w:w="1306" w:type="pct"/>
                  <w:noWrap w:val="0"/>
                  <w:vAlign w:val="center"/>
                </w:tcPr>
                <w:p w14:paraId="243565EE">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80</w:t>
                  </w:r>
                </w:p>
              </w:tc>
              <w:tc>
                <w:tcPr>
                  <w:tcW w:w="813" w:type="pct"/>
                  <w:noWrap w:val="0"/>
                  <w:vAlign w:val="center"/>
                </w:tcPr>
                <w:p w14:paraId="085293CC">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50</w:t>
                  </w:r>
                </w:p>
              </w:tc>
              <w:tc>
                <w:tcPr>
                  <w:tcW w:w="837" w:type="pct"/>
                  <w:vMerge w:val="continue"/>
                  <w:noWrap w:val="0"/>
                  <w:vAlign w:val="center"/>
                </w:tcPr>
                <w:p w14:paraId="1A495458">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r w14:paraId="4497D9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continue"/>
                  <w:noWrap/>
                  <w:vAlign w:val="center"/>
                </w:tcPr>
                <w:p w14:paraId="78D45492">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c>
                <w:tcPr>
                  <w:tcW w:w="1231" w:type="pct"/>
                  <w:noWrap/>
                  <w:vAlign w:val="center"/>
                </w:tcPr>
                <w:p w14:paraId="356D311D">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1小时平均</w:t>
                  </w:r>
                </w:p>
              </w:tc>
              <w:tc>
                <w:tcPr>
                  <w:tcW w:w="1306" w:type="pct"/>
                  <w:noWrap w:val="0"/>
                  <w:vAlign w:val="center"/>
                </w:tcPr>
                <w:p w14:paraId="692145D0">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200</w:t>
                  </w:r>
                </w:p>
              </w:tc>
              <w:tc>
                <w:tcPr>
                  <w:tcW w:w="813" w:type="pct"/>
                  <w:noWrap w:val="0"/>
                  <w:vAlign w:val="center"/>
                </w:tcPr>
                <w:p w14:paraId="43DF26F7">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200</w:t>
                  </w:r>
                </w:p>
              </w:tc>
              <w:tc>
                <w:tcPr>
                  <w:tcW w:w="837" w:type="pct"/>
                  <w:vMerge w:val="continue"/>
                  <w:noWrap w:val="0"/>
                  <w:vAlign w:val="center"/>
                </w:tcPr>
                <w:p w14:paraId="0A015C2F">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r w14:paraId="3ED02D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restart"/>
                  <w:shd w:val="clear" w:color="auto" w:fill="auto"/>
                  <w:noWrap/>
                  <w:vAlign w:val="center"/>
                </w:tcPr>
                <w:p w14:paraId="4EE9B1F8">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default" w:ascii="Times New Roman" w:hAnsi="Times New Roman" w:cs="Times New Roman"/>
                      <w:color w:val="auto"/>
                      <w:sz w:val="21"/>
                      <w:szCs w:val="21"/>
                      <w:lang w:val="en-US" w:eastAsia="zh-CN" w:bidi="en-US"/>
                    </w:rPr>
                    <w:t>CO</w:t>
                  </w:r>
                </w:p>
              </w:tc>
              <w:tc>
                <w:tcPr>
                  <w:tcW w:w="1231" w:type="pct"/>
                  <w:shd w:val="clear" w:color="auto" w:fill="auto"/>
                  <w:noWrap/>
                  <w:vAlign w:val="center"/>
                </w:tcPr>
                <w:p w14:paraId="6F9D84C7">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eastAsia" w:ascii="Times New Roman" w:hAnsi="Times New Roman" w:cs="Times New Roman"/>
                      <w:color w:val="auto"/>
                      <w:sz w:val="21"/>
                      <w:szCs w:val="21"/>
                      <w:lang w:val="en-US" w:eastAsia="zh-CN" w:bidi="en-US"/>
                    </w:rPr>
                    <w:t>日</w:t>
                  </w:r>
                  <w:r>
                    <w:rPr>
                      <w:rFonts w:hint="default" w:ascii="Times New Roman" w:hAnsi="Times New Roman" w:cs="Times New Roman"/>
                      <w:color w:val="auto"/>
                      <w:sz w:val="21"/>
                      <w:szCs w:val="21"/>
                      <w:lang w:val="en-US" w:eastAsia="zh-CN" w:bidi="en-US"/>
                    </w:rPr>
                    <w:t>平均</w:t>
                  </w:r>
                </w:p>
              </w:tc>
              <w:tc>
                <w:tcPr>
                  <w:tcW w:w="1306" w:type="pct"/>
                  <w:shd w:val="clear" w:color="auto" w:fill="auto"/>
                  <w:noWrap w:val="0"/>
                  <w:vAlign w:val="center"/>
                </w:tcPr>
                <w:p w14:paraId="215E7B09">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default" w:ascii="Times New Roman" w:hAnsi="Times New Roman" w:cs="Times New Roman"/>
                      <w:color w:val="auto"/>
                      <w:sz w:val="21"/>
                      <w:szCs w:val="21"/>
                      <w:lang w:val="en-US" w:eastAsia="zh-CN" w:bidi="en-US"/>
                    </w:rPr>
                    <w:t>4000</w:t>
                  </w:r>
                </w:p>
              </w:tc>
              <w:tc>
                <w:tcPr>
                  <w:tcW w:w="813" w:type="pct"/>
                  <w:shd w:val="clear" w:color="auto" w:fill="auto"/>
                  <w:noWrap w:val="0"/>
                  <w:vAlign w:val="center"/>
                </w:tcPr>
                <w:p w14:paraId="493489A4">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4000</w:t>
                  </w:r>
                </w:p>
              </w:tc>
              <w:tc>
                <w:tcPr>
                  <w:tcW w:w="837" w:type="pct"/>
                  <w:vMerge w:val="continue"/>
                  <w:noWrap w:val="0"/>
                  <w:vAlign w:val="center"/>
                </w:tcPr>
                <w:p w14:paraId="3B1F8DB2">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r w14:paraId="4DD18A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continue"/>
                  <w:noWrap/>
                  <w:vAlign w:val="center"/>
                </w:tcPr>
                <w:p w14:paraId="1D004064">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c>
                <w:tcPr>
                  <w:tcW w:w="1231" w:type="pct"/>
                  <w:shd w:val="clear" w:color="auto" w:fill="auto"/>
                  <w:noWrap/>
                  <w:vAlign w:val="center"/>
                </w:tcPr>
                <w:p w14:paraId="60F9F51E">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eastAsia" w:ascii="Times New Roman" w:hAnsi="Times New Roman" w:cs="Times New Roman"/>
                      <w:color w:val="auto"/>
                      <w:sz w:val="21"/>
                      <w:szCs w:val="21"/>
                      <w:lang w:val="en-US" w:eastAsia="zh-CN" w:bidi="en-US"/>
                    </w:rPr>
                    <w:t>1</w:t>
                  </w:r>
                  <w:r>
                    <w:rPr>
                      <w:rFonts w:hint="default" w:ascii="Times New Roman" w:hAnsi="Times New Roman" w:cs="Times New Roman"/>
                      <w:color w:val="auto"/>
                      <w:sz w:val="21"/>
                      <w:szCs w:val="21"/>
                      <w:lang w:val="en-US" w:eastAsia="zh-CN" w:bidi="en-US"/>
                    </w:rPr>
                    <w:t>小时平均</w:t>
                  </w:r>
                </w:p>
              </w:tc>
              <w:tc>
                <w:tcPr>
                  <w:tcW w:w="1306" w:type="pct"/>
                  <w:shd w:val="clear" w:color="auto" w:fill="auto"/>
                  <w:noWrap w:val="0"/>
                  <w:vAlign w:val="center"/>
                </w:tcPr>
                <w:p w14:paraId="02A0492A">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default" w:ascii="Times New Roman" w:hAnsi="Times New Roman" w:cs="Times New Roman"/>
                      <w:color w:val="auto"/>
                      <w:sz w:val="21"/>
                      <w:szCs w:val="21"/>
                      <w:lang w:val="en-US" w:eastAsia="zh-CN" w:bidi="en-US"/>
                    </w:rPr>
                    <w:t>10000</w:t>
                  </w:r>
                </w:p>
              </w:tc>
              <w:tc>
                <w:tcPr>
                  <w:tcW w:w="813" w:type="pct"/>
                  <w:shd w:val="clear" w:color="auto" w:fill="auto"/>
                  <w:noWrap w:val="0"/>
                  <w:vAlign w:val="center"/>
                </w:tcPr>
                <w:p w14:paraId="135B85FD">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10000</w:t>
                  </w:r>
                </w:p>
              </w:tc>
              <w:tc>
                <w:tcPr>
                  <w:tcW w:w="837" w:type="pct"/>
                  <w:vMerge w:val="continue"/>
                  <w:noWrap w:val="0"/>
                  <w:vAlign w:val="center"/>
                </w:tcPr>
                <w:p w14:paraId="0469798E">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r w14:paraId="5FEB1D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restart"/>
                  <w:shd w:val="clear" w:color="auto" w:fill="auto"/>
                  <w:noWrap/>
                  <w:vAlign w:val="center"/>
                </w:tcPr>
                <w:p w14:paraId="52136537">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default" w:ascii="Times New Roman" w:hAnsi="Times New Roman" w:cs="Times New Roman"/>
                      <w:color w:val="auto"/>
                      <w:sz w:val="21"/>
                      <w:szCs w:val="21"/>
                      <w:lang w:val="en-US" w:eastAsia="zh-CN" w:bidi="en-US"/>
                    </w:rPr>
                    <w:t>O</w:t>
                  </w:r>
                  <w:r>
                    <w:rPr>
                      <w:rFonts w:hint="default" w:ascii="Times New Roman" w:hAnsi="Times New Roman" w:cs="Times New Roman"/>
                      <w:color w:val="auto"/>
                      <w:sz w:val="21"/>
                      <w:szCs w:val="21"/>
                      <w:vertAlign w:val="subscript"/>
                      <w:lang w:val="en-US" w:eastAsia="zh-CN" w:bidi="en-US"/>
                    </w:rPr>
                    <w:t>3</w:t>
                  </w:r>
                </w:p>
              </w:tc>
              <w:tc>
                <w:tcPr>
                  <w:tcW w:w="1231" w:type="pct"/>
                  <w:shd w:val="clear" w:color="auto" w:fill="auto"/>
                  <w:noWrap/>
                  <w:vAlign w:val="center"/>
                </w:tcPr>
                <w:p w14:paraId="795C57DE">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eastAsia" w:ascii="Times New Roman" w:hAnsi="Times New Roman" w:cs="Times New Roman"/>
                      <w:color w:val="auto"/>
                      <w:sz w:val="21"/>
                      <w:szCs w:val="21"/>
                      <w:lang w:val="en-US" w:eastAsia="zh-CN" w:bidi="en-US"/>
                    </w:rPr>
                    <w:t>日最大8小时</w:t>
                  </w:r>
                  <w:r>
                    <w:rPr>
                      <w:rFonts w:hint="default" w:ascii="Times New Roman" w:hAnsi="Times New Roman" w:cs="Times New Roman"/>
                      <w:color w:val="auto"/>
                      <w:sz w:val="21"/>
                      <w:szCs w:val="21"/>
                      <w:lang w:val="en-US" w:eastAsia="zh-CN" w:bidi="en-US"/>
                    </w:rPr>
                    <w:t>平均</w:t>
                  </w:r>
                </w:p>
              </w:tc>
              <w:tc>
                <w:tcPr>
                  <w:tcW w:w="1306" w:type="pct"/>
                  <w:shd w:val="clear" w:color="auto" w:fill="auto"/>
                  <w:noWrap w:val="0"/>
                  <w:vAlign w:val="center"/>
                </w:tcPr>
                <w:p w14:paraId="52574141">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default" w:ascii="Times New Roman" w:hAnsi="Times New Roman" w:cs="Times New Roman"/>
                      <w:color w:val="auto"/>
                      <w:sz w:val="21"/>
                      <w:szCs w:val="21"/>
                      <w:lang w:val="en-US" w:eastAsia="zh-CN" w:bidi="en-US"/>
                    </w:rPr>
                    <w:t>160</w:t>
                  </w:r>
                </w:p>
              </w:tc>
              <w:tc>
                <w:tcPr>
                  <w:tcW w:w="813" w:type="pct"/>
                  <w:shd w:val="clear" w:color="auto" w:fill="auto"/>
                  <w:noWrap w:val="0"/>
                  <w:vAlign w:val="center"/>
                </w:tcPr>
                <w:p w14:paraId="52A24565">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160</w:t>
                  </w:r>
                </w:p>
              </w:tc>
              <w:tc>
                <w:tcPr>
                  <w:tcW w:w="837" w:type="pct"/>
                  <w:vMerge w:val="continue"/>
                  <w:noWrap w:val="0"/>
                  <w:vAlign w:val="center"/>
                </w:tcPr>
                <w:p w14:paraId="4E002B3C">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r w14:paraId="1807BB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continue"/>
                  <w:noWrap/>
                  <w:vAlign w:val="center"/>
                </w:tcPr>
                <w:p w14:paraId="058AAB07">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c>
                <w:tcPr>
                  <w:tcW w:w="1231" w:type="pct"/>
                  <w:shd w:val="clear" w:color="auto" w:fill="auto"/>
                  <w:noWrap/>
                  <w:vAlign w:val="center"/>
                </w:tcPr>
                <w:p w14:paraId="18A39FEF">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eastAsia" w:ascii="Times New Roman" w:hAnsi="Times New Roman" w:cs="Times New Roman"/>
                      <w:color w:val="auto"/>
                      <w:sz w:val="21"/>
                      <w:szCs w:val="21"/>
                      <w:lang w:val="en-US" w:eastAsia="zh-CN" w:bidi="en-US"/>
                    </w:rPr>
                    <w:t>1</w:t>
                  </w:r>
                  <w:r>
                    <w:rPr>
                      <w:rFonts w:hint="default" w:ascii="Times New Roman" w:hAnsi="Times New Roman" w:cs="Times New Roman"/>
                      <w:color w:val="auto"/>
                      <w:sz w:val="21"/>
                      <w:szCs w:val="21"/>
                      <w:lang w:val="en-US" w:eastAsia="zh-CN" w:bidi="en-US"/>
                    </w:rPr>
                    <w:t>小时平均</w:t>
                  </w:r>
                </w:p>
              </w:tc>
              <w:tc>
                <w:tcPr>
                  <w:tcW w:w="1306" w:type="pct"/>
                  <w:shd w:val="clear" w:color="auto" w:fill="auto"/>
                  <w:noWrap w:val="0"/>
                  <w:vAlign w:val="center"/>
                </w:tcPr>
                <w:p w14:paraId="729D9856">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default" w:ascii="Times New Roman" w:hAnsi="Times New Roman" w:cs="Times New Roman"/>
                      <w:color w:val="auto"/>
                      <w:sz w:val="21"/>
                      <w:szCs w:val="21"/>
                      <w:lang w:val="en-US" w:eastAsia="zh-CN" w:bidi="en-US"/>
                    </w:rPr>
                    <w:t>200</w:t>
                  </w:r>
                </w:p>
              </w:tc>
              <w:tc>
                <w:tcPr>
                  <w:tcW w:w="813" w:type="pct"/>
                  <w:shd w:val="clear" w:color="auto" w:fill="auto"/>
                  <w:noWrap w:val="0"/>
                  <w:vAlign w:val="center"/>
                </w:tcPr>
                <w:p w14:paraId="26C32FA8">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200</w:t>
                  </w:r>
                </w:p>
              </w:tc>
              <w:tc>
                <w:tcPr>
                  <w:tcW w:w="837" w:type="pct"/>
                  <w:vMerge w:val="continue"/>
                  <w:noWrap w:val="0"/>
                  <w:vAlign w:val="center"/>
                </w:tcPr>
                <w:p w14:paraId="364DC010">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r w14:paraId="71DBF5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restart"/>
                  <w:noWrap/>
                  <w:vAlign w:val="center"/>
                </w:tcPr>
                <w:p w14:paraId="115D2E5D">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PM</w:t>
                  </w:r>
                  <w:r>
                    <w:rPr>
                      <w:rFonts w:hint="default" w:ascii="Times New Roman" w:hAnsi="Times New Roman" w:cs="Times New Roman"/>
                      <w:color w:val="auto"/>
                      <w:sz w:val="21"/>
                      <w:szCs w:val="21"/>
                      <w:vertAlign w:val="subscript"/>
                      <w:lang w:val="en-US" w:eastAsia="zh-CN" w:bidi="en-US"/>
                    </w:rPr>
                    <w:t>10</w:t>
                  </w:r>
                </w:p>
              </w:tc>
              <w:tc>
                <w:tcPr>
                  <w:tcW w:w="1231" w:type="pct"/>
                  <w:noWrap/>
                  <w:vAlign w:val="center"/>
                </w:tcPr>
                <w:p w14:paraId="36C7A84B">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年平均</w:t>
                  </w:r>
                </w:p>
              </w:tc>
              <w:tc>
                <w:tcPr>
                  <w:tcW w:w="1306" w:type="pct"/>
                  <w:noWrap w:val="0"/>
                  <w:vAlign w:val="center"/>
                </w:tcPr>
                <w:p w14:paraId="4BF48E4C">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60</w:t>
                  </w:r>
                </w:p>
              </w:tc>
              <w:tc>
                <w:tcPr>
                  <w:tcW w:w="813" w:type="pct"/>
                  <w:noWrap w:val="0"/>
                  <w:vAlign w:val="center"/>
                </w:tcPr>
                <w:p w14:paraId="5DFD9D4A">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50</w:t>
                  </w:r>
                </w:p>
              </w:tc>
              <w:tc>
                <w:tcPr>
                  <w:tcW w:w="837" w:type="pct"/>
                  <w:vMerge w:val="continue"/>
                  <w:noWrap w:val="0"/>
                  <w:vAlign w:val="center"/>
                </w:tcPr>
                <w:p w14:paraId="64D1BB76">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r w14:paraId="5F4AFD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continue"/>
                  <w:noWrap/>
                  <w:vAlign w:val="center"/>
                </w:tcPr>
                <w:p w14:paraId="0DBFF31B">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c>
                <w:tcPr>
                  <w:tcW w:w="1231" w:type="pct"/>
                  <w:noWrap/>
                  <w:vAlign w:val="center"/>
                </w:tcPr>
                <w:p w14:paraId="0E9E4A7E">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日</w:t>
                  </w:r>
                  <w:r>
                    <w:rPr>
                      <w:rFonts w:hint="default" w:ascii="Times New Roman" w:hAnsi="Times New Roman" w:cs="Times New Roman"/>
                      <w:color w:val="auto"/>
                      <w:sz w:val="21"/>
                      <w:szCs w:val="21"/>
                      <w:lang w:val="en-US" w:eastAsia="zh-CN" w:bidi="en-US"/>
                    </w:rPr>
                    <w:t>平均</w:t>
                  </w:r>
                </w:p>
              </w:tc>
              <w:tc>
                <w:tcPr>
                  <w:tcW w:w="1306" w:type="pct"/>
                  <w:noWrap w:val="0"/>
                  <w:vAlign w:val="center"/>
                </w:tcPr>
                <w:p w14:paraId="3D4D7C62">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120</w:t>
                  </w:r>
                </w:p>
              </w:tc>
              <w:tc>
                <w:tcPr>
                  <w:tcW w:w="813" w:type="pct"/>
                  <w:noWrap w:val="0"/>
                  <w:vAlign w:val="center"/>
                </w:tcPr>
                <w:p w14:paraId="1EB19743">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100</w:t>
                  </w:r>
                </w:p>
              </w:tc>
              <w:tc>
                <w:tcPr>
                  <w:tcW w:w="837" w:type="pct"/>
                  <w:vMerge w:val="continue"/>
                  <w:noWrap w:val="0"/>
                  <w:vAlign w:val="center"/>
                </w:tcPr>
                <w:p w14:paraId="236ECD09">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r w14:paraId="23794C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restart"/>
                  <w:shd w:val="clear" w:color="auto" w:fill="auto"/>
                  <w:noWrap/>
                  <w:vAlign w:val="center"/>
                </w:tcPr>
                <w:p w14:paraId="0644B01D">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PM</w:t>
                  </w:r>
                  <w:r>
                    <w:rPr>
                      <w:rFonts w:hint="default" w:ascii="Times New Roman" w:hAnsi="Times New Roman" w:cs="Times New Roman"/>
                      <w:color w:val="auto"/>
                      <w:sz w:val="21"/>
                      <w:szCs w:val="21"/>
                      <w:vertAlign w:val="subscript"/>
                      <w:lang w:val="en-US" w:eastAsia="zh-CN" w:bidi="en-US"/>
                    </w:rPr>
                    <w:t>2.5</w:t>
                  </w:r>
                </w:p>
              </w:tc>
              <w:tc>
                <w:tcPr>
                  <w:tcW w:w="1231" w:type="pct"/>
                  <w:shd w:val="clear" w:color="auto" w:fill="auto"/>
                  <w:noWrap/>
                  <w:vAlign w:val="center"/>
                </w:tcPr>
                <w:p w14:paraId="6132234A">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default" w:ascii="Times New Roman" w:hAnsi="Times New Roman" w:cs="Times New Roman"/>
                      <w:color w:val="auto"/>
                      <w:sz w:val="21"/>
                      <w:szCs w:val="21"/>
                      <w:lang w:val="en-US" w:eastAsia="zh-CN" w:bidi="en-US"/>
                    </w:rPr>
                    <w:t>年平均</w:t>
                  </w:r>
                </w:p>
              </w:tc>
              <w:tc>
                <w:tcPr>
                  <w:tcW w:w="1306" w:type="pct"/>
                  <w:shd w:val="clear" w:color="auto" w:fill="auto"/>
                  <w:noWrap w:val="0"/>
                  <w:vAlign w:val="center"/>
                </w:tcPr>
                <w:p w14:paraId="56479FA2">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eastAsia" w:ascii="Times New Roman" w:hAnsi="Times New Roman" w:cs="Times New Roman"/>
                      <w:color w:val="auto"/>
                      <w:sz w:val="21"/>
                      <w:szCs w:val="21"/>
                      <w:lang w:val="en-US" w:eastAsia="zh-CN" w:bidi="en-US"/>
                    </w:rPr>
                    <w:t>30</w:t>
                  </w:r>
                </w:p>
              </w:tc>
              <w:tc>
                <w:tcPr>
                  <w:tcW w:w="813" w:type="pct"/>
                  <w:shd w:val="clear" w:color="auto" w:fill="auto"/>
                  <w:noWrap w:val="0"/>
                  <w:vAlign w:val="center"/>
                </w:tcPr>
                <w:p w14:paraId="0D5D1AD9">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25</w:t>
                  </w:r>
                </w:p>
              </w:tc>
              <w:tc>
                <w:tcPr>
                  <w:tcW w:w="837" w:type="pct"/>
                  <w:vMerge w:val="continue"/>
                  <w:noWrap w:val="0"/>
                  <w:vAlign w:val="center"/>
                </w:tcPr>
                <w:p w14:paraId="5CF1749A">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r w14:paraId="76572D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continue"/>
                  <w:noWrap/>
                  <w:vAlign w:val="center"/>
                </w:tcPr>
                <w:p w14:paraId="2D97E254">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c>
                <w:tcPr>
                  <w:tcW w:w="1231" w:type="pct"/>
                  <w:shd w:val="clear" w:color="auto" w:fill="auto"/>
                  <w:noWrap/>
                  <w:vAlign w:val="center"/>
                </w:tcPr>
                <w:p w14:paraId="4C834EF8">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eastAsia" w:ascii="Times New Roman" w:hAnsi="Times New Roman" w:cs="Times New Roman"/>
                      <w:color w:val="auto"/>
                      <w:sz w:val="21"/>
                      <w:szCs w:val="21"/>
                      <w:lang w:val="en-US" w:eastAsia="zh-CN" w:bidi="en-US"/>
                    </w:rPr>
                    <w:t>日</w:t>
                  </w:r>
                  <w:r>
                    <w:rPr>
                      <w:rFonts w:hint="default" w:ascii="Times New Roman" w:hAnsi="Times New Roman" w:cs="Times New Roman"/>
                      <w:color w:val="auto"/>
                      <w:sz w:val="21"/>
                      <w:szCs w:val="21"/>
                      <w:lang w:val="en-US" w:eastAsia="zh-CN" w:bidi="en-US"/>
                    </w:rPr>
                    <w:t>平均</w:t>
                  </w:r>
                </w:p>
              </w:tc>
              <w:tc>
                <w:tcPr>
                  <w:tcW w:w="1306" w:type="pct"/>
                  <w:shd w:val="clear" w:color="auto" w:fill="auto"/>
                  <w:noWrap w:val="0"/>
                  <w:vAlign w:val="center"/>
                </w:tcPr>
                <w:p w14:paraId="37B0124F">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eastAsia" w:ascii="Times New Roman" w:hAnsi="Times New Roman" w:cs="Times New Roman"/>
                      <w:color w:val="auto"/>
                      <w:sz w:val="21"/>
                      <w:szCs w:val="21"/>
                      <w:lang w:val="en-US" w:eastAsia="zh-CN" w:bidi="en-US"/>
                    </w:rPr>
                    <w:t>60</w:t>
                  </w:r>
                </w:p>
              </w:tc>
              <w:tc>
                <w:tcPr>
                  <w:tcW w:w="813" w:type="pct"/>
                  <w:shd w:val="clear" w:color="auto" w:fill="auto"/>
                  <w:noWrap w:val="0"/>
                  <w:vAlign w:val="center"/>
                </w:tcPr>
                <w:p w14:paraId="1ECEFFB3">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50</w:t>
                  </w:r>
                </w:p>
              </w:tc>
              <w:tc>
                <w:tcPr>
                  <w:tcW w:w="837" w:type="pct"/>
                  <w:vMerge w:val="continue"/>
                  <w:noWrap w:val="0"/>
                  <w:vAlign w:val="center"/>
                </w:tcPr>
                <w:p w14:paraId="31D6C962">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bl>
          <w:p w14:paraId="5DEFA614">
            <w:pPr>
              <w:adjustRightInd w:val="0"/>
              <w:snapToGrid w:val="0"/>
              <w:spacing w:before="120" w:beforeLines="50" w:line="360" w:lineRule="auto"/>
              <w:ind w:firstLine="482" w:firstLineChars="200"/>
              <w:rPr>
                <w:color w:val="auto"/>
                <w:kern w:val="0"/>
                <w:sz w:val="24"/>
              </w:rPr>
            </w:pPr>
            <w:r>
              <w:rPr>
                <w:b/>
                <w:bCs/>
                <w:color w:val="auto"/>
                <w:kern w:val="0"/>
                <w:sz w:val="24"/>
              </w:rPr>
              <w:t>2、地表水环境质量标准</w:t>
            </w:r>
          </w:p>
          <w:p w14:paraId="20EABED6">
            <w:pPr>
              <w:adjustRightInd w:val="0"/>
              <w:snapToGrid w:val="0"/>
              <w:spacing w:line="360" w:lineRule="auto"/>
              <w:ind w:firstLine="480" w:firstLineChars="200"/>
              <w:rPr>
                <w:b/>
                <w:bCs/>
                <w:color w:val="auto"/>
                <w:kern w:val="0"/>
                <w:szCs w:val="21"/>
              </w:rPr>
            </w:pPr>
            <w:r>
              <w:rPr>
                <w:color w:val="auto"/>
                <w:kern w:val="0"/>
                <w:sz w:val="24"/>
              </w:rPr>
              <w:t>本项目区域地表水执行《地表水环境质量标准》（GB3838–2002）Ⅲ类水域标准，具体标准值见下表。</w:t>
            </w:r>
          </w:p>
          <w:p w14:paraId="0D27AED6">
            <w:pPr>
              <w:adjustRightInd w:val="0"/>
              <w:snapToGrid w:val="0"/>
              <w:jc w:val="center"/>
              <w:rPr>
                <w:b/>
                <w:bCs/>
                <w:color w:val="auto"/>
                <w:kern w:val="0"/>
                <w:szCs w:val="21"/>
              </w:rPr>
            </w:pPr>
            <w:r>
              <w:rPr>
                <w:b/>
                <w:bCs/>
                <w:color w:val="auto"/>
                <w:kern w:val="0"/>
                <w:szCs w:val="21"/>
              </w:rPr>
              <w:t>表3-</w:t>
            </w:r>
            <w:r>
              <w:rPr>
                <w:rFonts w:hint="eastAsia"/>
                <w:b/>
                <w:bCs/>
                <w:color w:val="auto"/>
                <w:kern w:val="0"/>
                <w:szCs w:val="21"/>
              </w:rPr>
              <w:t>10</w:t>
            </w:r>
            <w:r>
              <w:rPr>
                <w:b/>
                <w:bCs/>
                <w:color w:val="auto"/>
                <w:kern w:val="0"/>
                <w:szCs w:val="21"/>
              </w:rPr>
              <w:t xml:space="preserve">  地表水环境质量标准限值  单位：mg/L</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59"/>
              <w:gridCol w:w="892"/>
              <w:gridCol w:w="871"/>
              <w:gridCol w:w="854"/>
              <w:gridCol w:w="893"/>
              <w:gridCol w:w="881"/>
              <w:gridCol w:w="854"/>
              <w:gridCol w:w="893"/>
              <w:gridCol w:w="885"/>
            </w:tblGrid>
            <w:tr w14:paraId="2E9C4B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57" w:type="dxa"/>
                  <w:tcBorders>
                    <w:tl2br w:val="nil"/>
                    <w:tr2bl w:val="nil"/>
                  </w:tcBorders>
                  <w:vAlign w:val="center"/>
                </w:tcPr>
                <w:p w14:paraId="6AF81431">
                  <w:pPr>
                    <w:autoSpaceDE w:val="0"/>
                    <w:autoSpaceDN w:val="0"/>
                    <w:jc w:val="center"/>
                    <w:rPr>
                      <w:b/>
                      <w:bCs/>
                      <w:color w:val="auto"/>
                      <w:szCs w:val="21"/>
                      <w:lang w:bidi="zh-CN"/>
                    </w:rPr>
                  </w:pPr>
                  <w:r>
                    <w:rPr>
                      <w:b/>
                      <w:bCs/>
                      <w:color w:val="auto"/>
                      <w:szCs w:val="21"/>
                      <w:lang w:bidi="zh-CN"/>
                    </w:rPr>
                    <w:t>项目</w:t>
                  </w:r>
                </w:p>
              </w:tc>
              <w:tc>
                <w:tcPr>
                  <w:tcW w:w="890" w:type="dxa"/>
                  <w:tcBorders>
                    <w:tl2br w:val="nil"/>
                    <w:tr2bl w:val="nil"/>
                  </w:tcBorders>
                  <w:vAlign w:val="center"/>
                </w:tcPr>
                <w:p w14:paraId="48998CCB">
                  <w:pPr>
                    <w:autoSpaceDE w:val="0"/>
                    <w:autoSpaceDN w:val="0"/>
                    <w:jc w:val="center"/>
                    <w:rPr>
                      <w:b/>
                      <w:bCs/>
                      <w:color w:val="auto"/>
                      <w:szCs w:val="21"/>
                      <w:lang w:bidi="zh-CN"/>
                    </w:rPr>
                  </w:pPr>
                  <w:r>
                    <w:rPr>
                      <w:b/>
                      <w:bCs/>
                      <w:color w:val="auto"/>
                      <w:szCs w:val="21"/>
                      <w:lang w:bidi="zh-CN"/>
                    </w:rPr>
                    <w:t>单位</w:t>
                  </w:r>
                </w:p>
              </w:tc>
              <w:tc>
                <w:tcPr>
                  <w:tcW w:w="869" w:type="dxa"/>
                  <w:tcBorders>
                    <w:tl2br w:val="nil"/>
                    <w:tr2bl w:val="nil"/>
                  </w:tcBorders>
                  <w:vAlign w:val="center"/>
                </w:tcPr>
                <w:p w14:paraId="1C9A2DEC">
                  <w:pPr>
                    <w:autoSpaceDE w:val="0"/>
                    <w:autoSpaceDN w:val="0"/>
                    <w:adjustRightInd w:val="0"/>
                    <w:snapToGrid w:val="0"/>
                    <w:spacing w:line="312" w:lineRule="exact"/>
                    <w:jc w:val="center"/>
                    <w:rPr>
                      <w:b/>
                      <w:bCs/>
                      <w:color w:val="auto"/>
                      <w:szCs w:val="21"/>
                      <w:lang w:bidi="zh-CN"/>
                    </w:rPr>
                  </w:pPr>
                  <w:r>
                    <w:rPr>
                      <w:b/>
                      <w:bCs/>
                      <w:color w:val="auto"/>
                      <w:szCs w:val="21"/>
                      <w:lang w:bidi="zh-CN"/>
                    </w:rPr>
                    <w:t>标准限值</w:t>
                  </w:r>
                </w:p>
              </w:tc>
              <w:tc>
                <w:tcPr>
                  <w:tcW w:w="851" w:type="dxa"/>
                  <w:tcBorders>
                    <w:tl2br w:val="nil"/>
                    <w:tr2bl w:val="nil"/>
                  </w:tcBorders>
                  <w:vAlign w:val="center"/>
                </w:tcPr>
                <w:p w14:paraId="5BF4FDCE">
                  <w:pPr>
                    <w:autoSpaceDE w:val="0"/>
                    <w:autoSpaceDN w:val="0"/>
                    <w:jc w:val="center"/>
                    <w:rPr>
                      <w:b/>
                      <w:bCs/>
                      <w:color w:val="auto"/>
                      <w:szCs w:val="21"/>
                      <w:lang w:bidi="zh-CN"/>
                    </w:rPr>
                  </w:pPr>
                  <w:r>
                    <w:rPr>
                      <w:b/>
                      <w:bCs/>
                      <w:color w:val="auto"/>
                      <w:szCs w:val="21"/>
                      <w:lang w:bidi="zh-CN"/>
                    </w:rPr>
                    <w:t>项目</w:t>
                  </w:r>
                </w:p>
              </w:tc>
              <w:tc>
                <w:tcPr>
                  <w:tcW w:w="890" w:type="dxa"/>
                  <w:tcBorders>
                    <w:tl2br w:val="nil"/>
                    <w:tr2bl w:val="nil"/>
                  </w:tcBorders>
                  <w:vAlign w:val="center"/>
                </w:tcPr>
                <w:p w14:paraId="3F469CD4">
                  <w:pPr>
                    <w:autoSpaceDE w:val="0"/>
                    <w:autoSpaceDN w:val="0"/>
                    <w:jc w:val="center"/>
                    <w:rPr>
                      <w:b/>
                      <w:bCs/>
                      <w:color w:val="auto"/>
                      <w:szCs w:val="21"/>
                      <w:lang w:bidi="zh-CN"/>
                    </w:rPr>
                  </w:pPr>
                  <w:r>
                    <w:rPr>
                      <w:b/>
                      <w:bCs/>
                      <w:color w:val="auto"/>
                      <w:szCs w:val="21"/>
                      <w:lang w:bidi="zh-CN"/>
                    </w:rPr>
                    <w:t>单位</w:t>
                  </w:r>
                </w:p>
              </w:tc>
              <w:tc>
                <w:tcPr>
                  <w:tcW w:w="878" w:type="dxa"/>
                  <w:tcBorders>
                    <w:tl2br w:val="nil"/>
                    <w:tr2bl w:val="nil"/>
                  </w:tcBorders>
                  <w:vAlign w:val="center"/>
                </w:tcPr>
                <w:p w14:paraId="3944E5FF">
                  <w:pPr>
                    <w:autoSpaceDE w:val="0"/>
                    <w:autoSpaceDN w:val="0"/>
                    <w:adjustRightInd w:val="0"/>
                    <w:snapToGrid w:val="0"/>
                    <w:spacing w:line="312" w:lineRule="exact"/>
                    <w:jc w:val="center"/>
                    <w:rPr>
                      <w:b/>
                      <w:bCs/>
                      <w:color w:val="auto"/>
                      <w:szCs w:val="21"/>
                      <w:lang w:bidi="zh-CN"/>
                    </w:rPr>
                  </w:pPr>
                  <w:r>
                    <w:rPr>
                      <w:b/>
                      <w:bCs/>
                      <w:color w:val="auto"/>
                      <w:szCs w:val="21"/>
                      <w:lang w:bidi="zh-CN"/>
                    </w:rPr>
                    <w:t>标准限值</w:t>
                  </w:r>
                </w:p>
              </w:tc>
              <w:tc>
                <w:tcPr>
                  <w:tcW w:w="851" w:type="dxa"/>
                  <w:tcBorders>
                    <w:tl2br w:val="nil"/>
                    <w:tr2bl w:val="nil"/>
                  </w:tcBorders>
                  <w:vAlign w:val="center"/>
                </w:tcPr>
                <w:p w14:paraId="0266B69F">
                  <w:pPr>
                    <w:autoSpaceDE w:val="0"/>
                    <w:autoSpaceDN w:val="0"/>
                    <w:jc w:val="center"/>
                    <w:rPr>
                      <w:b/>
                      <w:bCs/>
                      <w:color w:val="auto"/>
                      <w:szCs w:val="21"/>
                      <w:lang w:bidi="zh-CN"/>
                    </w:rPr>
                  </w:pPr>
                  <w:r>
                    <w:rPr>
                      <w:b/>
                      <w:bCs/>
                      <w:color w:val="auto"/>
                      <w:szCs w:val="21"/>
                      <w:lang w:bidi="zh-CN"/>
                    </w:rPr>
                    <w:t>项目</w:t>
                  </w:r>
                </w:p>
              </w:tc>
              <w:tc>
                <w:tcPr>
                  <w:tcW w:w="890" w:type="dxa"/>
                  <w:tcBorders>
                    <w:tl2br w:val="nil"/>
                    <w:tr2bl w:val="nil"/>
                  </w:tcBorders>
                  <w:vAlign w:val="center"/>
                </w:tcPr>
                <w:p w14:paraId="72D1E702">
                  <w:pPr>
                    <w:autoSpaceDE w:val="0"/>
                    <w:autoSpaceDN w:val="0"/>
                    <w:jc w:val="center"/>
                    <w:rPr>
                      <w:b/>
                      <w:bCs/>
                      <w:color w:val="auto"/>
                      <w:szCs w:val="21"/>
                      <w:lang w:bidi="zh-CN"/>
                    </w:rPr>
                  </w:pPr>
                  <w:r>
                    <w:rPr>
                      <w:b/>
                      <w:bCs/>
                      <w:color w:val="auto"/>
                      <w:szCs w:val="21"/>
                      <w:lang w:bidi="zh-CN"/>
                    </w:rPr>
                    <w:t>单位</w:t>
                  </w:r>
                </w:p>
              </w:tc>
              <w:tc>
                <w:tcPr>
                  <w:tcW w:w="882" w:type="dxa"/>
                  <w:tcBorders>
                    <w:tl2br w:val="nil"/>
                    <w:tr2bl w:val="nil"/>
                  </w:tcBorders>
                  <w:vAlign w:val="center"/>
                </w:tcPr>
                <w:p w14:paraId="58569A53">
                  <w:pPr>
                    <w:autoSpaceDE w:val="0"/>
                    <w:autoSpaceDN w:val="0"/>
                    <w:adjustRightInd w:val="0"/>
                    <w:snapToGrid w:val="0"/>
                    <w:spacing w:line="312" w:lineRule="exact"/>
                    <w:jc w:val="center"/>
                    <w:rPr>
                      <w:b/>
                      <w:bCs/>
                      <w:color w:val="auto"/>
                      <w:szCs w:val="21"/>
                      <w:lang w:bidi="zh-CN"/>
                    </w:rPr>
                  </w:pPr>
                  <w:r>
                    <w:rPr>
                      <w:b/>
                      <w:bCs/>
                      <w:color w:val="auto"/>
                      <w:szCs w:val="21"/>
                      <w:lang w:bidi="zh-CN"/>
                    </w:rPr>
                    <w:t>标准限值</w:t>
                  </w:r>
                </w:p>
              </w:tc>
            </w:tr>
            <w:tr w14:paraId="4DB155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57" w:type="dxa"/>
                  <w:tcBorders>
                    <w:tl2br w:val="nil"/>
                    <w:tr2bl w:val="nil"/>
                  </w:tcBorders>
                  <w:vAlign w:val="center"/>
                </w:tcPr>
                <w:p w14:paraId="78ECC402">
                  <w:pPr>
                    <w:autoSpaceDE w:val="0"/>
                    <w:autoSpaceDN w:val="0"/>
                    <w:jc w:val="center"/>
                    <w:rPr>
                      <w:color w:val="auto"/>
                      <w:szCs w:val="21"/>
                    </w:rPr>
                  </w:pPr>
                  <w:r>
                    <w:rPr>
                      <w:color w:val="auto"/>
                      <w:szCs w:val="21"/>
                      <w:lang w:bidi="zh-CN"/>
                    </w:rPr>
                    <w:t>pH</w:t>
                  </w:r>
                </w:p>
              </w:tc>
              <w:tc>
                <w:tcPr>
                  <w:tcW w:w="890" w:type="dxa"/>
                  <w:tcBorders>
                    <w:tl2br w:val="nil"/>
                    <w:tr2bl w:val="nil"/>
                  </w:tcBorders>
                  <w:vAlign w:val="center"/>
                </w:tcPr>
                <w:p w14:paraId="769779DD">
                  <w:pPr>
                    <w:autoSpaceDE w:val="0"/>
                    <w:autoSpaceDN w:val="0"/>
                    <w:jc w:val="center"/>
                    <w:rPr>
                      <w:color w:val="auto"/>
                      <w:szCs w:val="21"/>
                    </w:rPr>
                  </w:pPr>
                  <w:r>
                    <w:rPr>
                      <w:color w:val="auto"/>
                      <w:szCs w:val="21"/>
                      <w:lang w:bidi="zh-CN"/>
                    </w:rPr>
                    <w:t>无量纲</w:t>
                  </w:r>
                </w:p>
              </w:tc>
              <w:tc>
                <w:tcPr>
                  <w:tcW w:w="869" w:type="dxa"/>
                  <w:tcBorders>
                    <w:tl2br w:val="nil"/>
                    <w:tr2bl w:val="nil"/>
                  </w:tcBorders>
                  <w:vAlign w:val="center"/>
                </w:tcPr>
                <w:p w14:paraId="783B4776">
                  <w:pPr>
                    <w:autoSpaceDE w:val="0"/>
                    <w:autoSpaceDN w:val="0"/>
                    <w:adjustRightInd w:val="0"/>
                    <w:snapToGrid w:val="0"/>
                    <w:spacing w:line="312" w:lineRule="exact"/>
                    <w:jc w:val="center"/>
                    <w:rPr>
                      <w:bCs/>
                      <w:color w:val="auto"/>
                      <w:szCs w:val="21"/>
                      <w:lang w:bidi="zh-CN"/>
                    </w:rPr>
                  </w:pPr>
                  <w:r>
                    <w:rPr>
                      <w:bCs/>
                      <w:color w:val="auto"/>
                      <w:szCs w:val="21"/>
                      <w:lang w:bidi="zh-CN"/>
                    </w:rPr>
                    <w:t>6~9</w:t>
                  </w:r>
                </w:p>
              </w:tc>
              <w:tc>
                <w:tcPr>
                  <w:tcW w:w="851" w:type="dxa"/>
                  <w:tcBorders>
                    <w:tl2br w:val="nil"/>
                    <w:tr2bl w:val="nil"/>
                  </w:tcBorders>
                  <w:vAlign w:val="center"/>
                </w:tcPr>
                <w:p w14:paraId="0674F6C7">
                  <w:pPr>
                    <w:autoSpaceDE w:val="0"/>
                    <w:autoSpaceDN w:val="0"/>
                    <w:jc w:val="center"/>
                    <w:rPr>
                      <w:color w:val="auto"/>
                      <w:szCs w:val="21"/>
                    </w:rPr>
                  </w:pPr>
                  <w:r>
                    <w:rPr>
                      <w:color w:val="auto"/>
                      <w:szCs w:val="21"/>
                      <w:lang w:bidi="zh-CN"/>
                    </w:rPr>
                    <w:t>溶解氧</w:t>
                  </w:r>
                </w:p>
              </w:tc>
              <w:tc>
                <w:tcPr>
                  <w:tcW w:w="890" w:type="dxa"/>
                  <w:tcBorders>
                    <w:tl2br w:val="nil"/>
                    <w:tr2bl w:val="nil"/>
                  </w:tcBorders>
                  <w:vAlign w:val="center"/>
                </w:tcPr>
                <w:p w14:paraId="65D3434F">
                  <w:pPr>
                    <w:autoSpaceDE w:val="0"/>
                    <w:autoSpaceDN w:val="0"/>
                    <w:jc w:val="center"/>
                    <w:rPr>
                      <w:color w:val="auto"/>
                      <w:szCs w:val="21"/>
                    </w:rPr>
                  </w:pPr>
                  <w:r>
                    <w:rPr>
                      <w:color w:val="auto"/>
                      <w:szCs w:val="21"/>
                      <w:lang w:bidi="zh-CN"/>
                    </w:rPr>
                    <w:t>mg/L</w:t>
                  </w:r>
                </w:p>
              </w:tc>
              <w:tc>
                <w:tcPr>
                  <w:tcW w:w="878" w:type="dxa"/>
                  <w:tcBorders>
                    <w:tl2br w:val="nil"/>
                    <w:tr2bl w:val="nil"/>
                  </w:tcBorders>
                  <w:vAlign w:val="center"/>
                </w:tcPr>
                <w:p w14:paraId="1878E4A2">
                  <w:pPr>
                    <w:autoSpaceDE w:val="0"/>
                    <w:autoSpaceDN w:val="0"/>
                    <w:adjustRightInd w:val="0"/>
                    <w:snapToGrid w:val="0"/>
                    <w:spacing w:line="312" w:lineRule="exact"/>
                    <w:jc w:val="center"/>
                    <w:rPr>
                      <w:bCs/>
                      <w:color w:val="auto"/>
                      <w:szCs w:val="21"/>
                      <w:lang w:bidi="zh-CN"/>
                    </w:rPr>
                  </w:pPr>
                  <w:r>
                    <w:rPr>
                      <w:bCs/>
                      <w:color w:val="auto"/>
                      <w:szCs w:val="21"/>
                      <w:lang w:bidi="zh-CN"/>
                    </w:rPr>
                    <w:t>≥5</w:t>
                  </w:r>
                </w:p>
              </w:tc>
              <w:tc>
                <w:tcPr>
                  <w:tcW w:w="851" w:type="dxa"/>
                  <w:tcBorders>
                    <w:tl2br w:val="nil"/>
                    <w:tr2bl w:val="nil"/>
                  </w:tcBorders>
                  <w:vAlign w:val="center"/>
                </w:tcPr>
                <w:p w14:paraId="7F0C4FFE">
                  <w:pPr>
                    <w:autoSpaceDE w:val="0"/>
                    <w:autoSpaceDN w:val="0"/>
                    <w:jc w:val="center"/>
                    <w:rPr>
                      <w:color w:val="auto"/>
                      <w:szCs w:val="21"/>
                      <w:lang w:bidi="zh-CN"/>
                    </w:rPr>
                  </w:pPr>
                  <w:r>
                    <w:rPr>
                      <w:color w:val="auto"/>
                      <w:szCs w:val="21"/>
                      <w:lang w:bidi="zh-CN"/>
                    </w:rPr>
                    <w:t>化学</w:t>
                  </w:r>
                </w:p>
                <w:p w14:paraId="56015CD0">
                  <w:pPr>
                    <w:autoSpaceDE w:val="0"/>
                    <w:autoSpaceDN w:val="0"/>
                    <w:jc w:val="center"/>
                    <w:rPr>
                      <w:color w:val="auto"/>
                      <w:szCs w:val="21"/>
                    </w:rPr>
                  </w:pPr>
                  <w:r>
                    <w:rPr>
                      <w:color w:val="auto"/>
                      <w:szCs w:val="21"/>
                      <w:lang w:bidi="zh-CN"/>
                    </w:rPr>
                    <w:t>需氧量</w:t>
                  </w:r>
                </w:p>
              </w:tc>
              <w:tc>
                <w:tcPr>
                  <w:tcW w:w="890" w:type="dxa"/>
                  <w:tcBorders>
                    <w:tl2br w:val="nil"/>
                    <w:tr2bl w:val="nil"/>
                  </w:tcBorders>
                  <w:vAlign w:val="center"/>
                </w:tcPr>
                <w:p w14:paraId="197C67CB">
                  <w:pPr>
                    <w:autoSpaceDE w:val="0"/>
                    <w:autoSpaceDN w:val="0"/>
                    <w:jc w:val="center"/>
                    <w:rPr>
                      <w:color w:val="auto"/>
                      <w:szCs w:val="21"/>
                    </w:rPr>
                  </w:pPr>
                  <w:r>
                    <w:rPr>
                      <w:color w:val="auto"/>
                      <w:szCs w:val="21"/>
                      <w:lang w:bidi="zh-CN"/>
                    </w:rPr>
                    <w:t>mg/L</w:t>
                  </w:r>
                </w:p>
              </w:tc>
              <w:tc>
                <w:tcPr>
                  <w:tcW w:w="882" w:type="dxa"/>
                  <w:tcBorders>
                    <w:tl2br w:val="nil"/>
                    <w:tr2bl w:val="nil"/>
                  </w:tcBorders>
                  <w:vAlign w:val="center"/>
                </w:tcPr>
                <w:p w14:paraId="7E81E00F">
                  <w:pPr>
                    <w:autoSpaceDE w:val="0"/>
                    <w:autoSpaceDN w:val="0"/>
                    <w:adjustRightInd w:val="0"/>
                    <w:snapToGrid w:val="0"/>
                    <w:spacing w:line="312" w:lineRule="exact"/>
                    <w:jc w:val="center"/>
                    <w:rPr>
                      <w:bCs/>
                      <w:color w:val="auto"/>
                      <w:szCs w:val="21"/>
                      <w:lang w:bidi="zh-CN"/>
                    </w:rPr>
                  </w:pPr>
                  <w:r>
                    <w:rPr>
                      <w:bCs/>
                      <w:color w:val="auto"/>
                      <w:szCs w:val="21"/>
                      <w:lang w:bidi="zh-CN"/>
                    </w:rPr>
                    <w:t>≤20</w:t>
                  </w:r>
                </w:p>
              </w:tc>
            </w:tr>
            <w:tr w14:paraId="32E87D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57" w:type="dxa"/>
                  <w:tcBorders>
                    <w:tl2br w:val="nil"/>
                    <w:tr2bl w:val="nil"/>
                  </w:tcBorders>
                  <w:vAlign w:val="center"/>
                </w:tcPr>
                <w:p w14:paraId="6F7BC1B4">
                  <w:pPr>
                    <w:autoSpaceDE w:val="0"/>
                    <w:autoSpaceDN w:val="0"/>
                    <w:jc w:val="center"/>
                    <w:rPr>
                      <w:color w:val="auto"/>
                      <w:szCs w:val="21"/>
                    </w:rPr>
                  </w:pPr>
                  <w:r>
                    <w:rPr>
                      <w:color w:val="auto"/>
                      <w:szCs w:val="21"/>
                      <w:lang w:bidi="zh-CN"/>
                    </w:rPr>
                    <w:t>五日生化需氧量</w:t>
                  </w:r>
                </w:p>
              </w:tc>
              <w:tc>
                <w:tcPr>
                  <w:tcW w:w="890" w:type="dxa"/>
                  <w:tcBorders>
                    <w:tl2br w:val="nil"/>
                    <w:tr2bl w:val="nil"/>
                  </w:tcBorders>
                  <w:vAlign w:val="center"/>
                </w:tcPr>
                <w:p w14:paraId="4C5C9622">
                  <w:pPr>
                    <w:autoSpaceDE w:val="0"/>
                    <w:autoSpaceDN w:val="0"/>
                    <w:jc w:val="center"/>
                    <w:rPr>
                      <w:color w:val="auto"/>
                      <w:szCs w:val="21"/>
                    </w:rPr>
                  </w:pPr>
                  <w:r>
                    <w:rPr>
                      <w:color w:val="auto"/>
                      <w:szCs w:val="21"/>
                      <w:lang w:bidi="zh-CN"/>
                    </w:rPr>
                    <w:t>mg/L</w:t>
                  </w:r>
                </w:p>
              </w:tc>
              <w:tc>
                <w:tcPr>
                  <w:tcW w:w="869" w:type="dxa"/>
                  <w:tcBorders>
                    <w:tl2br w:val="nil"/>
                    <w:tr2bl w:val="nil"/>
                  </w:tcBorders>
                  <w:vAlign w:val="center"/>
                </w:tcPr>
                <w:p w14:paraId="2921D538">
                  <w:pPr>
                    <w:autoSpaceDE w:val="0"/>
                    <w:autoSpaceDN w:val="0"/>
                    <w:adjustRightInd w:val="0"/>
                    <w:snapToGrid w:val="0"/>
                    <w:spacing w:line="312" w:lineRule="exact"/>
                    <w:jc w:val="center"/>
                    <w:rPr>
                      <w:bCs/>
                      <w:color w:val="auto"/>
                      <w:szCs w:val="21"/>
                      <w:lang w:bidi="zh-CN"/>
                    </w:rPr>
                  </w:pPr>
                  <w:r>
                    <w:rPr>
                      <w:bCs/>
                      <w:color w:val="auto"/>
                      <w:szCs w:val="21"/>
                      <w:lang w:bidi="zh-CN"/>
                    </w:rPr>
                    <w:t>≤4</w:t>
                  </w:r>
                </w:p>
              </w:tc>
              <w:tc>
                <w:tcPr>
                  <w:tcW w:w="851" w:type="dxa"/>
                  <w:tcBorders>
                    <w:tl2br w:val="nil"/>
                    <w:tr2bl w:val="nil"/>
                  </w:tcBorders>
                  <w:vAlign w:val="center"/>
                </w:tcPr>
                <w:p w14:paraId="09130866">
                  <w:pPr>
                    <w:autoSpaceDE w:val="0"/>
                    <w:autoSpaceDN w:val="0"/>
                    <w:jc w:val="center"/>
                    <w:rPr>
                      <w:color w:val="auto"/>
                      <w:szCs w:val="21"/>
                    </w:rPr>
                  </w:pPr>
                  <w:r>
                    <w:rPr>
                      <w:color w:val="auto"/>
                      <w:szCs w:val="21"/>
                      <w:lang w:bidi="zh-CN"/>
                    </w:rPr>
                    <w:t>氨氮</w:t>
                  </w:r>
                </w:p>
              </w:tc>
              <w:tc>
                <w:tcPr>
                  <w:tcW w:w="890" w:type="dxa"/>
                  <w:tcBorders>
                    <w:tl2br w:val="nil"/>
                    <w:tr2bl w:val="nil"/>
                  </w:tcBorders>
                  <w:vAlign w:val="center"/>
                </w:tcPr>
                <w:p w14:paraId="38F4D9AF">
                  <w:pPr>
                    <w:autoSpaceDE w:val="0"/>
                    <w:autoSpaceDN w:val="0"/>
                    <w:jc w:val="center"/>
                    <w:rPr>
                      <w:color w:val="auto"/>
                      <w:szCs w:val="21"/>
                    </w:rPr>
                  </w:pPr>
                  <w:r>
                    <w:rPr>
                      <w:color w:val="auto"/>
                      <w:szCs w:val="21"/>
                      <w:lang w:bidi="zh-CN"/>
                    </w:rPr>
                    <w:t>mg/L</w:t>
                  </w:r>
                </w:p>
              </w:tc>
              <w:tc>
                <w:tcPr>
                  <w:tcW w:w="878" w:type="dxa"/>
                  <w:tcBorders>
                    <w:tl2br w:val="nil"/>
                    <w:tr2bl w:val="nil"/>
                  </w:tcBorders>
                  <w:vAlign w:val="center"/>
                </w:tcPr>
                <w:p w14:paraId="5BA5C75C">
                  <w:pPr>
                    <w:autoSpaceDE w:val="0"/>
                    <w:autoSpaceDN w:val="0"/>
                    <w:adjustRightInd w:val="0"/>
                    <w:snapToGrid w:val="0"/>
                    <w:spacing w:line="312" w:lineRule="exact"/>
                    <w:jc w:val="center"/>
                    <w:rPr>
                      <w:bCs/>
                      <w:color w:val="auto"/>
                      <w:szCs w:val="21"/>
                      <w:lang w:bidi="zh-CN"/>
                    </w:rPr>
                  </w:pPr>
                  <w:r>
                    <w:rPr>
                      <w:bCs/>
                      <w:color w:val="auto"/>
                      <w:szCs w:val="21"/>
                      <w:lang w:bidi="zh-CN"/>
                    </w:rPr>
                    <w:t>≤1.0</w:t>
                  </w:r>
                </w:p>
              </w:tc>
              <w:tc>
                <w:tcPr>
                  <w:tcW w:w="851" w:type="dxa"/>
                  <w:tcBorders>
                    <w:tl2br w:val="nil"/>
                    <w:tr2bl w:val="nil"/>
                  </w:tcBorders>
                  <w:vAlign w:val="center"/>
                </w:tcPr>
                <w:p w14:paraId="10CC694D">
                  <w:pPr>
                    <w:autoSpaceDE w:val="0"/>
                    <w:autoSpaceDN w:val="0"/>
                    <w:jc w:val="center"/>
                    <w:rPr>
                      <w:color w:val="auto"/>
                      <w:szCs w:val="21"/>
                    </w:rPr>
                  </w:pPr>
                  <w:r>
                    <w:rPr>
                      <w:color w:val="auto"/>
                      <w:szCs w:val="21"/>
                      <w:lang w:bidi="zh-CN"/>
                    </w:rPr>
                    <w:t>总磷</w:t>
                  </w:r>
                </w:p>
              </w:tc>
              <w:tc>
                <w:tcPr>
                  <w:tcW w:w="890" w:type="dxa"/>
                  <w:tcBorders>
                    <w:tl2br w:val="nil"/>
                    <w:tr2bl w:val="nil"/>
                  </w:tcBorders>
                  <w:vAlign w:val="center"/>
                </w:tcPr>
                <w:p w14:paraId="22D3AFAE">
                  <w:pPr>
                    <w:autoSpaceDE w:val="0"/>
                    <w:autoSpaceDN w:val="0"/>
                    <w:jc w:val="center"/>
                    <w:rPr>
                      <w:color w:val="auto"/>
                      <w:szCs w:val="21"/>
                    </w:rPr>
                  </w:pPr>
                  <w:r>
                    <w:rPr>
                      <w:color w:val="auto"/>
                      <w:szCs w:val="21"/>
                      <w:lang w:bidi="zh-CN"/>
                    </w:rPr>
                    <w:t>mg/L</w:t>
                  </w:r>
                </w:p>
              </w:tc>
              <w:tc>
                <w:tcPr>
                  <w:tcW w:w="882" w:type="dxa"/>
                  <w:tcBorders>
                    <w:tl2br w:val="nil"/>
                    <w:tr2bl w:val="nil"/>
                  </w:tcBorders>
                  <w:vAlign w:val="center"/>
                </w:tcPr>
                <w:p w14:paraId="279A5EF4">
                  <w:pPr>
                    <w:autoSpaceDE w:val="0"/>
                    <w:autoSpaceDN w:val="0"/>
                    <w:adjustRightInd w:val="0"/>
                    <w:snapToGrid w:val="0"/>
                    <w:spacing w:line="312" w:lineRule="exact"/>
                    <w:jc w:val="center"/>
                    <w:rPr>
                      <w:color w:val="auto"/>
                      <w:szCs w:val="21"/>
                      <w:lang w:bidi="zh-CN"/>
                    </w:rPr>
                  </w:pPr>
                  <w:r>
                    <w:rPr>
                      <w:bCs/>
                      <w:color w:val="auto"/>
                      <w:szCs w:val="21"/>
                      <w:lang w:bidi="zh-CN"/>
                    </w:rPr>
                    <w:t>≤0.2</w:t>
                  </w:r>
                </w:p>
              </w:tc>
            </w:tr>
          </w:tbl>
          <w:p w14:paraId="3A2DE899">
            <w:pPr>
              <w:adjustRightInd w:val="0"/>
              <w:snapToGrid w:val="0"/>
              <w:spacing w:before="120" w:beforeLines="50" w:line="360" w:lineRule="auto"/>
              <w:ind w:firstLine="482" w:firstLineChars="200"/>
              <w:rPr>
                <w:b/>
                <w:bCs/>
                <w:color w:val="auto"/>
                <w:kern w:val="0"/>
                <w:sz w:val="24"/>
              </w:rPr>
            </w:pPr>
            <w:r>
              <w:rPr>
                <w:b/>
                <w:bCs/>
                <w:color w:val="auto"/>
                <w:kern w:val="0"/>
                <w:sz w:val="24"/>
              </w:rPr>
              <w:t>3、声环境质量标准</w:t>
            </w:r>
          </w:p>
          <w:p w14:paraId="074487D9">
            <w:pPr>
              <w:adjustRightInd w:val="0"/>
              <w:snapToGrid w:val="0"/>
              <w:spacing w:line="360" w:lineRule="auto"/>
              <w:ind w:firstLine="480" w:firstLineChars="200"/>
              <w:rPr>
                <w:color w:val="auto"/>
                <w:kern w:val="0"/>
                <w:sz w:val="24"/>
              </w:rPr>
            </w:pPr>
            <w:r>
              <w:rPr>
                <w:color w:val="auto"/>
                <w:kern w:val="0"/>
                <w:sz w:val="24"/>
              </w:rPr>
              <w:t>本项目所在区域位于</w:t>
            </w:r>
            <w:r>
              <w:rPr>
                <w:rFonts w:hint="eastAsia"/>
                <w:color w:val="auto"/>
                <w:kern w:val="0"/>
                <w:sz w:val="24"/>
              </w:rPr>
              <w:t>关坝镇</w:t>
            </w:r>
            <w:r>
              <w:rPr>
                <w:color w:val="auto"/>
                <w:kern w:val="0"/>
                <w:sz w:val="24"/>
              </w:rPr>
              <w:t>，属于2类声环境功能区，执行《声环境质量标准》（GB3096-2008）中2类标准。</w:t>
            </w:r>
          </w:p>
          <w:p w14:paraId="171156FC">
            <w:pPr>
              <w:adjustRightInd w:val="0"/>
              <w:snapToGrid w:val="0"/>
              <w:jc w:val="center"/>
              <w:rPr>
                <w:b/>
                <w:bCs/>
                <w:color w:val="auto"/>
                <w:kern w:val="0"/>
                <w:szCs w:val="21"/>
              </w:rPr>
            </w:pPr>
            <w:r>
              <w:rPr>
                <w:b/>
                <w:bCs/>
                <w:color w:val="auto"/>
                <w:kern w:val="0"/>
                <w:szCs w:val="21"/>
              </w:rPr>
              <w:t>表3-</w:t>
            </w:r>
            <w:r>
              <w:rPr>
                <w:rFonts w:hint="eastAsia"/>
                <w:b/>
                <w:bCs/>
                <w:color w:val="auto"/>
                <w:kern w:val="0"/>
                <w:szCs w:val="21"/>
              </w:rPr>
              <w:t>11</w:t>
            </w:r>
            <w:r>
              <w:rPr>
                <w:b/>
                <w:bCs/>
                <w:color w:val="auto"/>
                <w:kern w:val="0"/>
                <w:szCs w:val="21"/>
              </w:rPr>
              <w:t xml:space="preserve">  声环境质量标准  单位：dB（A）</w:t>
            </w:r>
          </w:p>
          <w:tbl>
            <w:tblPr>
              <w:tblStyle w:val="34"/>
              <w:tblW w:w="4998"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533"/>
              <w:gridCol w:w="2673"/>
              <w:gridCol w:w="2673"/>
            </w:tblGrid>
            <w:tr w14:paraId="153DFF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07" w:type="pct"/>
                  <w:tcBorders>
                    <w:tl2br w:val="nil"/>
                    <w:tr2bl w:val="nil"/>
                  </w:tcBorders>
                  <w:vAlign w:val="center"/>
                </w:tcPr>
                <w:p w14:paraId="2DFDFEDE">
                  <w:pPr>
                    <w:adjustRightInd w:val="0"/>
                    <w:snapToGrid w:val="0"/>
                    <w:jc w:val="center"/>
                    <w:rPr>
                      <w:b/>
                      <w:bCs/>
                      <w:color w:val="auto"/>
                      <w:kern w:val="0"/>
                      <w:szCs w:val="21"/>
                    </w:rPr>
                  </w:pPr>
                  <w:r>
                    <w:rPr>
                      <w:b/>
                      <w:bCs/>
                      <w:color w:val="auto"/>
                      <w:kern w:val="0"/>
                      <w:szCs w:val="21"/>
                    </w:rPr>
                    <w:t>执行标准</w:t>
                  </w:r>
                </w:p>
              </w:tc>
              <w:tc>
                <w:tcPr>
                  <w:tcW w:w="3392" w:type="pct"/>
                  <w:gridSpan w:val="2"/>
                  <w:tcBorders>
                    <w:tl2br w:val="nil"/>
                    <w:tr2bl w:val="nil"/>
                  </w:tcBorders>
                  <w:vAlign w:val="center"/>
                </w:tcPr>
                <w:p w14:paraId="76E2DD49">
                  <w:pPr>
                    <w:adjustRightInd w:val="0"/>
                    <w:snapToGrid w:val="0"/>
                    <w:jc w:val="center"/>
                    <w:rPr>
                      <w:b/>
                      <w:bCs/>
                      <w:color w:val="auto"/>
                      <w:kern w:val="0"/>
                      <w:szCs w:val="21"/>
                    </w:rPr>
                  </w:pPr>
                  <w:r>
                    <w:rPr>
                      <w:b/>
                      <w:bCs/>
                      <w:color w:val="auto"/>
                      <w:kern w:val="0"/>
                      <w:szCs w:val="21"/>
                    </w:rPr>
                    <w:t>标准限值</w:t>
                  </w:r>
                </w:p>
              </w:tc>
            </w:tr>
            <w:tr w14:paraId="5ADEB9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07" w:type="pct"/>
                  <w:tcBorders>
                    <w:tl2br w:val="nil"/>
                    <w:tr2bl w:val="nil"/>
                  </w:tcBorders>
                  <w:vAlign w:val="center"/>
                </w:tcPr>
                <w:p w14:paraId="1A3DF78F">
                  <w:pPr>
                    <w:adjustRightInd w:val="0"/>
                    <w:snapToGrid w:val="0"/>
                    <w:jc w:val="center"/>
                    <w:rPr>
                      <w:color w:val="auto"/>
                      <w:kern w:val="0"/>
                      <w:szCs w:val="21"/>
                    </w:rPr>
                  </w:pPr>
                  <w:r>
                    <w:rPr>
                      <w:color w:val="auto"/>
                      <w:kern w:val="0"/>
                      <w:szCs w:val="21"/>
                    </w:rPr>
                    <w:t>《声环境质量标准》（GB3096-2008）2类标准</w:t>
                  </w:r>
                </w:p>
              </w:tc>
              <w:tc>
                <w:tcPr>
                  <w:tcW w:w="1696" w:type="pct"/>
                  <w:tcBorders>
                    <w:tl2br w:val="nil"/>
                    <w:tr2bl w:val="nil"/>
                  </w:tcBorders>
                  <w:vAlign w:val="center"/>
                </w:tcPr>
                <w:p w14:paraId="01944E78">
                  <w:pPr>
                    <w:adjustRightInd w:val="0"/>
                    <w:snapToGrid w:val="0"/>
                    <w:jc w:val="center"/>
                    <w:rPr>
                      <w:color w:val="auto"/>
                      <w:kern w:val="0"/>
                      <w:szCs w:val="21"/>
                    </w:rPr>
                  </w:pPr>
                  <w:r>
                    <w:rPr>
                      <w:color w:val="auto"/>
                      <w:kern w:val="0"/>
                      <w:szCs w:val="21"/>
                    </w:rPr>
                    <w:t>昼间≤60</w:t>
                  </w:r>
                </w:p>
              </w:tc>
              <w:tc>
                <w:tcPr>
                  <w:tcW w:w="1696" w:type="pct"/>
                  <w:tcBorders>
                    <w:tl2br w:val="nil"/>
                    <w:tr2bl w:val="nil"/>
                  </w:tcBorders>
                  <w:vAlign w:val="center"/>
                </w:tcPr>
                <w:p w14:paraId="479B7FD4">
                  <w:pPr>
                    <w:adjustRightInd w:val="0"/>
                    <w:snapToGrid w:val="0"/>
                    <w:jc w:val="center"/>
                    <w:rPr>
                      <w:color w:val="auto"/>
                      <w:kern w:val="0"/>
                      <w:szCs w:val="21"/>
                    </w:rPr>
                  </w:pPr>
                  <w:r>
                    <w:rPr>
                      <w:color w:val="auto"/>
                      <w:kern w:val="0"/>
                      <w:szCs w:val="21"/>
                    </w:rPr>
                    <w:t>夜间≤50</w:t>
                  </w:r>
                </w:p>
              </w:tc>
            </w:tr>
          </w:tbl>
          <w:p w14:paraId="4A2E46F3">
            <w:pPr>
              <w:adjustRightInd w:val="0"/>
              <w:snapToGrid w:val="0"/>
              <w:spacing w:before="120" w:beforeLines="50" w:line="360" w:lineRule="auto"/>
              <w:ind w:firstLine="482" w:firstLineChars="200"/>
              <w:rPr>
                <w:b/>
                <w:bCs/>
                <w:color w:val="auto"/>
                <w:kern w:val="0"/>
                <w:sz w:val="24"/>
              </w:rPr>
            </w:pPr>
            <w:r>
              <w:rPr>
                <w:b/>
                <w:bCs/>
                <w:color w:val="auto"/>
                <w:kern w:val="0"/>
                <w:sz w:val="24"/>
              </w:rPr>
              <w:t>二、污染物排放标准</w:t>
            </w:r>
          </w:p>
          <w:p w14:paraId="28A27205">
            <w:pPr>
              <w:tabs>
                <w:tab w:val="left" w:pos="564"/>
              </w:tabs>
              <w:adjustRightInd w:val="0"/>
              <w:snapToGrid w:val="0"/>
              <w:spacing w:line="360" w:lineRule="auto"/>
              <w:ind w:firstLine="482" w:firstLineChars="200"/>
              <w:rPr>
                <w:b/>
                <w:bCs/>
                <w:color w:val="auto"/>
                <w:kern w:val="0"/>
                <w:sz w:val="24"/>
              </w:rPr>
            </w:pPr>
            <w:r>
              <w:rPr>
                <w:b/>
                <w:bCs/>
                <w:color w:val="auto"/>
                <w:kern w:val="0"/>
                <w:sz w:val="24"/>
              </w:rPr>
              <w:t>1、大气污染物排放标准</w:t>
            </w:r>
          </w:p>
          <w:p w14:paraId="594DA616">
            <w:pPr>
              <w:widowControl/>
              <w:spacing w:line="360" w:lineRule="auto"/>
              <w:ind w:firstLine="480" w:firstLineChars="200"/>
              <w:jc w:val="left"/>
              <w:rPr>
                <w:color w:val="auto"/>
                <w:kern w:val="0"/>
                <w:sz w:val="24"/>
              </w:rPr>
            </w:pPr>
            <w:r>
              <w:rPr>
                <w:color w:val="auto"/>
                <w:kern w:val="0"/>
                <w:sz w:val="24"/>
              </w:rPr>
              <w:t>施工期扬尘执行《四川省施工场地扬尘排放标准》（DB51/2682-2020）不同施工阶段的标准限值。</w:t>
            </w:r>
          </w:p>
          <w:p w14:paraId="5FA648B1">
            <w:pPr>
              <w:adjustRightInd w:val="0"/>
              <w:snapToGrid w:val="0"/>
              <w:jc w:val="center"/>
              <w:rPr>
                <w:b/>
                <w:bCs/>
                <w:color w:val="auto"/>
                <w:kern w:val="0"/>
                <w:szCs w:val="21"/>
              </w:rPr>
            </w:pPr>
            <w:r>
              <w:rPr>
                <w:b/>
                <w:bCs/>
                <w:color w:val="auto"/>
                <w:kern w:val="0"/>
                <w:szCs w:val="21"/>
              </w:rPr>
              <w:t>表3-1</w:t>
            </w:r>
            <w:r>
              <w:rPr>
                <w:rFonts w:hint="eastAsia"/>
                <w:b/>
                <w:bCs/>
                <w:color w:val="auto"/>
                <w:kern w:val="0"/>
                <w:szCs w:val="21"/>
              </w:rPr>
              <w:t>2</w:t>
            </w:r>
            <w:r>
              <w:rPr>
                <w:b/>
                <w:bCs/>
                <w:color w:val="auto"/>
                <w:kern w:val="0"/>
                <w:szCs w:val="21"/>
              </w:rPr>
              <w:t xml:space="preserve">  《四川省施工场地扬尘排放标准》（DB51/2682-2020）</w:t>
            </w:r>
          </w:p>
          <w:tbl>
            <w:tblPr>
              <w:tblStyle w:val="34"/>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78"/>
              <w:gridCol w:w="1346"/>
              <w:gridCol w:w="1776"/>
              <w:gridCol w:w="1697"/>
              <w:gridCol w:w="1485"/>
            </w:tblGrid>
            <w:tr w14:paraId="1A2EEF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08" w:type="dxa"/>
                  <w:tcBorders>
                    <w:tl2br w:val="nil"/>
                    <w:tr2bl w:val="nil"/>
                  </w:tcBorders>
                  <w:vAlign w:val="center"/>
                </w:tcPr>
                <w:p w14:paraId="11ED8D88">
                  <w:pPr>
                    <w:adjustRightInd w:val="0"/>
                    <w:snapToGrid w:val="0"/>
                    <w:jc w:val="center"/>
                    <w:rPr>
                      <w:b/>
                      <w:bCs/>
                      <w:color w:val="auto"/>
                      <w:kern w:val="0"/>
                      <w:szCs w:val="21"/>
                    </w:rPr>
                  </w:pPr>
                  <w:r>
                    <w:rPr>
                      <w:b/>
                      <w:bCs/>
                      <w:color w:val="auto"/>
                      <w:kern w:val="0"/>
                      <w:szCs w:val="21"/>
                    </w:rPr>
                    <w:t>监测项目</w:t>
                  </w:r>
                </w:p>
              </w:tc>
              <w:tc>
                <w:tcPr>
                  <w:tcW w:w="1372" w:type="dxa"/>
                  <w:tcBorders>
                    <w:tl2br w:val="nil"/>
                    <w:tr2bl w:val="nil"/>
                  </w:tcBorders>
                  <w:vAlign w:val="center"/>
                </w:tcPr>
                <w:p w14:paraId="2D747FBC">
                  <w:pPr>
                    <w:adjustRightInd w:val="0"/>
                    <w:snapToGrid w:val="0"/>
                    <w:jc w:val="center"/>
                    <w:rPr>
                      <w:b/>
                      <w:bCs/>
                      <w:color w:val="auto"/>
                      <w:kern w:val="0"/>
                      <w:szCs w:val="21"/>
                    </w:rPr>
                  </w:pPr>
                  <w:r>
                    <w:rPr>
                      <w:b/>
                      <w:bCs/>
                      <w:color w:val="auto"/>
                      <w:kern w:val="0"/>
                      <w:szCs w:val="21"/>
                    </w:rPr>
                    <w:t>区域</w:t>
                  </w:r>
                </w:p>
              </w:tc>
              <w:tc>
                <w:tcPr>
                  <w:tcW w:w="1812" w:type="dxa"/>
                  <w:tcBorders>
                    <w:tl2br w:val="nil"/>
                    <w:tr2bl w:val="nil"/>
                  </w:tcBorders>
                  <w:vAlign w:val="center"/>
                </w:tcPr>
                <w:p w14:paraId="231F5525">
                  <w:pPr>
                    <w:adjustRightInd w:val="0"/>
                    <w:snapToGrid w:val="0"/>
                    <w:jc w:val="center"/>
                    <w:rPr>
                      <w:b/>
                      <w:bCs/>
                      <w:color w:val="auto"/>
                      <w:kern w:val="0"/>
                      <w:szCs w:val="21"/>
                    </w:rPr>
                  </w:pPr>
                  <w:r>
                    <w:rPr>
                      <w:b/>
                      <w:bCs/>
                      <w:color w:val="auto"/>
                      <w:kern w:val="0"/>
                      <w:szCs w:val="21"/>
                    </w:rPr>
                    <w:t>施工阶段</w:t>
                  </w:r>
                </w:p>
              </w:tc>
              <w:tc>
                <w:tcPr>
                  <w:tcW w:w="1731" w:type="dxa"/>
                  <w:tcBorders>
                    <w:tl2br w:val="nil"/>
                    <w:tr2bl w:val="nil"/>
                  </w:tcBorders>
                  <w:vAlign w:val="center"/>
                </w:tcPr>
                <w:p w14:paraId="0586EA11">
                  <w:pPr>
                    <w:adjustRightInd w:val="0"/>
                    <w:snapToGrid w:val="0"/>
                    <w:jc w:val="center"/>
                    <w:rPr>
                      <w:b/>
                      <w:bCs/>
                      <w:color w:val="auto"/>
                      <w:kern w:val="0"/>
                      <w:szCs w:val="21"/>
                    </w:rPr>
                  </w:pPr>
                  <w:r>
                    <w:rPr>
                      <w:b/>
                      <w:bCs/>
                      <w:color w:val="auto"/>
                      <w:kern w:val="0"/>
                      <w:szCs w:val="21"/>
                    </w:rPr>
                    <w:t>监测点排放限值</w:t>
                  </w:r>
                </w:p>
              </w:tc>
              <w:tc>
                <w:tcPr>
                  <w:tcW w:w="1514" w:type="dxa"/>
                  <w:tcBorders>
                    <w:tl2br w:val="nil"/>
                    <w:tr2bl w:val="nil"/>
                  </w:tcBorders>
                  <w:vAlign w:val="center"/>
                </w:tcPr>
                <w:p w14:paraId="3BFD3903">
                  <w:pPr>
                    <w:adjustRightInd w:val="0"/>
                    <w:snapToGrid w:val="0"/>
                    <w:jc w:val="center"/>
                    <w:rPr>
                      <w:b/>
                      <w:bCs/>
                      <w:color w:val="auto"/>
                      <w:kern w:val="0"/>
                      <w:szCs w:val="21"/>
                    </w:rPr>
                  </w:pPr>
                  <w:r>
                    <w:rPr>
                      <w:b/>
                      <w:bCs/>
                      <w:color w:val="auto"/>
                      <w:kern w:val="0"/>
                      <w:szCs w:val="21"/>
                    </w:rPr>
                    <w:t>监测时间</w:t>
                  </w:r>
                </w:p>
              </w:tc>
            </w:tr>
            <w:tr w14:paraId="65CEEF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08" w:type="dxa"/>
                  <w:vMerge w:val="restart"/>
                  <w:tcBorders>
                    <w:tl2br w:val="nil"/>
                    <w:tr2bl w:val="nil"/>
                  </w:tcBorders>
                  <w:vAlign w:val="center"/>
                </w:tcPr>
                <w:p w14:paraId="67958AD9">
                  <w:pPr>
                    <w:adjustRightInd w:val="0"/>
                    <w:snapToGrid w:val="0"/>
                    <w:jc w:val="center"/>
                    <w:rPr>
                      <w:color w:val="auto"/>
                      <w:kern w:val="0"/>
                      <w:szCs w:val="21"/>
                    </w:rPr>
                  </w:pPr>
                  <w:r>
                    <w:rPr>
                      <w:color w:val="auto"/>
                      <w:kern w:val="0"/>
                      <w:szCs w:val="21"/>
                    </w:rPr>
                    <w:t>总悬浮颗粒物（TSP）</w:t>
                  </w:r>
                </w:p>
              </w:tc>
              <w:tc>
                <w:tcPr>
                  <w:tcW w:w="1372" w:type="dxa"/>
                  <w:vMerge w:val="restart"/>
                  <w:tcBorders>
                    <w:tl2br w:val="nil"/>
                    <w:tr2bl w:val="nil"/>
                  </w:tcBorders>
                  <w:vAlign w:val="center"/>
                </w:tcPr>
                <w:p w14:paraId="2663BB61">
                  <w:pPr>
                    <w:adjustRightInd w:val="0"/>
                    <w:snapToGrid w:val="0"/>
                    <w:jc w:val="center"/>
                    <w:rPr>
                      <w:color w:val="auto"/>
                      <w:kern w:val="0"/>
                      <w:szCs w:val="21"/>
                    </w:rPr>
                  </w:pPr>
                  <w:r>
                    <w:rPr>
                      <w:color w:val="auto"/>
                      <w:kern w:val="0"/>
                      <w:szCs w:val="21"/>
                    </w:rPr>
                    <w:t>巴中市</w:t>
                  </w:r>
                </w:p>
              </w:tc>
              <w:tc>
                <w:tcPr>
                  <w:tcW w:w="1812" w:type="dxa"/>
                  <w:tcBorders>
                    <w:tl2br w:val="nil"/>
                    <w:tr2bl w:val="nil"/>
                  </w:tcBorders>
                  <w:vAlign w:val="center"/>
                </w:tcPr>
                <w:p w14:paraId="0CFDA96E">
                  <w:pPr>
                    <w:adjustRightInd w:val="0"/>
                    <w:snapToGrid w:val="0"/>
                    <w:jc w:val="center"/>
                    <w:rPr>
                      <w:color w:val="auto"/>
                      <w:kern w:val="0"/>
                      <w:szCs w:val="21"/>
                    </w:rPr>
                  </w:pPr>
                  <w:r>
                    <w:rPr>
                      <w:color w:val="auto"/>
                      <w:kern w:val="0"/>
                      <w:szCs w:val="21"/>
                    </w:rPr>
                    <w:t>拆除工程/土方开挖/土方回填阶段</w:t>
                  </w:r>
                </w:p>
              </w:tc>
              <w:tc>
                <w:tcPr>
                  <w:tcW w:w="1731" w:type="dxa"/>
                  <w:tcBorders>
                    <w:tl2br w:val="nil"/>
                    <w:tr2bl w:val="nil"/>
                  </w:tcBorders>
                  <w:vAlign w:val="center"/>
                </w:tcPr>
                <w:p w14:paraId="454B790A">
                  <w:pPr>
                    <w:adjustRightInd w:val="0"/>
                    <w:snapToGrid w:val="0"/>
                    <w:jc w:val="center"/>
                    <w:rPr>
                      <w:color w:val="auto"/>
                      <w:kern w:val="0"/>
                      <w:szCs w:val="21"/>
                    </w:rPr>
                  </w:pPr>
                  <w:r>
                    <w:rPr>
                      <w:color w:val="auto"/>
                      <w:kern w:val="0"/>
                      <w:szCs w:val="21"/>
                    </w:rPr>
                    <w:t>600μg/m</w:t>
                  </w:r>
                  <w:r>
                    <w:rPr>
                      <w:color w:val="auto"/>
                      <w:kern w:val="0"/>
                      <w:szCs w:val="21"/>
                      <w:vertAlign w:val="superscript"/>
                    </w:rPr>
                    <w:t>3</w:t>
                  </w:r>
                </w:p>
              </w:tc>
              <w:tc>
                <w:tcPr>
                  <w:tcW w:w="1514" w:type="dxa"/>
                  <w:vMerge w:val="restart"/>
                  <w:tcBorders>
                    <w:tl2br w:val="nil"/>
                    <w:tr2bl w:val="nil"/>
                  </w:tcBorders>
                  <w:vAlign w:val="center"/>
                </w:tcPr>
                <w:p w14:paraId="625934EB">
                  <w:pPr>
                    <w:adjustRightInd w:val="0"/>
                    <w:snapToGrid w:val="0"/>
                    <w:jc w:val="center"/>
                    <w:rPr>
                      <w:color w:val="auto"/>
                      <w:kern w:val="0"/>
                      <w:szCs w:val="21"/>
                    </w:rPr>
                  </w:pPr>
                  <w:r>
                    <w:rPr>
                      <w:color w:val="auto"/>
                      <w:kern w:val="0"/>
                      <w:szCs w:val="21"/>
                    </w:rPr>
                    <w:t>自监测起持续15分钟</w:t>
                  </w:r>
                </w:p>
              </w:tc>
            </w:tr>
            <w:tr w14:paraId="56794F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08" w:type="dxa"/>
                  <w:vMerge w:val="continue"/>
                  <w:tcBorders>
                    <w:tl2br w:val="nil"/>
                    <w:tr2bl w:val="nil"/>
                  </w:tcBorders>
                  <w:vAlign w:val="center"/>
                </w:tcPr>
                <w:p w14:paraId="44AB2809">
                  <w:pPr>
                    <w:adjustRightInd w:val="0"/>
                    <w:snapToGrid w:val="0"/>
                    <w:jc w:val="center"/>
                    <w:rPr>
                      <w:color w:val="auto"/>
                      <w:kern w:val="0"/>
                      <w:szCs w:val="21"/>
                    </w:rPr>
                  </w:pPr>
                </w:p>
              </w:tc>
              <w:tc>
                <w:tcPr>
                  <w:tcW w:w="1372" w:type="dxa"/>
                  <w:vMerge w:val="continue"/>
                  <w:tcBorders>
                    <w:tl2br w:val="nil"/>
                    <w:tr2bl w:val="nil"/>
                  </w:tcBorders>
                  <w:vAlign w:val="center"/>
                </w:tcPr>
                <w:p w14:paraId="495E09CA">
                  <w:pPr>
                    <w:adjustRightInd w:val="0"/>
                    <w:snapToGrid w:val="0"/>
                    <w:jc w:val="center"/>
                    <w:rPr>
                      <w:color w:val="auto"/>
                      <w:kern w:val="0"/>
                      <w:szCs w:val="21"/>
                    </w:rPr>
                  </w:pPr>
                </w:p>
              </w:tc>
              <w:tc>
                <w:tcPr>
                  <w:tcW w:w="1812" w:type="dxa"/>
                  <w:tcBorders>
                    <w:tl2br w:val="nil"/>
                    <w:tr2bl w:val="nil"/>
                  </w:tcBorders>
                  <w:vAlign w:val="center"/>
                </w:tcPr>
                <w:p w14:paraId="779977DC">
                  <w:pPr>
                    <w:adjustRightInd w:val="0"/>
                    <w:snapToGrid w:val="0"/>
                    <w:jc w:val="center"/>
                    <w:rPr>
                      <w:color w:val="auto"/>
                      <w:kern w:val="0"/>
                      <w:szCs w:val="21"/>
                    </w:rPr>
                  </w:pPr>
                  <w:r>
                    <w:rPr>
                      <w:color w:val="auto"/>
                      <w:kern w:val="0"/>
                      <w:szCs w:val="21"/>
                    </w:rPr>
                    <w:t>其他工程阶段</w:t>
                  </w:r>
                </w:p>
              </w:tc>
              <w:tc>
                <w:tcPr>
                  <w:tcW w:w="1731" w:type="dxa"/>
                  <w:tcBorders>
                    <w:tl2br w:val="nil"/>
                    <w:tr2bl w:val="nil"/>
                  </w:tcBorders>
                  <w:vAlign w:val="center"/>
                </w:tcPr>
                <w:p w14:paraId="605EA8F7">
                  <w:pPr>
                    <w:adjustRightInd w:val="0"/>
                    <w:snapToGrid w:val="0"/>
                    <w:jc w:val="center"/>
                    <w:rPr>
                      <w:color w:val="auto"/>
                      <w:kern w:val="0"/>
                      <w:szCs w:val="21"/>
                    </w:rPr>
                  </w:pPr>
                  <w:r>
                    <w:rPr>
                      <w:color w:val="auto"/>
                      <w:kern w:val="0"/>
                      <w:szCs w:val="21"/>
                    </w:rPr>
                    <w:t>250μg/m</w:t>
                  </w:r>
                  <w:r>
                    <w:rPr>
                      <w:color w:val="auto"/>
                      <w:kern w:val="0"/>
                      <w:szCs w:val="21"/>
                      <w:vertAlign w:val="superscript"/>
                    </w:rPr>
                    <w:t>3</w:t>
                  </w:r>
                </w:p>
              </w:tc>
              <w:tc>
                <w:tcPr>
                  <w:tcW w:w="1514" w:type="dxa"/>
                  <w:vMerge w:val="continue"/>
                  <w:tcBorders>
                    <w:tl2br w:val="nil"/>
                    <w:tr2bl w:val="nil"/>
                  </w:tcBorders>
                  <w:vAlign w:val="center"/>
                </w:tcPr>
                <w:p w14:paraId="5E147733">
                  <w:pPr>
                    <w:adjustRightInd w:val="0"/>
                    <w:snapToGrid w:val="0"/>
                    <w:jc w:val="center"/>
                    <w:rPr>
                      <w:color w:val="auto"/>
                      <w:kern w:val="0"/>
                      <w:szCs w:val="21"/>
                    </w:rPr>
                  </w:pPr>
                </w:p>
              </w:tc>
            </w:tr>
          </w:tbl>
          <w:p w14:paraId="71064F52">
            <w:pPr>
              <w:adjustRightInd w:val="0"/>
              <w:snapToGrid w:val="0"/>
              <w:spacing w:before="120" w:beforeLines="50" w:line="360" w:lineRule="auto"/>
              <w:ind w:firstLine="482" w:firstLineChars="200"/>
              <w:rPr>
                <w:b/>
                <w:bCs/>
                <w:color w:val="auto"/>
                <w:kern w:val="0"/>
                <w:sz w:val="24"/>
              </w:rPr>
            </w:pPr>
            <w:r>
              <w:rPr>
                <w:b/>
                <w:bCs/>
                <w:color w:val="auto"/>
                <w:kern w:val="0"/>
                <w:sz w:val="24"/>
              </w:rPr>
              <w:t>2、废水污染物排放标准</w:t>
            </w:r>
          </w:p>
          <w:p w14:paraId="2EB4548E">
            <w:pPr>
              <w:widowControl/>
              <w:spacing w:line="360" w:lineRule="auto"/>
              <w:ind w:firstLine="480" w:firstLineChars="200"/>
              <w:jc w:val="both"/>
              <w:rPr>
                <w:color w:val="auto"/>
                <w:kern w:val="0"/>
                <w:sz w:val="24"/>
              </w:rPr>
            </w:pPr>
            <w:r>
              <w:rPr>
                <w:color w:val="auto"/>
                <w:kern w:val="0"/>
                <w:sz w:val="24"/>
              </w:rPr>
              <w:t>施工期施工废水经隔油、沉淀后用于</w:t>
            </w:r>
            <w:r>
              <w:rPr>
                <w:rFonts w:hint="eastAsia"/>
                <w:color w:val="auto"/>
                <w:kern w:val="0"/>
                <w:sz w:val="24"/>
                <w:lang w:eastAsia="zh-CN"/>
              </w:rPr>
              <w:t>项目</w:t>
            </w:r>
            <w:r>
              <w:rPr>
                <w:color w:val="auto"/>
                <w:kern w:val="0"/>
                <w:sz w:val="24"/>
              </w:rPr>
              <w:t>区降尘，不外排。施工期、运营期生活</w:t>
            </w:r>
            <w:r>
              <w:rPr>
                <w:rFonts w:hint="eastAsia"/>
                <w:color w:val="auto"/>
                <w:kern w:val="0"/>
                <w:sz w:val="24"/>
              </w:rPr>
              <w:t>污水</w:t>
            </w:r>
            <w:r>
              <w:rPr>
                <w:color w:val="auto"/>
                <w:kern w:val="0"/>
                <w:sz w:val="24"/>
              </w:rPr>
              <w:t>经</w:t>
            </w:r>
            <w:r>
              <w:rPr>
                <w:rFonts w:hint="eastAsia"/>
                <w:color w:val="auto"/>
                <w:kern w:val="0"/>
                <w:sz w:val="24"/>
              </w:rPr>
              <w:t>预处理后通过市政污水管网排放至</w:t>
            </w:r>
            <w:r>
              <w:rPr>
                <w:color w:val="auto"/>
                <w:sz w:val="24"/>
              </w:rPr>
              <w:t>南江县</w:t>
            </w:r>
            <w:r>
              <w:rPr>
                <w:rFonts w:hint="eastAsia"/>
                <w:color w:val="auto"/>
                <w:sz w:val="24"/>
              </w:rPr>
              <w:t>关坝镇</w:t>
            </w:r>
            <w:r>
              <w:rPr>
                <w:color w:val="auto"/>
                <w:sz w:val="24"/>
              </w:rPr>
              <w:t>污水处理站，</w:t>
            </w:r>
            <w:r>
              <w:rPr>
                <w:color w:val="auto"/>
                <w:kern w:val="0"/>
                <w:sz w:val="24"/>
              </w:rPr>
              <w:t>执行《污水综合排放标准》（GB8978-1996）三级标准，氨氮、总磷排放执行《污水排入城镇下水道水质标准》（GB/T 31962-2015）B级标准，具体标准限值如下。</w:t>
            </w:r>
          </w:p>
          <w:p w14:paraId="73E85C63">
            <w:pPr>
              <w:ind w:left="465" w:firstLine="422"/>
              <w:jc w:val="center"/>
              <w:rPr>
                <w:b/>
                <w:bCs/>
                <w:color w:val="auto"/>
                <w:szCs w:val="21"/>
              </w:rPr>
            </w:pPr>
            <w:r>
              <w:rPr>
                <w:b/>
                <w:bCs/>
                <w:color w:val="auto"/>
                <w:szCs w:val="21"/>
              </w:rPr>
              <w:t>表3-1</w:t>
            </w:r>
            <w:r>
              <w:rPr>
                <w:rFonts w:hint="eastAsia"/>
                <w:b/>
                <w:bCs/>
                <w:color w:val="auto"/>
                <w:szCs w:val="21"/>
              </w:rPr>
              <w:t>5</w:t>
            </w:r>
            <w:r>
              <w:rPr>
                <w:b/>
                <w:bCs/>
                <w:color w:val="auto"/>
                <w:szCs w:val="21"/>
              </w:rPr>
              <w:t xml:space="preserve">   </w:t>
            </w:r>
            <w:r>
              <w:rPr>
                <w:b/>
                <w:color w:val="auto"/>
                <w:kern w:val="0"/>
                <w:szCs w:val="21"/>
              </w:rPr>
              <w:t xml:space="preserve"> </w:t>
            </w:r>
            <w:r>
              <w:rPr>
                <w:b/>
                <w:color w:val="auto"/>
                <w:szCs w:val="21"/>
              </w:rPr>
              <w:t xml:space="preserve">《污水综合排放标准》（GB8978-1996）（摘录）  </w:t>
            </w:r>
            <w:r>
              <w:rPr>
                <w:b/>
                <w:color w:val="auto"/>
                <w:szCs w:val="21"/>
                <w:lang w:val="zh-CN"/>
              </w:rPr>
              <w:t>单位：mg/L</w:t>
            </w:r>
          </w:p>
          <w:tbl>
            <w:tblPr>
              <w:tblStyle w:val="34"/>
              <w:tblW w:w="7881"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948"/>
              <w:gridCol w:w="902"/>
              <w:gridCol w:w="775"/>
              <w:gridCol w:w="1159"/>
              <w:gridCol w:w="903"/>
              <w:gridCol w:w="885"/>
              <w:gridCol w:w="2309"/>
            </w:tblGrid>
            <w:tr w14:paraId="63F4E8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tblHeader/>
              </w:trPr>
              <w:tc>
                <w:tcPr>
                  <w:tcW w:w="948" w:type="dxa"/>
                  <w:tcBorders>
                    <w:tl2br w:val="nil"/>
                    <w:tr2bl w:val="nil"/>
                  </w:tcBorders>
                  <w:vAlign w:val="center"/>
                </w:tcPr>
                <w:p w14:paraId="2E587CC3">
                  <w:pPr>
                    <w:autoSpaceDE w:val="0"/>
                    <w:autoSpaceDN w:val="0"/>
                    <w:adjustRightInd w:val="0"/>
                    <w:snapToGrid w:val="0"/>
                    <w:jc w:val="center"/>
                    <w:textAlignment w:val="bottom"/>
                    <w:rPr>
                      <w:b/>
                      <w:color w:val="auto"/>
                      <w:kern w:val="0"/>
                      <w:szCs w:val="21"/>
                    </w:rPr>
                  </w:pPr>
                  <w:r>
                    <w:rPr>
                      <w:b/>
                      <w:color w:val="auto"/>
                      <w:kern w:val="0"/>
                      <w:szCs w:val="21"/>
                    </w:rPr>
                    <w:t>控制项目</w:t>
                  </w:r>
                </w:p>
              </w:tc>
              <w:tc>
                <w:tcPr>
                  <w:tcW w:w="902" w:type="dxa"/>
                  <w:tcBorders>
                    <w:tl2br w:val="nil"/>
                    <w:tr2bl w:val="nil"/>
                  </w:tcBorders>
                  <w:vAlign w:val="center"/>
                </w:tcPr>
                <w:p w14:paraId="0C9EE4E8">
                  <w:pPr>
                    <w:autoSpaceDE w:val="0"/>
                    <w:autoSpaceDN w:val="0"/>
                    <w:adjustRightInd w:val="0"/>
                    <w:snapToGrid w:val="0"/>
                    <w:jc w:val="center"/>
                    <w:textAlignment w:val="bottom"/>
                    <w:rPr>
                      <w:b/>
                      <w:color w:val="auto"/>
                      <w:kern w:val="0"/>
                      <w:szCs w:val="21"/>
                    </w:rPr>
                  </w:pPr>
                  <w:r>
                    <w:rPr>
                      <w:b/>
                      <w:color w:val="auto"/>
                      <w:kern w:val="0"/>
                      <w:szCs w:val="21"/>
                    </w:rPr>
                    <w:t>单位</w:t>
                  </w:r>
                </w:p>
              </w:tc>
              <w:tc>
                <w:tcPr>
                  <w:tcW w:w="775" w:type="dxa"/>
                  <w:tcBorders>
                    <w:tl2br w:val="nil"/>
                    <w:tr2bl w:val="nil"/>
                  </w:tcBorders>
                  <w:vAlign w:val="center"/>
                </w:tcPr>
                <w:p w14:paraId="6AC150AE">
                  <w:pPr>
                    <w:autoSpaceDE w:val="0"/>
                    <w:autoSpaceDN w:val="0"/>
                    <w:adjustRightInd w:val="0"/>
                    <w:snapToGrid w:val="0"/>
                    <w:jc w:val="center"/>
                    <w:textAlignment w:val="bottom"/>
                    <w:rPr>
                      <w:b/>
                      <w:color w:val="auto"/>
                      <w:kern w:val="0"/>
                      <w:szCs w:val="21"/>
                    </w:rPr>
                  </w:pPr>
                  <w:r>
                    <w:rPr>
                      <w:b/>
                      <w:color w:val="auto"/>
                      <w:kern w:val="0"/>
                      <w:szCs w:val="21"/>
                    </w:rPr>
                    <w:t>标准</w:t>
                  </w:r>
                </w:p>
              </w:tc>
              <w:tc>
                <w:tcPr>
                  <w:tcW w:w="1159" w:type="dxa"/>
                  <w:tcBorders>
                    <w:tl2br w:val="nil"/>
                    <w:tr2bl w:val="nil"/>
                  </w:tcBorders>
                  <w:vAlign w:val="center"/>
                </w:tcPr>
                <w:p w14:paraId="2BBA7EB4">
                  <w:pPr>
                    <w:autoSpaceDE w:val="0"/>
                    <w:autoSpaceDN w:val="0"/>
                    <w:adjustRightInd w:val="0"/>
                    <w:snapToGrid w:val="0"/>
                    <w:jc w:val="center"/>
                    <w:textAlignment w:val="bottom"/>
                    <w:rPr>
                      <w:b/>
                      <w:color w:val="auto"/>
                      <w:kern w:val="0"/>
                      <w:szCs w:val="21"/>
                    </w:rPr>
                  </w:pPr>
                  <w:r>
                    <w:rPr>
                      <w:b/>
                      <w:color w:val="auto"/>
                      <w:kern w:val="0"/>
                      <w:szCs w:val="21"/>
                    </w:rPr>
                    <w:t>控制项目</w:t>
                  </w:r>
                </w:p>
              </w:tc>
              <w:tc>
                <w:tcPr>
                  <w:tcW w:w="903" w:type="dxa"/>
                  <w:tcBorders>
                    <w:tl2br w:val="nil"/>
                    <w:tr2bl w:val="nil"/>
                  </w:tcBorders>
                  <w:vAlign w:val="center"/>
                </w:tcPr>
                <w:p w14:paraId="6F330991">
                  <w:pPr>
                    <w:autoSpaceDE w:val="0"/>
                    <w:autoSpaceDN w:val="0"/>
                    <w:adjustRightInd w:val="0"/>
                    <w:snapToGrid w:val="0"/>
                    <w:jc w:val="center"/>
                    <w:textAlignment w:val="bottom"/>
                    <w:rPr>
                      <w:b/>
                      <w:color w:val="auto"/>
                      <w:kern w:val="0"/>
                      <w:szCs w:val="21"/>
                    </w:rPr>
                  </w:pPr>
                  <w:r>
                    <w:rPr>
                      <w:b/>
                      <w:color w:val="auto"/>
                      <w:kern w:val="0"/>
                      <w:szCs w:val="21"/>
                    </w:rPr>
                    <w:t>单位</w:t>
                  </w:r>
                </w:p>
              </w:tc>
              <w:tc>
                <w:tcPr>
                  <w:tcW w:w="885" w:type="dxa"/>
                  <w:tcBorders>
                    <w:tl2br w:val="nil"/>
                    <w:tr2bl w:val="nil"/>
                  </w:tcBorders>
                  <w:vAlign w:val="center"/>
                </w:tcPr>
                <w:p w14:paraId="1E13E603">
                  <w:pPr>
                    <w:autoSpaceDE w:val="0"/>
                    <w:autoSpaceDN w:val="0"/>
                    <w:adjustRightInd w:val="0"/>
                    <w:snapToGrid w:val="0"/>
                    <w:jc w:val="center"/>
                    <w:textAlignment w:val="bottom"/>
                    <w:rPr>
                      <w:b/>
                      <w:color w:val="auto"/>
                      <w:kern w:val="0"/>
                      <w:szCs w:val="21"/>
                    </w:rPr>
                  </w:pPr>
                  <w:r>
                    <w:rPr>
                      <w:b/>
                      <w:color w:val="auto"/>
                      <w:kern w:val="0"/>
                      <w:szCs w:val="21"/>
                    </w:rPr>
                    <w:t>标准</w:t>
                  </w:r>
                </w:p>
              </w:tc>
              <w:tc>
                <w:tcPr>
                  <w:tcW w:w="2309" w:type="dxa"/>
                  <w:tcBorders>
                    <w:tl2br w:val="nil"/>
                    <w:tr2bl w:val="nil"/>
                  </w:tcBorders>
                  <w:vAlign w:val="center"/>
                </w:tcPr>
                <w:p w14:paraId="5467767C">
                  <w:pPr>
                    <w:autoSpaceDE w:val="0"/>
                    <w:autoSpaceDN w:val="0"/>
                    <w:adjustRightInd w:val="0"/>
                    <w:snapToGrid w:val="0"/>
                    <w:jc w:val="center"/>
                    <w:textAlignment w:val="bottom"/>
                    <w:rPr>
                      <w:b/>
                      <w:color w:val="auto"/>
                      <w:kern w:val="0"/>
                      <w:szCs w:val="21"/>
                    </w:rPr>
                  </w:pPr>
                  <w:r>
                    <w:rPr>
                      <w:b/>
                      <w:color w:val="auto"/>
                      <w:kern w:val="0"/>
                      <w:szCs w:val="21"/>
                    </w:rPr>
                    <w:t>依据</w:t>
                  </w:r>
                </w:p>
              </w:tc>
            </w:tr>
            <w:tr w14:paraId="410B6B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948" w:type="dxa"/>
                  <w:tcBorders>
                    <w:tl2br w:val="nil"/>
                    <w:tr2bl w:val="nil"/>
                  </w:tcBorders>
                  <w:vAlign w:val="center"/>
                </w:tcPr>
                <w:p w14:paraId="6A35BCC0">
                  <w:pPr>
                    <w:adjustRightInd w:val="0"/>
                    <w:snapToGrid w:val="0"/>
                    <w:jc w:val="center"/>
                    <w:rPr>
                      <w:color w:val="auto"/>
                      <w:kern w:val="0"/>
                      <w:szCs w:val="21"/>
                    </w:rPr>
                  </w:pPr>
                  <w:r>
                    <w:rPr>
                      <w:color w:val="auto"/>
                      <w:kern w:val="0"/>
                      <w:szCs w:val="21"/>
                    </w:rPr>
                    <w:t>pH</w:t>
                  </w:r>
                </w:p>
              </w:tc>
              <w:tc>
                <w:tcPr>
                  <w:tcW w:w="902" w:type="dxa"/>
                  <w:tcBorders>
                    <w:tl2br w:val="nil"/>
                    <w:tr2bl w:val="nil"/>
                  </w:tcBorders>
                  <w:vAlign w:val="center"/>
                </w:tcPr>
                <w:p w14:paraId="0C0C2A5D">
                  <w:pPr>
                    <w:adjustRightInd w:val="0"/>
                    <w:snapToGrid w:val="0"/>
                    <w:jc w:val="center"/>
                    <w:rPr>
                      <w:color w:val="auto"/>
                      <w:kern w:val="0"/>
                      <w:szCs w:val="21"/>
                    </w:rPr>
                  </w:pPr>
                  <w:r>
                    <w:rPr>
                      <w:color w:val="auto"/>
                      <w:kern w:val="0"/>
                      <w:szCs w:val="21"/>
                    </w:rPr>
                    <w:t>无量纲</w:t>
                  </w:r>
                </w:p>
              </w:tc>
              <w:tc>
                <w:tcPr>
                  <w:tcW w:w="775" w:type="dxa"/>
                  <w:tcBorders>
                    <w:tl2br w:val="nil"/>
                    <w:tr2bl w:val="nil"/>
                  </w:tcBorders>
                  <w:vAlign w:val="center"/>
                </w:tcPr>
                <w:p w14:paraId="4A7A7CAF">
                  <w:pPr>
                    <w:adjustRightInd w:val="0"/>
                    <w:snapToGrid w:val="0"/>
                    <w:jc w:val="center"/>
                    <w:rPr>
                      <w:color w:val="auto"/>
                      <w:kern w:val="0"/>
                      <w:szCs w:val="21"/>
                    </w:rPr>
                  </w:pPr>
                  <w:r>
                    <w:rPr>
                      <w:color w:val="auto"/>
                      <w:kern w:val="0"/>
                      <w:szCs w:val="21"/>
                    </w:rPr>
                    <w:t>6-9</w:t>
                  </w:r>
                </w:p>
              </w:tc>
              <w:tc>
                <w:tcPr>
                  <w:tcW w:w="1159" w:type="dxa"/>
                  <w:tcBorders>
                    <w:tl2br w:val="nil"/>
                    <w:tr2bl w:val="nil"/>
                  </w:tcBorders>
                  <w:vAlign w:val="center"/>
                </w:tcPr>
                <w:p w14:paraId="1DDC9BBE">
                  <w:pPr>
                    <w:adjustRightInd w:val="0"/>
                    <w:snapToGrid w:val="0"/>
                    <w:jc w:val="center"/>
                    <w:rPr>
                      <w:color w:val="auto"/>
                      <w:kern w:val="0"/>
                      <w:szCs w:val="21"/>
                    </w:rPr>
                  </w:pPr>
                  <w:r>
                    <w:rPr>
                      <w:color w:val="auto"/>
                      <w:kern w:val="0"/>
                      <w:szCs w:val="21"/>
                    </w:rPr>
                    <w:t>NH</w:t>
                  </w:r>
                  <w:r>
                    <w:rPr>
                      <w:color w:val="auto"/>
                      <w:kern w:val="0"/>
                      <w:szCs w:val="21"/>
                      <w:vertAlign w:val="subscript"/>
                    </w:rPr>
                    <w:t>3</w:t>
                  </w:r>
                  <w:r>
                    <w:rPr>
                      <w:color w:val="auto"/>
                      <w:kern w:val="0"/>
                      <w:szCs w:val="21"/>
                    </w:rPr>
                    <w:t>-N</w:t>
                  </w:r>
                </w:p>
              </w:tc>
              <w:tc>
                <w:tcPr>
                  <w:tcW w:w="903" w:type="dxa"/>
                  <w:tcBorders>
                    <w:tl2br w:val="nil"/>
                    <w:tr2bl w:val="nil"/>
                  </w:tcBorders>
                  <w:vAlign w:val="center"/>
                </w:tcPr>
                <w:p w14:paraId="1E3EDD27">
                  <w:pPr>
                    <w:adjustRightInd w:val="0"/>
                    <w:snapToGrid w:val="0"/>
                    <w:jc w:val="center"/>
                    <w:rPr>
                      <w:color w:val="auto"/>
                      <w:kern w:val="0"/>
                      <w:szCs w:val="21"/>
                    </w:rPr>
                  </w:pPr>
                  <w:r>
                    <w:rPr>
                      <w:color w:val="auto"/>
                      <w:kern w:val="0"/>
                      <w:szCs w:val="21"/>
                    </w:rPr>
                    <w:t>mg/L</w:t>
                  </w:r>
                </w:p>
              </w:tc>
              <w:tc>
                <w:tcPr>
                  <w:tcW w:w="885" w:type="dxa"/>
                  <w:tcBorders>
                    <w:tl2br w:val="nil"/>
                    <w:tr2bl w:val="nil"/>
                  </w:tcBorders>
                  <w:vAlign w:val="center"/>
                </w:tcPr>
                <w:p w14:paraId="0AE0614E">
                  <w:pPr>
                    <w:adjustRightInd w:val="0"/>
                    <w:snapToGrid w:val="0"/>
                    <w:jc w:val="center"/>
                    <w:rPr>
                      <w:color w:val="auto"/>
                      <w:kern w:val="0"/>
                      <w:szCs w:val="21"/>
                    </w:rPr>
                  </w:pPr>
                  <w:r>
                    <w:rPr>
                      <w:color w:val="auto"/>
                      <w:kern w:val="0"/>
                      <w:szCs w:val="21"/>
                    </w:rPr>
                    <w:t>45</w:t>
                  </w:r>
                </w:p>
              </w:tc>
              <w:tc>
                <w:tcPr>
                  <w:tcW w:w="2309" w:type="dxa"/>
                  <w:vMerge w:val="restart"/>
                  <w:tcBorders>
                    <w:tl2br w:val="nil"/>
                    <w:tr2bl w:val="nil"/>
                  </w:tcBorders>
                  <w:vAlign w:val="center"/>
                </w:tcPr>
                <w:p w14:paraId="5FCACA57">
                  <w:pPr>
                    <w:adjustRightInd w:val="0"/>
                    <w:snapToGrid w:val="0"/>
                    <w:jc w:val="center"/>
                    <w:rPr>
                      <w:color w:val="auto"/>
                      <w:kern w:val="0"/>
                      <w:szCs w:val="21"/>
                    </w:rPr>
                  </w:pPr>
                  <w:r>
                    <w:rPr>
                      <w:color w:val="auto"/>
                      <w:kern w:val="0"/>
                      <w:szCs w:val="21"/>
                    </w:rPr>
                    <w:t>《污水综合排放标准》（GB8978-1996）中</w:t>
                  </w:r>
                </w:p>
                <w:p w14:paraId="41128348">
                  <w:pPr>
                    <w:adjustRightInd w:val="0"/>
                    <w:snapToGrid w:val="0"/>
                    <w:jc w:val="center"/>
                    <w:rPr>
                      <w:color w:val="auto"/>
                      <w:kern w:val="0"/>
                      <w:szCs w:val="21"/>
                    </w:rPr>
                  </w:pPr>
                  <w:r>
                    <w:rPr>
                      <w:color w:val="auto"/>
                      <w:kern w:val="0"/>
                      <w:szCs w:val="21"/>
                    </w:rPr>
                    <w:t>三级标准</w:t>
                  </w:r>
                </w:p>
              </w:tc>
            </w:tr>
            <w:tr w14:paraId="4D33F5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948" w:type="dxa"/>
                  <w:tcBorders>
                    <w:tl2br w:val="nil"/>
                    <w:tr2bl w:val="nil"/>
                  </w:tcBorders>
                  <w:vAlign w:val="center"/>
                </w:tcPr>
                <w:p w14:paraId="6BF497CA">
                  <w:pPr>
                    <w:adjustRightInd w:val="0"/>
                    <w:snapToGrid w:val="0"/>
                    <w:jc w:val="center"/>
                    <w:rPr>
                      <w:color w:val="auto"/>
                      <w:kern w:val="0"/>
                      <w:szCs w:val="21"/>
                    </w:rPr>
                  </w:pPr>
                  <w:r>
                    <w:rPr>
                      <w:color w:val="auto"/>
                      <w:kern w:val="0"/>
                      <w:szCs w:val="21"/>
                    </w:rPr>
                    <w:t>SS</w:t>
                  </w:r>
                </w:p>
              </w:tc>
              <w:tc>
                <w:tcPr>
                  <w:tcW w:w="902" w:type="dxa"/>
                  <w:tcBorders>
                    <w:tl2br w:val="nil"/>
                    <w:tr2bl w:val="nil"/>
                  </w:tcBorders>
                  <w:vAlign w:val="center"/>
                </w:tcPr>
                <w:p w14:paraId="67690F24">
                  <w:pPr>
                    <w:adjustRightInd w:val="0"/>
                    <w:snapToGrid w:val="0"/>
                    <w:jc w:val="center"/>
                    <w:rPr>
                      <w:color w:val="auto"/>
                      <w:kern w:val="0"/>
                      <w:szCs w:val="21"/>
                    </w:rPr>
                  </w:pPr>
                  <w:r>
                    <w:rPr>
                      <w:color w:val="auto"/>
                      <w:kern w:val="0"/>
                      <w:szCs w:val="21"/>
                    </w:rPr>
                    <w:t>mg/L</w:t>
                  </w:r>
                </w:p>
              </w:tc>
              <w:tc>
                <w:tcPr>
                  <w:tcW w:w="775" w:type="dxa"/>
                  <w:tcBorders>
                    <w:tl2br w:val="nil"/>
                    <w:tr2bl w:val="nil"/>
                  </w:tcBorders>
                  <w:vAlign w:val="center"/>
                </w:tcPr>
                <w:p w14:paraId="1999FBEE">
                  <w:pPr>
                    <w:adjustRightInd w:val="0"/>
                    <w:snapToGrid w:val="0"/>
                    <w:jc w:val="center"/>
                    <w:rPr>
                      <w:color w:val="auto"/>
                      <w:kern w:val="0"/>
                      <w:szCs w:val="21"/>
                    </w:rPr>
                  </w:pPr>
                  <w:r>
                    <w:rPr>
                      <w:color w:val="auto"/>
                      <w:kern w:val="0"/>
                      <w:szCs w:val="21"/>
                    </w:rPr>
                    <w:t>400</w:t>
                  </w:r>
                </w:p>
              </w:tc>
              <w:tc>
                <w:tcPr>
                  <w:tcW w:w="1159" w:type="dxa"/>
                  <w:tcBorders>
                    <w:tl2br w:val="nil"/>
                    <w:tr2bl w:val="nil"/>
                  </w:tcBorders>
                  <w:vAlign w:val="center"/>
                </w:tcPr>
                <w:p w14:paraId="729157AE">
                  <w:pPr>
                    <w:adjustRightInd w:val="0"/>
                    <w:snapToGrid w:val="0"/>
                    <w:jc w:val="center"/>
                    <w:rPr>
                      <w:color w:val="auto"/>
                      <w:kern w:val="0"/>
                      <w:szCs w:val="21"/>
                    </w:rPr>
                  </w:pPr>
                  <w:r>
                    <w:rPr>
                      <w:color w:val="auto"/>
                      <w:kern w:val="0"/>
                      <w:szCs w:val="21"/>
                    </w:rPr>
                    <w:t>总磷</w:t>
                  </w:r>
                </w:p>
              </w:tc>
              <w:tc>
                <w:tcPr>
                  <w:tcW w:w="903" w:type="dxa"/>
                  <w:tcBorders>
                    <w:tl2br w:val="nil"/>
                    <w:tr2bl w:val="nil"/>
                  </w:tcBorders>
                  <w:vAlign w:val="center"/>
                </w:tcPr>
                <w:p w14:paraId="524AE298">
                  <w:pPr>
                    <w:adjustRightInd w:val="0"/>
                    <w:snapToGrid w:val="0"/>
                    <w:jc w:val="center"/>
                    <w:rPr>
                      <w:color w:val="auto"/>
                      <w:kern w:val="0"/>
                      <w:szCs w:val="21"/>
                    </w:rPr>
                  </w:pPr>
                  <w:r>
                    <w:rPr>
                      <w:color w:val="auto"/>
                      <w:kern w:val="0"/>
                      <w:szCs w:val="21"/>
                    </w:rPr>
                    <w:t>mg/L</w:t>
                  </w:r>
                </w:p>
              </w:tc>
              <w:tc>
                <w:tcPr>
                  <w:tcW w:w="885" w:type="dxa"/>
                  <w:tcBorders>
                    <w:tl2br w:val="nil"/>
                    <w:tr2bl w:val="nil"/>
                  </w:tcBorders>
                  <w:vAlign w:val="center"/>
                </w:tcPr>
                <w:p w14:paraId="30C4FA5E">
                  <w:pPr>
                    <w:adjustRightInd w:val="0"/>
                    <w:snapToGrid w:val="0"/>
                    <w:jc w:val="center"/>
                    <w:rPr>
                      <w:color w:val="auto"/>
                      <w:kern w:val="0"/>
                      <w:szCs w:val="21"/>
                    </w:rPr>
                  </w:pPr>
                  <w:r>
                    <w:rPr>
                      <w:color w:val="auto"/>
                      <w:kern w:val="0"/>
                      <w:szCs w:val="21"/>
                    </w:rPr>
                    <w:t>8</w:t>
                  </w:r>
                </w:p>
              </w:tc>
              <w:tc>
                <w:tcPr>
                  <w:tcW w:w="2309" w:type="dxa"/>
                  <w:vMerge w:val="continue"/>
                  <w:tcBorders>
                    <w:tl2br w:val="nil"/>
                    <w:tr2bl w:val="nil"/>
                  </w:tcBorders>
                  <w:vAlign w:val="center"/>
                </w:tcPr>
                <w:p w14:paraId="6CB6464A">
                  <w:pPr>
                    <w:adjustRightInd w:val="0"/>
                    <w:snapToGrid w:val="0"/>
                    <w:jc w:val="center"/>
                    <w:rPr>
                      <w:color w:val="auto"/>
                      <w:kern w:val="0"/>
                      <w:szCs w:val="21"/>
                    </w:rPr>
                  </w:pPr>
                </w:p>
              </w:tc>
            </w:tr>
            <w:tr w14:paraId="3CB630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948" w:type="dxa"/>
                  <w:tcBorders>
                    <w:tl2br w:val="nil"/>
                    <w:tr2bl w:val="nil"/>
                  </w:tcBorders>
                  <w:vAlign w:val="center"/>
                </w:tcPr>
                <w:p w14:paraId="70E716AE">
                  <w:pPr>
                    <w:adjustRightInd w:val="0"/>
                    <w:snapToGrid w:val="0"/>
                    <w:jc w:val="center"/>
                    <w:rPr>
                      <w:color w:val="auto"/>
                      <w:kern w:val="0"/>
                      <w:szCs w:val="21"/>
                    </w:rPr>
                  </w:pPr>
                  <w:r>
                    <w:rPr>
                      <w:color w:val="auto"/>
                      <w:kern w:val="0"/>
                      <w:szCs w:val="21"/>
                    </w:rPr>
                    <w:t>COD</w:t>
                  </w:r>
                  <w:r>
                    <w:rPr>
                      <w:color w:val="auto"/>
                      <w:kern w:val="0"/>
                      <w:szCs w:val="21"/>
                      <w:vertAlign w:val="subscript"/>
                    </w:rPr>
                    <w:t>Cr</w:t>
                  </w:r>
                </w:p>
              </w:tc>
              <w:tc>
                <w:tcPr>
                  <w:tcW w:w="902" w:type="dxa"/>
                  <w:tcBorders>
                    <w:tl2br w:val="nil"/>
                    <w:tr2bl w:val="nil"/>
                  </w:tcBorders>
                  <w:vAlign w:val="center"/>
                </w:tcPr>
                <w:p w14:paraId="3A9C663E">
                  <w:pPr>
                    <w:adjustRightInd w:val="0"/>
                    <w:snapToGrid w:val="0"/>
                    <w:jc w:val="center"/>
                    <w:rPr>
                      <w:color w:val="auto"/>
                      <w:kern w:val="0"/>
                      <w:szCs w:val="21"/>
                    </w:rPr>
                  </w:pPr>
                  <w:r>
                    <w:rPr>
                      <w:color w:val="auto"/>
                      <w:kern w:val="0"/>
                      <w:szCs w:val="21"/>
                    </w:rPr>
                    <w:t>mg/L</w:t>
                  </w:r>
                </w:p>
              </w:tc>
              <w:tc>
                <w:tcPr>
                  <w:tcW w:w="775" w:type="dxa"/>
                  <w:tcBorders>
                    <w:tl2br w:val="nil"/>
                    <w:tr2bl w:val="nil"/>
                  </w:tcBorders>
                  <w:vAlign w:val="center"/>
                </w:tcPr>
                <w:p w14:paraId="2879E86B">
                  <w:pPr>
                    <w:adjustRightInd w:val="0"/>
                    <w:snapToGrid w:val="0"/>
                    <w:jc w:val="center"/>
                    <w:rPr>
                      <w:color w:val="auto"/>
                      <w:kern w:val="0"/>
                      <w:szCs w:val="21"/>
                    </w:rPr>
                  </w:pPr>
                  <w:r>
                    <w:rPr>
                      <w:color w:val="auto"/>
                      <w:kern w:val="0"/>
                      <w:szCs w:val="21"/>
                    </w:rPr>
                    <w:t>500</w:t>
                  </w:r>
                </w:p>
              </w:tc>
              <w:tc>
                <w:tcPr>
                  <w:tcW w:w="1159" w:type="dxa"/>
                  <w:tcBorders>
                    <w:tl2br w:val="nil"/>
                    <w:tr2bl w:val="nil"/>
                  </w:tcBorders>
                  <w:vAlign w:val="center"/>
                </w:tcPr>
                <w:p w14:paraId="78DC4E5D">
                  <w:pPr>
                    <w:adjustRightInd w:val="0"/>
                    <w:snapToGrid w:val="0"/>
                    <w:jc w:val="center"/>
                    <w:rPr>
                      <w:color w:val="auto"/>
                      <w:kern w:val="0"/>
                      <w:szCs w:val="21"/>
                    </w:rPr>
                  </w:pPr>
                  <w:r>
                    <w:rPr>
                      <w:color w:val="auto"/>
                      <w:kern w:val="0"/>
                      <w:szCs w:val="21"/>
                    </w:rPr>
                    <w:t>动植物油</w:t>
                  </w:r>
                </w:p>
              </w:tc>
              <w:tc>
                <w:tcPr>
                  <w:tcW w:w="903" w:type="dxa"/>
                  <w:tcBorders>
                    <w:tl2br w:val="nil"/>
                    <w:tr2bl w:val="nil"/>
                  </w:tcBorders>
                  <w:vAlign w:val="center"/>
                </w:tcPr>
                <w:p w14:paraId="2A1FF538">
                  <w:pPr>
                    <w:adjustRightInd w:val="0"/>
                    <w:snapToGrid w:val="0"/>
                    <w:jc w:val="center"/>
                    <w:rPr>
                      <w:color w:val="auto"/>
                      <w:kern w:val="0"/>
                      <w:szCs w:val="21"/>
                    </w:rPr>
                  </w:pPr>
                  <w:r>
                    <w:rPr>
                      <w:color w:val="auto"/>
                      <w:kern w:val="0"/>
                      <w:szCs w:val="21"/>
                    </w:rPr>
                    <w:t>mg/L</w:t>
                  </w:r>
                </w:p>
              </w:tc>
              <w:tc>
                <w:tcPr>
                  <w:tcW w:w="885" w:type="dxa"/>
                  <w:tcBorders>
                    <w:tl2br w:val="nil"/>
                    <w:tr2bl w:val="nil"/>
                  </w:tcBorders>
                  <w:vAlign w:val="center"/>
                </w:tcPr>
                <w:p w14:paraId="3D3E06AA">
                  <w:pPr>
                    <w:adjustRightInd w:val="0"/>
                    <w:snapToGrid w:val="0"/>
                    <w:jc w:val="center"/>
                    <w:rPr>
                      <w:color w:val="auto"/>
                      <w:kern w:val="0"/>
                      <w:szCs w:val="21"/>
                    </w:rPr>
                  </w:pPr>
                  <w:r>
                    <w:rPr>
                      <w:color w:val="auto"/>
                      <w:kern w:val="0"/>
                      <w:szCs w:val="21"/>
                    </w:rPr>
                    <w:t>100</w:t>
                  </w:r>
                </w:p>
              </w:tc>
              <w:tc>
                <w:tcPr>
                  <w:tcW w:w="2309" w:type="dxa"/>
                  <w:vMerge w:val="continue"/>
                  <w:tcBorders>
                    <w:tl2br w:val="nil"/>
                    <w:tr2bl w:val="nil"/>
                  </w:tcBorders>
                  <w:vAlign w:val="center"/>
                </w:tcPr>
                <w:p w14:paraId="689EFD05">
                  <w:pPr>
                    <w:adjustRightInd w:val="0"/>
                    <w:snapToGrid w:val="0"/>
                    <w:jc w:val="center"/>
                    <w:rPr>
                      <w:color w:val="auto"/>
                      <w:kern w:val="0"/>
                      <w:szCs w:val="21"/>
                    </w:rPr>
                  </w:pPr>
                </w:p>
              </w:tc>
            </w:tr>
          </w:tbl>
          <w:p w14:paraId="6F520056">
            <w:pPr>
              <w:adjustRightInd w:val="0"/>
              <w:snapToGrid w:val="0"/>
              <w:rPr>
                <w:b/>
                <w:color w:val="auto"/>
                <w:szCs w:val="21"/>
              </w:rPr>
            </w:pPr>
            <w:r>
              <w:rPr>
                <w:b/>
                <w:color w:val="auto"/>
                <w:kern w:val="0"/>
                <w:szCs w:val="21"/>
              </w:rPr>
              <w:t>注：NH</w:t>
            </w:r>
            <w:r>
              <w:rPr>
                <w:b/>
                <w:color w:val="auto"/>
                <w:kern w:val="0"/>
                <w:szCs w:val="21"/>
                <w:vertAlign w:val="subscript"/>
              </w:rPr>
              <w:t>3</w:t>
            </w:r>
            <w:r>
              <w:rPr>
                <w:b/>
                <w:color w:val="auto"/>
                <w:kern w:val="0"/>
                <w:szCs w:val="21"/>
              </w:rPr>
              <w:t>-N</w:t>
            </w:r>
            <w:r>
              <w:rPr>
                <w:rFonts w:hint="eastAsia"/>
                <w:b/>
                <w:color w:val="auto"/>
                <w:kern w:val="0"/>
                <w:szCs w:val="21"/>
              </w:rPr>
              <w:t>、</w:t>
            </w:r>
            <w:r>
              <w:rPr>
                <w:b/>
                <w:color w:val="auto"/>
                <w:kern w:val="0"/>
                <w:szCs w:val="21"/>
              </w:rPr>
              <w:t>总磷在</w:t>
            </w:r>
            <w:r>
              <w:rPr>
                <w:b/>
                <w:color w:val="auto"/>
                <w:szCs w:val="21"/>
              </w:rPr>
              <w:t>《污水综合排放标准》（GB8978-1996）表4三级排放标准中未作规定，参照执行《污水排入城镇下水管道水质标准》（GB/T31962-2015）表1中B等级标准。</w:t>
            </w:r>
          </w:p>
          <w:p w14:paraId="35F909FE">
            <w:pPr>
              <w:adjustRightInd w:val="0"/>
              <w:snapToGrid w:val="0"/>
              <w:spacing w:before="120" w:beforeLines="50" w:line="360" w:lineRule="auto"/>
              <w:ind w:left="420" w:leftChars="200"/>
              <w:rPr>
                <w:b/>
                <w:bCs/>
                <w:color w:val="auto"/>
                <w:kern w:val="0"/>
                <w:sz w:val="24"/>
              </w:rPr>
            </w:pPr>
            <w:r>
              <w:rPr>
                <w:b/>
                <w:bCs/>
                <w:color w:val="auto"/>
                <w:kern w:val="0"/>
                <w:sz w:val="24"/>
              </w:rPr>
              <w:t>3、环境噪声排放标准</w:t>
            </w:r>
          </w:p>
          <w:p w14:paraId="6399F519">
            <w:pPr>
              <w:widowControl/>
              <w:adjustRightInd w:val="0"/>
              <w:snapToGrid w:val="0"/>
              <w:spacing w:line="360" w:lineRule="auto"/>
              <w:ind w:firstLine="480" w:firstLineChars="200"/>
              <w:jc w:val="left"/>
              <w:rPr>
                <w:color w:val="auto"/>
                <w:kern w:val="0"/>
                <w:sz w:val="24"/>
              </w:rPr>
            </w:pPr>
            <w:r>
              <w:rPr>
                <w:color w:val="auto"/>
                <w:kern w:val="0"/>
                <w:sz w:val="24"/>
              </w:rPr>
              <w:t>施工期噪声执行《建筑施工噪声排放标准》（GB12523-20</w:t>
            </w:r>
            <w:r>
              <w:rPr>
                <w:rFonts w:hint="eastAsia"/>
                <w:color w:val="auto"/>
                <w:kern w:val="0"/>
                <w:sz w:val="24"/>
                <w:lang w:val="en-US" w:eastAsia="zh-CN"/>
              </w:rPr>
              <w:t>25</w:t>
            </w:r>
            <w:r>
              <w:rPr>
                <w:color w:val="auto"/>
                <w:kern w:val="0"/>
                <w:sz w:val="24"/>
              </w:rPr>
              <w:t>），运营期执行《社会生活环境噪声排放标准》（GB22337-2008）2类标准，具体标准限值如下表所示。</w:t>
            </w:r>
          </w:p>
          <w:p w14:paraId="7C7B29DD">
            <w:pPr>
              <w:widowControl/>
              <w:jc w:val="center"/>
              <w:rPr>
                <w:color w:val="auto"/>
                <w:kern w:val="0"/>
                <w:szCs w:val="21"/>
              </w:rPr>
            </w:pPr>
            <w:r>
              <w:rPr>
                <w:b/>
                <w:bCs/>
                <w:color w:val="auto"/>
                <w:kern w:val="0"/>
                <w:szCs w:val="21"/>
              </w:rPr>
              <w:t>表3-1</w:t>
            </w:r>
            <w:r>
              <w:rPr>
                <w:rFonts w:hint="eastAsia"/>
                <w:b/>
                <w:bCs/>
                <w:color w:val="auto"/>
                <w:kern w:val="0"/>
                <w:szCs w:val="21"/>
              </w:rPr>
              <w:t>6</w:t>
            </w:r>
            <w:r>
              <w:rPr>
                <w:b/>
                <w:bCs/>
                <w:color w:val="auto"/>
                <w:kern w:val="0"/>
                <w:szCs w:val="21"/>
              </w:rPr>
              <w:t xml:space="preserve">    声环境排放标准  单位：dB（A）</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18"/>
              <w:gridCol w:w="1950"/>
              <w:gridCol w:w="1614"/>
            </w:tblGrid>
            <w:tr w14:paraId="0628F7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17" w:type="dxa"/>
                  <w:tcBorders>
                    <w:tl2br w:val="nil"/>
                    <w:tr2bl w:val="nil"/>
                  </w:tcBorders>
                  <w:vAlign w:val="center"/>
                </w:tcPr>
                <w:p w14:paraId="29302BA5">
                  <w:pPr>
                    <w:tabs>
                      <w:tab w:val="left" w:pos="2592"/>
                    </w:tabs>
                    <w:jc w:val="center"/>
                    <w:rPr>
                      <w:b/>
                      <w:bCs/>
                      <w:color w:val="auto"/>
                      <w:szCs w:val="21"/>
                    </w:rPr>
                  </w:pPr>
                  <w:r>
                    <w:rPr>
                      <w:b/>
                      <w:bCs/>
                      <w:color w:val="auto"/>
                      <w:szCs w:val="21"/>
                    </w:rPr>
                    <w:t>标准来源</w:t>
                  </w:r>
                </w:p>
              </w:tc>
              <w:tc>
                <w:tcPr>
                  <w:tcW w:w="1950" w:type="dxa"/>
                  <w:tcBorders>
                    <w:tl2br w:val="nil"/>
                    <w:tr2bl w:val="nil"/>
                  </w:tcBorders>
                  <w:vAlign w:val="center"/>
                </w:tcPr>
                <w:p w14:paraId="6410E74F">
                  <w:pPr>
                    <w:tabs>
                      <w:tab w:val="left" w:pos="2592"/>
                    </w:tabs>
                    <w:jc w:val="center"/>
                    <w:rPr>
                      <w:b/>
                      <w:bCs/>
                      <w:color w:val="auto"/>
                      <w:szCs w:val="21"/>
                    </w:rPr>
                  </w:pPr>
                  <w:r>
                    <w:rPr>
                      <w:b/>
                      <w:bCs/>
                      <w:color w:val="auto"/>
                      <w:szCs w:val="21"/>
                    </w:rPr>
                    <w:t>昼间</w:t>
                  </w:r>
                </w:p>
              </w:tc>
              <w:tc>
                <w:tcPr>
                  <w:tcW w:w="1614" w:type="dxa"/>
                  <w:tcBorders>
                    <w:tl2br w:val="nil"/>
                    <w:tr2bl w:val="nil"/>
                  </w:tcBorders>
                  <w:vAlign w:val="center"/>
                </w:tcPr>
                <w:p w14:paraId="2A2AD0D5">
                  <w:pPr>
                    <w:tabs>
                      <w:tab w:val="left" w:pos="2592"/>
                    </w:tabs>
                    <w:jc w:val="center"/>
                    <w:rPr>
                      <w:b/>
                      <w:bCs/>
                      <w:color w:val="auto"/>
                      <w:szCs w:val="21"/>
                    </w:rPr>
                  </w:pPr>
                  <w:r>
                    <w:rPr>
                      <w:b/>
                      <w:bCs/>
                      <w:color w:val="auto"/>
                      <w:szCs w:val="21"/>
                    </w:rPr>
                    <w:t>夜间</w:t>
                  </w:r>
                </w:p>
              </w:tc>
            </w:tr>
            <w:tr w14:paraId="772801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17" w:type="dxa"/>
                  <w:tcBorders>
                    <w:tl2br w:val="nil"/>
                    <w:tr2bl w:val="nil"/>
                  </w:tcBorders>
                  <w:vAlign w:val="center"/>
                </w:tcPr>
                <w:p w14:paraId="4E4FA285">
                  <w:pPr>
                    <w:tabs>
                      <w:tab w:val="left" w:pos="2592"/>
                    </w:tabs>
                    <w:jc w:val="center"/>
                    <w:rPr>
                      <w:color w:val="auto"/>
                      <w:szCs w:val="21"/>
                    </w:rPr>
                  </w:pPr>
                  <w:r>
                    <w:rPr>
                      <w:color w:val="auto"/>
                      <w:szCs w:val="21"/>
                    </w:rPr>
                    <w:t>《建筑施工噪声排放标准》（GB12523-20</w:t>
                  </w:r>
                  <w:r>
                    <w:rPr>
                      <w:rFonts w:hint="eastAsia"/>
                      <w:color w:val="auto"/>
                      <w:szCs w:val="21"/>
                      <w:lang w:val="en-US" w:eastAsia="zh-CN"/>
                    </w:rPr>
                    <w:t>25</w:t>
                  </w:r>
                  <w:r>
                    <w:rPr>
                      <w:color w:val="auto"/>
                      <w:szCs w:val="21"/>
                    </w:rPr>
                    <w:t>）</w:t>
                  </w:r>
                </w:p>
              </w:tc>
              <w:tc>
                <w:tcPr>
                  <w:tcW w:w="1950" w:type="dxa"/>
                  <w:tcBorders>
                    <w:tl2br w:val="nil"/>
                    <w:tr2bl w:val="nil"/>
                  </w:tcBorders>
                  <w:vAlign w:val="center"/>
                </w:tcPr>
                <w:p w14:paraId="0B5A1625">
                  <w:pPr>
                    <w:tabs>
                      <w:tab w:val="left" w:pos="2592"/>
                    </w:tabs>
                    <w:jc w:val="center"/>
                    <w:rPr>
                      <w:color w:val="auto"/>
                      <w:szCs w:val="21"/>
                    </w:rPr>
                  </w:pPr>
                  <w:r>
                    <w:rPr>
                      <w:color w:val="auto"/>
                      <w:szCs w:val="21"/>
                    </w:rPr>
                    <w:t>70</w:t>
                  </w:r>
                </w:p>
              </w:tc>
              <w:tc>
                <w:tcPr>
                  <w:tcW w:w="1614" w:type="dxa"/>
                  <w:tcBorders>
                    <w:tl2br w:val="nil"/>
                    <w:tr2bl w:val="nil"/>
                  </w:tcBorders>
                  <w:vAlign w:val="center"/>
                </w:tcPr>
                <w:p w14:paraId="5584F043">
                  <w:pPr>
                    <w:tabs>
                      <w:tab w:val="left" w:pos="2592"/>
                    </w:tabs>
                    <w:jc w:val="center"/>
                    <w:rPr>
                      <w:color w:val="auto"/>
                      <w:szCs w:val="21"/>
                    </w:rPr>
                  </w:pPr>
                  <w:r>
                    <w:rPr>
                      <w:color w:val="auto"/>
                      <w:szCs w:val="21"/>
                    </w:rPr>
                    <w:t>55</w:t>
                  </w:r>
                </w:p>
              </w:tc>
            </w:tr>
            <w:tr w14:paraId="281E16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17" w:type="dxa"/>
                  <w:tcBorders>
                    <w:tl2br w:val="nil"/>
                    <w:tr2bl w:val="nil"/>
                  </w:tcBorders>
                  <w:vAlign w:val="center"/>
                </w:tcPr>
                <w:p w14:paraId="3B00F3C9">
                  <w:pPr>
                    <w:tabs>
                      <w:tab w:val="left" w:pos="2592"/>
                    </w:tabs>
                    <w:jc w:val="center"/>
                    <w:rPr>
                      <w:color w:val="auto"/>
                      <w:szCs w:val="21"/>
                    </w:rPr>
                  </w:pPr>
                  <w:r>
                    <w:rPr>
                      <w:color w:val="auto"/>
                      <w:szCs w:val="21"/>
                    </w:rPr>
                    <w:t>《社会生活环境噪声排放标准》（GB22337-2008）2类标准</w:t>
                  </w:r>
                </w:p>
              </w:tc>
              <w:tc>
                <w:tcPr>
                  <w:tcW w:w="1950" w:type="dxa"/>
                  <w:tcBorders>
                    <w:tl2br w:val="nil"/>
                    <w:tr2bl w:val="nil"/>
                  </w:tcBorders>
                  <w:vAlign w:val="center"/>
                </w:tcPr>
                <w:p w14:paraId="7B17E482">
                  <w:pPr>
                    <w:tabs>
                      <w:tab w:val="left" w:pos="2592"/>
                    </w:tabs>
                    <w:jc w:val="center"/>
                    <w:rPr>
                      <w:color w:val="auto"/>
                      <w:szCs w:val="21"/>
                    </w:rPr>
                  </w:pPr>
                  <w:r>
                    <w:rPr>
                      <w:color w:val="auto"/>
                      <w:szCs w:val="21"/>
                    </w:rPr>
                    <w:t>60</w:t>
                  </w:r>
                </w:p>
              </w:tc>
              <w:tc>
                <w:tcPr>
                  <w:tcW w:w="1614" w:type="dxa"/>
                  <w:tcBorders>
                    <w:tl2br w:val="nil"/>
                    <w:tr2bl w:val="nil"/>
                  </w:tcBorders>
                  <w:vAlign w:val="center"/>
                </w:tcPr>
                <w:p w14:paraId="52E7E897">
                  <w:pPr>
                    <w:tabs>
                      <w:tab w:val="left" w:pos="2592"/>
                    </w:tabs>
                    <w:jc w:val="center"/>
                    <w:rPr>
                      <w:color w:val="auto"/>
                      <w:szCs w:val="21"/>
                    </w:rPr>
                  </w:pPr>
                  <w:r>
                    <w:rPr>
                      <w:color w:val="auto"/>
                      <w:szCs w:val="21"/>
                    </w:rPr>
                    <w:t>50</w:t>
                  </w:r>
                </w:p>
              </w:tc>
            </w:tr>
          </w:tbl>
          <w:p w14:paraId="309B06AD">
            <w:pPr>
              <w:adjustRightInd w:val="0"/>
              <w:snapToGrid w:val="0"/>
              <w:spacing w:line="360" w:lineRule="auto"/>
              <w:rPr>
                <w:color w:val="auto"/>
                <w:kern w:val="0"/>
                <w:szCs w:val="21"/>
              </w:rPr>
            </w:pPr>
          </w:p>
        </w:tc>
      </w:tr>
      <w:tr w14:paraId="6C8717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47" w:type="pct"/>
            <w:vAlign w:val="center"/>
          </w:tcPr>
          <w:p w14:paraId="66A4C40B">
            <w:pPr>
              <w:adjustRightInd w:val="0"/>
              <w:snapToGrid w:val="0"/>
              <w:jc w:val="center"/>
              <w:rPr>
                <w:color w:val="auto"/>
                <w:kern w:val="0"/>
                <w:sz w:val="24"/>
              </w:rPr>
            </w:pPr>
            <w:r>
              <w:rPr>
                <w:color w:val="auto"/>
                <w:kern w:val="0"/>
                <w:sz w:val="24"/>
              </w:rPr>
              <w:t>其他</w:t>
            </w:r>
          </w:p>
        </w:tc>
        <w:tc>
          <w:tcPr>
            <w:tcW w:w="4752" w:type="pct"/>
          </w:tcPr>
          <w:p w14:paraId="7F9BD42D">
            <w:pPr>
              <w:adjustRightInd w:val="0"/>
              <w:snapToGrid w:val="0"/>
              <w:spacing w:before="120" w:beforeLines="50" w:line="360" w:lineRule="auto"/>
              <w:ind w:firstLine="482" w:firstLineChars="200"/>
              <w:rPr>
                <w:b/>
                <w:bCs/>
                <w:color w:val="auto"/>
                <w:sz w:val="24"/>
              </w:rPr>
            </w:pPr>
            <w:r>
              <w:rPr>
                <w:b/>
                <w:bCs/>
                <w:color w:val="auto"/>
                <w:sz w:val="24"/>
              </w:rPr>
              <w:t>1、废气总量控制指标</w:t>
            </w:r>
          </w:p>
          <w:p w14:paraId="00115CC0">
            <w:pPr>
              <w:adjustRightInd w:val="0"/>
              <w:snapToGrid w:val="0"/>
              <w:spacing w:line="360" w:lineRule="auto"/>
              <w:ind w:firstLine="480" w:firstLineChars="200"/>
              <w:rPr>
                <w:color w:val="auto"/>
                <w:sz w:val="24"/>
                <w:lang w:val="de-DE"/>
              </w:rPr>
            </w:pPr>
            <w:r>
              <w:rPr>
                <w:color w:val="auto"/>
                <w:sz w:val="24"/>
                <w:lang w:val="de-DE" w:eastAsia="de-DE"/>
              </w:rPr>
              <w:t>根据四川省环境保护厅《关于贯彻落实&lt;建设项目主要污染物排放总量指标审核及管理暂行办法&gt;的通知》（川环办发〔2015〕333号），</w:t>
            </w:r>
            <w:r>
              <w:rPr>
                <w:color w:val="auto"/>
                <w:sz w:val="24"/>
                <w:lang w:val="de-DE"/>
              </w:rPr>
              <w:t>本项目无需设置废气总量控制指标。</w:t>
            </w:r>
          </w:p>
          <w:p w14:paraId="5DC427CD">
            <w:pPr>
              <w:adjustRightInd w:val="0"/>
              <w:snapToGrid w:val="0"/>
              <w:spacing w:line="360" w:lineRule="auto"/>
              <w:ind w:firstLine="482" w:firstLineChars="200"/>
              <w:rPr>
                <w:b/>
                <w:bCs/>
                <w:color w:val="auto"/>
                <w:sz w:val="24"/>
              </w:rPr>
            </w:pPr>
            <w:r>
              <w:rPr>
                <w:b/>
                <w:bCs/>
                <w:color w:val="auto"/>
                <w:sz w:val="24"/>
              </w:rPr>
              <w:t>2、废水总量控制指标</w:t>
            </w:r>
          </w:p>
          <w:p w14:paraId="4569320C">
            <w:pPr>
              <w:adjustRightInd w:val="0"/>
              <w:snapToGrid w:val="0"/>
              <w:spacing w:line="360" w:lineRule="auto"/>
              <w:ind w:firstLine="480" w:firstLineChars="200"/>
              <w:rPr>
                <w:color w:val="auto"/>
                <w:sz w:val="24"/>
                <w:highlight w:val="none"/>
                <w:lang w:val="de-DE"/>
              </w:rPr>
            </w:pPr>
            <w:r>
              <w:rPr>
                <w:color w:val="auto"/>
                <w:sz w:val="24"/>
                <w:lang w:val="de-DE" w:eastAsia="de-DE"/>
              </w:rPr>
              <w:t>按照</w:t>
            </w:r>
            <w:r>
              <w:rPr>
                <w:color w:val="auto"/>
                <w:sz w:val="24"/>
                <w:lang w:val="de-DE"/>
              </w:rPr>
              <w:t>四川省环境保护厅</w:t>
            </w:r>
            <w:r>
              <w:rPr>
                <w:color w:val="auto"/>
                <w:sz w:val="24"/>
                <w:lang w:val="de-DE" w:eastAsia="de-DE"/>
              </w:rPr>
              <w:t>《关于贯彻落实&lt;建设项目主要污染物排放总量指标审核及管理暂行办法&gt;的通知》（川环办发〔2015〕333号）文件</w:t>
            </w:r>
            <w:r>
              <w:rPr>
                <w:color w:val="auto"/>
                <w:sz w:val="24"/>
                <w:lang w:val="de-DE"/>
              </w:rPr>
              <w:t>中第三条“关于指标审核”</w:t>
            </w:r>
            <w:r>
              <w:rPr>
                <w:color w:val="auto"/>
                <w:sz w:val="24"/>
                <w:lang w:val="de-DE" w:eastAsia="de-DE"/>
              </w:rPr>
              <w:t>，</w:t>
            </w:r>
            <w:r>
              <w:rPr>
                <w:color w:val="auto"/>
                <w:sz w:val="24"/>
                <w:lang w:val="de-DE"/>
              </w:rPr>
              <w:t>废水排入城镇式生活污水</w:t>
            </w:r>
            <w:r>
              <w:rPr>
                <w:color w:val="auto"/>
                <w:sz w:val="24"/>
                <w:highlight w:val="none"/>
                <w:lang w:val="de-DE"/>
              </w:rPr>
              <w:t>处理设施的建设项目，按纳管标准计算水污染物总量指标。</w:t>
            </w:r>
          </w:p>
          <w:p w14:paraId="1296932C">
            <w:pPr>
              <w:tabs>
                <w:tab w:val="center" w:pos="4153"/>
                <w:tab w:val="right" w:pos="8306"/>
              </w:tabs>
              <w:adjustRightInd w:val="0"/>
              <w:snapToGrid w:val="0"/>
              <w:spacing w:line="360" w:lineRule="auto"/>
              <w:ind w:firstLine="480" w:firstLineChars="200"/>
              <w:rPr>
                <w:color w:val="auto"/>
                <w:sz w:val="24"/>
              </w:rPr>
            </w:pPr>
            <w:r>
              <w:rPr>
                <w:color w:val="auto"/>
                <w:kern w:val="0"/>
                <w:sz w:val="24"/>
                <w:highlight w:val="none"/>
              </w:rPr>
              <w:t>本项目废水排放量</w:t>
            </w:r>
            <w:r>
              <w:rPr>
                <w:color w:val="auto"/>
                <w:sz w:val="24"/>
                <w:highlight w:val="none"/>
              </w:rPr>
              <w:t>为</w:t>
            </w:r>
            <w:r>
              <w:rPr>
                <w:rFonts w:hint="eastAsia"/>
                <w:snapToGrid w:val="0"/>
                <w:color w:val="auto"/>
                <w:kern w:val="0"/>
                <w:sz w:val="24"/>
                <w:highlight w:val="none"/>
                <w:lang w:val="en-US" w:eastAsia="zh-CN"/>
              </w:rPr>
              <w:t>68</w:t>
            </w:r>
            <w:r>
              <w:rPr>
                <w:snapToGrid w:val="0"/>
                <w:color w:val="auto"/>
                <w:kern w:val="0"/>
                <w:sz w:val="24"/>
                <w:highlight w:val="none"/>
              </w:rPr>
              <w:t>m</w:t>
            </w:r>
            <w:r>
              <w:rPr>
                <w:snapToGrid w:val="0"/>
                <w:color w:val="auto"/>
                <w:kern w:val="0"/>
                <w:sz w:val="24"/>
                <w:highlight w:val="none"/>
                <w:vertAlign w:val="superscript"/>
              </w:rPr>
              <w:t>3</w:t>
            </w:r>
            <w:r>
              <w:rPr>
                <w:snapToGrid w:val="0"/>
                <w:color w:val="auto"/>
                <w:kern w:val="0"/>
                <w:sz w:val="24"/>
                <w:highlight w:val="none"/>
              </w:rPr>
              <w:t>/d，</w:t>
            </w:r>
            <w:r>
              <w:rPr>
                <w:rFonts w:hint="eastAsia"/>
                <w:snapToGrid w:val="0"/>
                <w:color w:val="auto"/>
                <w:kern w:val="0"/>
                <w:sz w:val="24"/>
                <w:highlight w:val="none"/>
                <w:lang w:val="en-US" w:eastAsia="zh-CN"/>
              </w:rPr>
              <w:t>24820</w:t>
            </w:r>
            <w:r>
              <w:rPr>
                <w:snapToGrid w:val="0"/>
                <w:color w:val="auto"/>
                <w:kern w:val="0"/>
                <w:sz w:val="24"/>
                <w:highlight w:val="none"/>
              </w:rPr>
              <w:t>m</w:t>
            </w:r>
            <w:r>
              <w:rPr>
                <w:snapToGrid w:val="0"/>
                <w:color w:val="auto"/>
                <w:kern w:val="0"/>
                <w:sz w:val="24"/>
                <w:highlight w:val="none"/>
                <w:vertAlign w:val="superscript"/>
              </w:rPr>
              <w:t>3</w:t>
            </w:r>
            <w:r>
              <w:rPr>
                <w:snapToGrid w:val="0"/>
                <w:color w:val="auto"/>
                <w:kern w:val="0"/>
                <w:sz w:val="24"/>
                <w:highlight w:val="none"/>
              </w:rPr>
              <w:t>/a</w:t>
            </w:r>
            <w:r>
              <w:rPr>
                <w:rFonts w:hint="eastAsia"/>
                <w:color w:val="auto"/>
                <w:sz w:val="24"/>
                <w:highlight w:val="none"/>
              </w:rPr>
              <w:t>。</w:t>
            </w:r>
            <w:r>
              <w:rPr>
                <w:color w:val="auto"/>
                <w:sz w:val="24"/>
                <w:highlight w:val="none"/>
              </w:rPr>
              <w:t>南</w:t>
            </w:r>
            <w:r>
              <w:rPr>
                <w:color w:val="auto"/>
                <w:sz w:val="24"/>
              </w:rPr>
              <w:t>江县</w:t>
            </w:r>
            <w:r>
              <w:rPr>
                <w:rFonts w:hint="eastAsia"/>
                <w:color w:val="auto"/>
                <w:sz w:val="24"/>
              </w:rPr>
              <w:t>关坝镇</w:t>
            </w:r>
            <w:r>
              <w:rPr>
                <w:color w:val="auto"/>
                <w:sz w:val="24"/>
              </w:rPr>
              <w:t>污水处理站</w:t>
            </w:r>
            <w:r>
              <w:rPr>
                <w:color w:val="auto"/>
                <w:kern w:val="0"/>
                <w:sz w:val="24"/>
              </w:rPr>
              <w:t>纳管标准为：</w:t>
            </w:r>
            <w:r>
              <w:rPr>
                <w:color w:val="auto"/>
                <w:sz w:val="24"/>
              </w:rPr>
              <w:t>COD500mg/L，氨氮45mg/L；排口COD、氨氮执行《城镇污水处理厂污染物排放标准》（GB18918-2002）一级A标准：COD50mg/L，氨氮5mg/L。</w:t>
            </w:r>
            <w:r>
              <w:rPr>
                <w:color w:val="auto"/>
                <w:kern w:val="0"/>
                <w:sz w:val="24"/>
              </w:rPr>
              <w:t>因此，本项目废水指标就进入</w:t>
            </w:r>
            <w:r>
              <w:rPr>
                <w:color w:val="auto"/>
                <w:sz w:val="24"/>
              </w:rPr>
              <w:t>南江县</w:t>
            </w:r>
            <w:r>
              <w:rPr>
                <w:rFonts w:hint="eastAsia"/>
                <w:color w:val="auto"/>
                <w:sz w:val="24"/>
              </w:rPr>
              <w:t>关坝镇</w:t>
            </w:r>
            <w:r>
              <w:rPr>
                <w:color w:val="auto"/>
                <w:sz w:val="24"/>
              </w:rPr>
              <w:t>污水处理站</w:t>
            </w:r>
            <w:r>
              <w:rPr>
                <w:color w:val="auto"/>
                <w:kern w:val="0"/>
                <w:sz w:val="24"/>
              </w:rPr>
              <w:t>处理前后给出统计量，以</w:t>
            </w:r>
            <w:r>
              <w:rPr>
                <w:color w:val="auto"/>
                <w:sz w:val="24"/>
              </w:rPr>
              <w:t>南江县</w:t>
            </w:r>
            <w:r>
              <w:rPr>
                <w:rFonts w:hint="eastAsia"/>
                <w:color w:val="auto"/>
                <w:sz w:val="24"/>
              </w:rPr>
              <w:t>关坝镇</w:t>
            </w:r>
            <w:r>
              <w:rPr>
                <w:color w:val="auto"/>
                <w:sz w:val="24"/>
              </w:rPr>
              <w:t>污水处理站</w:t>
            </w:r>
            <w:r>
              <w:rPr>
                <w:color w:val="auto"/>
                <w:kern w:val="0"/>
                <w:sz w:val="24"/>
              </w:rPr>
              <w:t>进出水质指标计算总量控制指标。</w:t>
            </w:r>
          </w:p>
          <w:p w14:paraId="5BD620C7">
            <w:pPr>
              <w:adjustRightInd w:val="0"/>
              <w:snapToGrid w:val="0"/>
              <w:spacing w:line="360" w:lineRule="auto"/>
              <w:ind w:firstLine="480" w:firstLineChars="200"/>
              <w:rPr>
                <w:color w:val="auto"/>
                <w:sz w:val="24"/>
                <w:highlight w:val="none"/>
                <w:lang w:val="zh-CN"/>
              </w:rPr>
            </w:pPr>
            <w:r>
              <w:rPr>
                <w:color w:val="auto"/>
                <w:sz w:val="24"/>
                <w:highlight w:val="none"/>
                <w:lang w:val="zh-CN"/>
              </w:rPr>
              <w:t>（1）本项目进入</w:t>
            </w:r>
            <w:r>
              <w:rPr>
                <w:color w:val="auto"/>
                <w:sz w:val="24"/>
                <w:highlight w:val="none"/>
              </w:rPr>
              <w:t>南江县</w:t>
            </w:r>
            <w:r>
              <w:rPr>
                <w:rFonts w:hint="eastAsia"/>
                <w:color w:val="auto"/>
                <w:sz w:val="24"/>
                <w:highlight w:val="none"/>
              </w:rPr>
              <w:t>关坝镇</w:t>
            </w:r>
            <w:r>
              <w:rPr>
                <w:color w:val="auto"/>
                <w:sz w:val="24"/>
                <w:highlight w:val="none"/>
              </w:rPr>
              <w:t>污水处理站</w:t>
            </w:r>
            <w:r>
              <w:rPr>
                <w:color w:val="auto"/>
                <w:sz w:val="24"/>
                <w:highlight w:val="none"/>
                <w:lang w:val="zh-CN"/>
              </w:rPr>
              <w:t>的量</w:t>
            </w:r>
          </w:p>
          <w:p w14:paraId="6BE20343">
            <w:pPr>
              <w:adjustRightInd w:val="0"/>
              <w:snapToGrid w:val="0"/>
              <w:spacing w:line="360" w:lineRule="auto"/>
              <w:ind w:firstLine="480" w:firstLineChars="200"/>
              <w:rPr>
                <w:color w:val="auto"/>
                <w:sz w:val="24"/>
                <w:highlight w:val="none"/>
                <w:lang w:val="zh-CN"/>
              </w:rPr>
            </w:pPr>
            <w:r>
              <w:rPr>
                <w:color w:val="auto"/>
                <w:sz w:val="24"/>
                <w:highlight w:val="none"/>
                <w:lang w:val="zh-CN"/>
              </w:rPr>
              <w:t>COD：</w:t>
            </w:r>
            <w:r>
              <w:rPr>
                <w:rFonts w:hint="eastAsia"/>
                <w:snapToGrid w:val="0"/>
                <w:color w:val="auto"/>
                <w:kern w:val="0"/>
                <w:sz w:val="24"/>
                <w:highlight w:val="none"/>
                <w:lang w:eastAsia="zh-CN"/>
              </w:rPr>
              <w:t>24820</w:t>
            </w:r>
            <w:r>
              <w:rPr>
                <w:color w:val="auto"/>
                <w:sz w:val="24"/>
                <w:highlight w:val="none"/>
                <w:lang w:val="zh-CN"/>
              </w:rPr>
              <w:t>m</w:t>
            </w:r>
            <w:r>
              <w:rPr>
                <w:color w:val="auto"/>
                <w:sz w:val="24"/>
                <w:highlight w:val="none"/>
                <w:vertAlign w:val="superscript"/>
                <w:lang w:val="zh-CN"/>
              </w:rPr>
              <w:t>3</w:t>
            </w:r>
            <w:r>
              <w:rPr>
                <w:color w:val="auto"/>
                <w:sz w:val="24"/>
                <w:highlight w:val="none"/>
                <w:lang w:val="zh-CN"/>
              </w:rPr>
              <w:t>/a×</w:t>
            </w:r>
            <w:r>
              <w:rPr>
                <w:color w:val="auto"/>
                <w:sz w:val="24"/>
                <w:highlight w:val="none"/>
              </w:rPr>
              <w:t>500</w:t>
            </w:r>
            <w:r>
              <w:rPr>
                <w:color w:val="auto"/>
                <w:sz w:val="24"/>
                <w:highlight w:val="none"/>
                <w:lang w:val="zh-CN"/>
              </w:rPr>
              <w:t>mg/L×10</w:t>
            </w:r>
            <w:r>
              <w:rPr>
                <w:rFonts w:hint="eastAsia"/>
                <w:color w:val="auto"/>
                <w:sz w:val="24"/>
                <w:highlight w:val="none"/>
                <w:vertAlign w:val="superscript"/>
                <w:lang w:val="en-US" w:eastAsia="zh-CN"/>
              </w:rPr>
              <w:t>-6</w:t>
            </w:r>
            <w:r>
              <w:rPr>
                <w:color w:val="auto"/>
                <w:sz w:val="24"/>
                <w:highlight w:val="none"/>
                <w:lang w:val="zh-CN"/>
              </w:rPr>
              <w:t>=</w:t>
            </w:r>
            <w:r>
              <w:rPr>
                <w:rFonts w:hint="eastAsia"/>
                <w:color w:val="auto"/>
                <w:sz w:val="24"/>
                <w:highlight w:val="none"/>
                <w:lang w:val="en-US" w:eastAsia="zh-CN"/>
              </w:rPr>
              <w:t>12.41</w:t>
            </w:r>
            <w:r>
              <w:rPr>
                <w:color w:val="auto"/>
                <w:sz w:val="24"/>
                <w:highlight w:val="none"/>
                <w:lang w:val="zh-CN"/>
              </w:rPr>
              <w:t>（t/a）</w:t>
            </w:r>
          </w:p>
          <w:p w14:paraId="5C43EF5B">
            <w:pPr>
              <w:adjustRightInd w:val="0"/>
              <w:snapToGrid w:val="0"/>
              <w:spacing w:line="360" w:lineRule="auto"/>
              <w:ind w:firstLine="480" w:firstLineChars="200"/>
              <w:rPr>
                <w:color w:val="auto"/>
                <w:sz w:val="24"/>
                <w:highlight w:val="none"/>
                <w:lang w:val="zh-CN"/>
              </w:rPr>
            </w:pPr>
            <w:r>
              <w:rPr>
                <w:color w:val="auto"/>
                <w:sz w:val="24"/>
                <w:highlight w:val="none"/>
                <w:lang w:val="zh-CN"/>
              </w:rPr>
              <w:t>NH</w:t>
            </w:r>
            <w:r>
              <w:rPr>
                <w:color w:val="auto"/>
                <w:sz w:val="24"/>
                <w:highlight w:val="none"/>
                <w:vertAlign w:val="subscript"/>
                <w:lang w:val="zh-CN"/>
              </w:rPr>
              <w:t>3</w:t>
            </w:r>
            <w:r>
              <w:rPr>
                <w:color w:val="auto"/>
                <w:sz w:val="24"/>
                <w:highlight w:val="none"/>
                <w:lang w:val="zh-CN"/>
              </w:rPr>
              <w:t>-N：</w:t>
            </w:r>
            <w:r>
              <w:rPr>
                <w:rFonts w:hint="eastAsia"/>
                <w:snapToGrid w:val="0"/>
                <w:color w:val="auto"/>
                <w:kern w:val="0"/>
                <w:sz w:val="24"/>
                <w:highlight w:val="none"/>
                <w:lang w:eastAsia="zh-CN"/>
              </w:rPr>
              <w:t>24820</w:t>
            </w:r>
            <w:r>
              <w:rPr>
                <w:color w:val="auto"/>
                <w:sz w:val="24"/>
                <w:highlight w:val="none"/>
                <w:lang w:val="zh-CN"/>
              </w:rPr>
              <w:t>m</w:t>
            </w:r>
            <w:r>
              <w:rPr>
                <w:color w:val="auto"/>
                <w:sz w:val="24"/>
                <w:highlight w:val="none"/>
                <w:vertAlign w:val="superscript"/>
                <w:lang w:val="zh-CN"/>
              </w:rPr>
              <w:t>3</w:t>
            </w:r>
            <w:r>
              <w:rPr>
                <w:color w:val="auto"/>
                <w:sz w:val="24"/>
                <w:highlight w:val="none"/>
                <w:lang w:val="zh-CN"/>
              </w:rPr>
              <w:t>/a×</w:t>
            </w:r>
            <w:r>
              <w:rPr>
                <w:color w:val="auto"/>
                <w:sz w:val="24"/>
                <w:highlight w:val="none"/>
              </w:rPr>
              <w:t>45</w:t>
            </w:r>
            <w:r>
              <w:rPr>
                <w:color w:val="auto"/>
                <w:sz w:val="24"/>
                <w:highlight w:val="none"/>
                <w:lang w:val="zh-CN"/>
              </w:rPr>
              <w:t>mg/L×10</w:t>
            </w:r>
            <w:r>
              <w:rPr>
                <w:rFonts w:hint="eastAsia"/>
                <w:color w:val="auto"/>
                <w:sz w:val="24"/>
                <w:highlight w:val="none"/>
                <w:vertAlign w:val="superscript"/>
                <w:lang w:val="en-US" w:eastAsia="zh-CN"/>
              </w:rPr>
              <w:t>-6</w:t>
            </w:r>
            <w:r>
              <w:rPr>
                <w:color w:val="auto"/>
                <w:sz w:val="24"/>
                <w:highlight w:val="none"/>
              </w:rPr>
              <w:t>=</w:t>
            </w:r>
            <w:r>
              <w:rPr>
                <w:rFonts w:hint="eastAsia"/>
                <w:color w:val="auto"/>
                <w:sz w:val="24"/>
                <w:highlight w:val="none"/>
                <w:lang w:val="en-US" w:eastAsia="zh-CN"/>
              </w:rPr>
              <w:t>1.1169</w:t>
            </w:r>
            <w:r>
              <w:rPr>
                <w:color w:val="auto"/>
                <w:sz w:val="24"/>
                <w:highlight w:val="none"/>
                <w:lang w:val="zh-CN"/>
              </w:rPr>
              <w:t>（t/a）</w:t>
            </w:r>
          </w:p>
          <w:p w14:paraId="2D05F07D">
            <w:pPr>
              <w:adjustRightInd w:val="0"/>
              <w:snapToGrid w:val="0"/>
              <w:spacing w:line="360" w:lineRule="auto"/>
              <w:ind w:firstLine="480" w:firstLineChars="200"/>
              <w:rPr>
                <w:color w:val="auto"/>
                <w:sz w:val="24"/>
                <w:highlight w:val="none"/>
                <w:lang w:val="zh-CN"/>
              </w:rPr>
            </w:pPr>
            <w:r>
              <w:rPr>
                <w:color w:val="auto"/>
                <w:sz w:val="24"/>
                <w:highlight w:val="none"/>
                <w:lang w:val="zh-CN"/>
              </w:rPr>
              <w:t>（</w:t>
            </w:r>
            <w:r>
              <w:rPr>
                <w:rFonts w:hint="eastAsia"/>
                <w:color w:val="auto"/>
                <w:sz w:val="24"/>
                <w:highlight w:val="none"/>
              </w:rPr>
              <w:t>2</w:t>
            </w:r>
            <w:r>
              <w:rPr>
                <w:color w:val="auto"/>
                <w:sz w:val="24"/>
                <w:highlight w:val="none"/>
                <w:lang w:val="zh-CN"/>
              </w:rPr>
              <w:t>）</w:t>
            </w:r>
            <w:r>
              <w:rPr>
                <w:color w:val="auto"/>
                <w:sz w:val="24"/>
                <w:highlight w:val="none"/>
              </w:rPr>
              <w:t>南江县</w:t>
            </w:r>
            <w:r>
              <w:rPr>
                <w:rFonts w:hint="eastAsia"/>
                <w:color w:val="auto"/>
                <w:sz w:val="24"/>
                <w:highlight w:val="none"/>
              </w:rPr>
              <w:t>关坝镇</w:t>
            </w:r>
            <w:r>
              <w:rPr>
                <w:color w:val="auto"/>
                <w:sz w:val="24"/>
                <w:highlight w:val="none"/>
              </w:rPr>
              <w:t>污水处理站</w:t>
            </w:r>
            <w:r>
              <w:rPr>
                <w:color w:val="auto"/>
                <w:sz w:val="24"/>
                <w:highlight w:val="none"/>
                <w:lang w:val="zh-CN"/>
              </w:rPr>
              <w:t>处理后排入</w:t>
            </w:r>
            <w:r>
              <w:rPr>
                <w:rFonts w:hint="eastAsia"/>
                <w:color w:val="auto"/>
                <w:sz w:val="24"/>
                <w:highlight w:val="none"/>
                <w:lang w:val="zh-CN"/>
              </w:rPr>
              <w:t>南江河</w:t>
            </w:r>
            <w:r>
              <w:rPr>
                <w:color w:val="auto"/>
                <w:sz w:val="24"/>
                <w:highlight w:val="none"/>
                <w:lang w:val="zh-CN"/>
              </w:rPr>
              <w:t>的量</w:t>
            </w:r>
          </w:p>
          <w:p w14:paraId="22554C3B">
            <w:pPr>
              <w:adjustRightInd w:val="0"/>
              <w:snapToGrid w:val="0"/>
              <w:spacing w:line="360" w:lineRule="auto"/>
              <w:ind w:firstLine="480" w:firstLineChars="200"/>
              <w:rPr>
                <w:color w:val="auto"/>
                <w:sz w:val="24"/>
                <w:highlight w:val="none"/>
                <w:lang w:val="zh-CN"/>
              </w:rPr>
            </w:pPr>
            <w:r>
              <w:rPr>
                <w:color w:val="auto"/>
                <w:sz w:val="24"/>
                <w:highlight w:val="none"/>
                <w:lang w:val="zh-CN"/>
              </w:rPr>
              <w:t>COD：</w:t>
            </w:r>
            <w:r>
              <w:rPr>
                <w:rFonts w:hint="eastAsia"/>
                <w:snapToGrid w:val="0"/>
                <w:color w:val="auto"/>
                <w:kern w:val="0"/>
                <w:sz w:val="24"/>
                <w:highlight w:val="none"/>
                <w:lang w:eastAsia="zh-CN"/>
              </w:rPr>
              <w:t>24820</w:t>
            </w:r>
            <w:r>
              <w:rPr>
                <w:color w:val="auto"/>
                <w:sz w:val="24"/>
                <w:highlight w:val="none"/>
                <w:lang w:val="zh-CN"/>
              </w:rPr>
              <w:t>m</w:t>
            </w:r>
            <w:r>
              <w:rPr>
                <w:color w:val="auto"/>
                <w:sz w:val="24"/>
                <w:highlight w:val="none"/>
                <w:vertAlign w:val="superscript"/>
                <w:lang w:val="zh-CN"/>
              </w:rPr>
              <w:t>3</w:t>
            </w:r>
            <w:r>
              <w:rPr>
                <w:color w:val="auto"/>
                <w:sz w:val="24"/>
                <w:highlight w:val="none"/>
                <w:lang w:val="zh-CN"/>
              </w:rPr>
              <w:t>/a×</w:t>
            </w:r>
            <w:r>
              <w:rPr>
                <w:color w:val="auto"/>
                <w:sz w:val="24"/>
                <w:highlight w:val="none"/>
              </w:rPr>
              <w:t>50</w:t>
            </w:r>
            <w:r>
              <w:rPr>
                <w:color w:val="auto"/>
                <w:sz w:val="24"/>
                <w:highlight w:val="none"/>
                <w:lang w:val="zh-CN"/>
              </w:rPr>
              <w:t>mg/L×10</w:t>
            </w:r>
            <w:r>
              <w:rPr>
                <w:rFonts w:hint="eastAsia"/>
                <w:color w:val="auto"/>
                <w:sz w:val="24"/>
                <w:highlight w:val="none"/>
                <w:vertAlign w:val="superscript"/>
                <w:lang w:val="en-US" w:eastAsia="zh-CN"/>
              </w:rPr>
              <w:t>-6</w:t>
            </w:r>
            <w:r>
              <w:rPr>
                <w:color w:val="auto"/>
                <w:sz w:val="24"/>
                <w:highlight w:val="none"/>
                <w:lang w:val="zh-CN"/>
              </w:rPr>
              <w:t>=</w:t>
            </w:r>
            <w:r>
              <w:rPr>
                <w:rFonts w:hint="eastAsia"/>
                <w:color w:val="auto"/>
                <w:sz w:val="24"/>
                <w:highlight w:val="none"/>
                <w:lang w:val="en-US" w:eastAsia="zh-CN"/>
              </w:rPr>
              <w:t>1.241</w:t>
            </w:r>
            <w:r>
              <w:rPr>
                <w:color w:val="auto"/>
                <w:sz w:val="24"/>
                <w:highlight w:val="none"/>
                <w:lang w:val="zh-CN"/>
              </w:rPr>
              <w:t>（t/a）</w:t>
            </w:r>
          </w:p>
          <w:p w14:paraId="5ABA6357">
            <w:pPr>
              <w:adjustRightInd w:val="0"/>
              <w:snapToGrid w:val="0"/>
              <w:spacing w:line="360" w:lineRule="auto"/>
              <w:ind w:firstLine="480" w:firstLineChars="200"/>
              <w:rPr>
                <w:rFonts w:ascii="Times New Roman" w:hAnsi="Times New Roman" w:eastAsia="宋体" w:cs="Times New Roman"/>
                <w:color w:val="auto"/>
                <w:sz w:val="24"/>
                <w:highlight w:val="none"/>
                <w:lang w:val="zh-CN"/>
              </w:rPr>
            </w:pPr>
            <w:r>
              <w:rPr>
                <w:color w:val="auto"/>
                <w:sz w:val="24"/>
                <w:highlight w:val="none"/>
                <w:lang w:val="zh-CN"/>
              </w:rPr>
              <w:t>NH</w:t>
            </w:r>
            <w:r>
              <w:rPr>
                <w:color w:val="auto"/>
                <w:sz w:val="24"/>
                <w:highlight w:val="none"/>
                <w:vertAlign w:val="subscript"/>
                <w:lang w:val="zh-CN"/>
              </w:rPr>
              <w:t>3</w:t>
            </w:r>
            <w:r>
              <w:rPr>
                <w:color w:val="auto"/>
                <w:sz w:val="24"/>
                <w:highlight w:val="none"/>
                <w:lang w:val="zh-CN"/>
              </w:rPr>
              <w:t>-N：</w:t>
            </w:r>
            <w:r>
              <w:rPr>
                <w:rFonts w:hint="eastAsia"/>
                <w:snapToGrid w:val="0"/>
                <w:color w:val="auto"/>
                <w:kern w:val="0"/>
                <w:sz w:val="24"/>
                <w:highlight w:val="none"/>
                <w:lang w:eastAsia="zh-CN"/>
              </w:rPr>
              <w:t>24820</w:t>
            </w:r>
            <w:r>
              <w:rPr>
                <w:color w:val="auto"/>
                <w:sz w:val="24"/>
                <w:highlight w:val="none"/>
                <w:lang w:val="zh-CN"/>
              </w:rPr>
              <w:t>m</w:t>
            </w:r>
            <w:r>
              <w:rPr>
                <w:color w:val="auto"/>
                <w:sz w:val="24"/>
                <w:highlight w:val="none"/>
                <w:vertAlign w:val="superscript"/>
                <w:lang w:val="zh-CN"/>
              </w:rPr>
              <w:t>3</w:t>
            </w:r>
            <w:r>
              <w:rPr>
                <w:color w:val="auto"/>
                <w:sz w:val="24"/>
                <w:highlight w:val="none"/>
                <w:lang w:val="zh-CN"/>
              </w:rPr>
              <w:t>/a×</w:t>
            </w:r>
            <w:r>
              <w:rPr>
                <w:color w:val="auto"/>
                <w:sz w:val="24"/>
                <w:highlight w:val="none"/>
              </w:rPr>
              <w:t>5</w:t>
            </w:r>
            <w:r>
              <w:rPr>
                <w:color w:val="auto"/>
                <w:sz w:val="24"/>
                <w:highlight w:val="none"/>
                <w:lang w:val="zh-CN"/>
              </w:rPr>
              <w:t>mg/L×10</w:t>
            </w:r>
            <w:r>
              <w:rPr>
                <w:rFonts w:hint="eastAsia"/>
                <w:color w:val="auto"/>
                <w:sz w:val="24"/>
                <w:highlight w:val="none"/>
                <w:vertAlign w:val="superscript"/>
                <w:lang w:val="en-US" w:eastAsia="zh-CN"/>
              </w:rPr>
              <w:t>-6</w:t>
            </w:r>
            <w:r>
              <w:rPr>
                <w:color w:val="auto"/>
                <w:sz w:val="24"/>
                <w:highlight w:val="none"/>
                <w:lang w:val="zh-CN"/>
              </w:rPr>
              <w:t>=</w:t>
            </w:r>
            <w:r>
              <w:rPr>
                <w:rFonts w:hint="eastAsia"/>
                <w:color w:val="auto"/>
                <w:sz w:val="24"/>
                <w:highlight w:val="none"/>
              </w:rPr>
              <w:t>0.</w:t>
            </w:r>
            <w:r>
              <w:rPr>
                <w:rFonts w:hint="eastAsia"/>
                <w:color w:val="auto"/>
                <w:sz w:val="24"/>
                <w:highlight w:val="none"/>
                <w:lang w:val="en-US" w:eastAsia="zh-CN"/>
              </w:rPr>
              <w:t>1241</w:t>
            </w:r>
            <w:r>
              <w:rPr>
                <w:color w:val="auto"/>
                <w:sz w:val="24"/>
                <w:highlight w:val="none"/>
                <w:lang w:val="zh-CN"/>
              </w:rPr>
              <w:t>（t/a）</w:t>
            </w:r>
          </w:p>
          <w:p w14:paraId="7E4D0A2C">
            <w:pPr>
              <w:adjustRightInd w:val="0"/>
              <w:snapToGrid w:val="0"/>
              <w:spacing w:line="360" w:lineRule="auto"/>
              <w:ind w:firstLine="480" w:firstLineChars="200"/>
              <w:rPr>
                <w:rFonts w:ascii="Times New Roman" w:hAnsi="Times New Roman" w:eastAsia="宋体" w:cs="Times New Roman"/>
                <w:color w:val="auto"/>
                <w:sz w:val="24"/>
                <w:highlight w:val="none"/>
                <w:lang w:val="zh-CN"/>
              </w:rPr>
            </w:pPr>
            <w:r>
              <w:rPr>
                <w:rFonts w:hint="eastAsia" w:ascii="Times New Roman" w:hAnsi="Times New Roman" w:eastAsia="宋体" w:cs="Times New Roman"/>
                <w:color w:val="auto"/>
                <w:sz w:val="24"/>
                <w:highlight w:val="none"/>
                <w:lang w:val="zh-CN"/>
              </w:rPr>
              <w:t>本项目污水进入南江关坝镇污水处理站，废水总量控制指标纳入南江关坝镇污水处理站总量控制指标，不单独设置总量控制指标。</w:t>
            </w:r>
          </w:p>
          <w:p w14:paraId="06249319">
            <w:pPr>
              <w:adjustRightInd w:val="0"/>
              <w:snapToGrid w:val="0"/>
              <w:spacing w:line="360" w:lineRule="auto"/>
              <w:ind w:firstLine="480" w:firstLineChars="200"/>
              <w:rPr>
                <w:rFonts w:ascii="Times New Roman" w:hAnsi="Times New Roman" w:eastAsia="宋体" w:cs="Times New Roman"/>
                <w:color w:val="auto"/>
                <w:sz w:val="24"/>
                <w:lang w:val="zh-CN"/>
              </w:rPr>
            </w:pPr>
          </w:p>
          <w:p w14:paraId="58A78934">
            <w:pPr>
              <w:adjustRightInd w:val="0"/>
              <w:snapToGrid w:val="0"/>
              <w:spacing w:line="360" w:lineRule="auto"/>
              <w:ind w:firstLine="420" w:firstLineChars="200"/>
              <w:rPr>
                <w:color w:val="auto"/>
                <w:kern w:val="0"/>
                <w:szCs w:val="21"/>
              </w:rPr>
            </w:pPr>
          </w:p>
          <w:p w14:paraId="63038E4E">
            <w:pPr>
              <w:adjustRightInd w:val="0"/>
              <w:snapToGrid w:val="0"/>
              <w:spacing w:line="360" w:lineRule="auto"/>
              <w:ind w:firstLine="420" w:firstLineChars="200"/>
              <w:rPr>
                <w:rFonts w:hint="eastAsia"/>
                <w:color w:val="auto"/>
                <w:kern w:val="0"/>
                <w:szCs w:val="21"/>
                <w:lang w:eastAsia="zh-CN"/>
              </w:rPr>
            </w:pPr>
          </w:p>
          <w:p w14:paraId="68209D4B">
            <w:pPr>
              <w:adjustRightInd w:val="0"/>
              <w:snapToGrid w:val="0"/>
              <w:spacing w:line="360" w:lineRule="auto"/>
              <w:ind w:firstLine="420" w:firstLineChars="200"/>
              <w:rPr>
                <w:rFonts w:hint="eastAsia"/>
                <w:color w:val="auto"/>
                <w:kern w:val="0"/>
                <w:szCs w:val="21"/>
                <w:lang w:eastAsia="zh-CN"/>
              </w:rPr>
            </w:pPr>
          </w:p>
          <w:p w14:paraId="08EEF405">
            <w:pPr>
              <w:adjustRightInd w:val="0"/>
              <w:snapToGrid w:val="0"/>
              <w:spacing w:line="360" w:lineRule="auto"/>
              <w:ind w:firstLine="420" w:firstLineChars="200"/>
              <w:rPr>
                <w:rFonts w:hint="eastAsia"/>
                <w:color w:val="auto"/>
                <w:kern w:val="0"/>
                <w:szCs w:val="21"/>
                <w:lang w:eastAsia="zh-CN"/>
              </w:rPr>
            </w:pPr>
          </w:p>
          <w:p w14:paraId="3B1F9847">
            <w:pPr>
              <w:adjustRightInd w:val="0"/>
              <w:snapToGrid w:val="0"/>
              <w:spacing w:line="360" w:lineRule="auto"/>
              <w:ind w:firstLine="420" w:firstLineChars="200"/>
              <w:rPr>
                <w:rFonts w:hint="eastAsia"/>
                <w:color w:val="auto"/>
                <w:kern w:val="0"/>
                <w:szCs w:val="21"/>
                <w:lang w:eastAsia="zh-CN"/>
              </w:rPr>
            </w:pPr>
          </w:p>
          <w:p w14:paraId="5D773C12">
            <w:pPr>
              <w:adjustRightInd w:val="0"/>
              <w:snapToGrid w:val="0"/>
              <w:spacing w:line="360" w:lineRule="auto"/>
              <w:ind w:firstLine="420" w:firstLineChars="200"/>
              <w:rPr>
                <w:rFonts w:hint="eastAsia"/>
                <w:color w:val="auto"/>
                <w:kern w:val="0"/>
                <w:szCs w:val="21"/>
                <w:lang w:eastAsia="zh-CN"/>
              </w:rPr>
            </w:pPr>
          </w:p>
          <w:p w14:paraId="7DBFA8DB">
            <w:pPr>
              <w:adjustRightInd w:val="0"/>
              <w:snapToGrid w:val="0"/>
              <w:spacing w:line="360" w:lineRule="auto"/>
              <w:ind w:firstLine="420" w:firstLineChars="200"/>
              <w:rPr>
                <w:rFonts w:hint="eastAsia"/>
                <w:color w:val="auto"/>
                <w:kern w:val="0"/>
                <w:szCs w:val="21"/>
                <w:lang w:eastAsia="zh-CN"/>
              </w:rPr>
            </w:pPr>
          </w:p>
          <w:p w14:paraId="2371078D">
            <w:pPr>
              <w:adjustRightInd w:val="0"/>
              <w:snapToGrid w:val="0"/>
              <w:spacing w:line="360" w:lineRule="auto"/>
              <w:ind w:firstLine="420" w:firstLineChars="200"/>
              <w:rPr>
                <w:rFonts w:hint="eastAsia"/>
                <w:color w:val="auto"/>
                <w:kern w:val="0"/>
                <w:szCs w:val="21"/>
                <w:lang w:eastAsia="zh-CN"/>
              </w:rPr>
            </w:pPr>
          </w:p>
          <w:p w14:paraId="75109F83">
            <w:pPr>
              <w:adjustRightInd w:val="0"/>
              <w:snapToGrid w:val="0"/>
              <w:spacing w:line="360" w:lineRule="auto"/>
              <w:ind w:firstLine="420" w:firstLineChars="200"/>
              <w:rPr>
                <w:rFonts w:hint="eastAsia"/>
                <w:color w:val="auto"/>
                <w:kern w:val="0"/>
                <w:szCs w:val="21"/>
                <w:lang w:eastAsia="zh-CN"/>
              </w:rPr>
            </w:pPr>
          </w:p>
          <w:p w14:paraId="214689F8">
            <w:pPr>
              <w:adjustRightInd w:val="0"/>
              <w:snapToGrid w:val="0"/>
              <w:spacing w:line="360" w:lineRule="auto"/>
              <w:ind w:firstLine="420" w:firstLineChars="200"/>
              <w:rPr>
                <w:rFonts w:hint="eastAsia"/>
                <w:color w:val="auto"/>
                <w:kern w:val="0"/>
                <w:szCs w:val="21"/>
                <w:lang w:eastAsia="zh-CN"/>
              </w:rPr>
            </w:pPr>
          </w:p>
          <w:p w14:paraId="2BEE318F">
            <w:pPr>
              <w:adjustRightInd w:val="0"/>
              <w:snapToGrid w:val="0"/>
              <w:spacing w:line="360" w:lineRule="auto"/>
              <w:ind w:firstLine="420" w:firstLineChars="200"/>
              <w:rPr>
                <w:rFonts w:hint="eastAsia"/>
                <w:color w:val="auto"/>
                <w:kern w:val="0"/>
                <w:szCs w:val="21"/>
                <w:lang w:eastAsia="zh-CN"/>
              </w:rPr>
            </w:pPr>
          </w:p>
          <w:p w14:paraId="5DA3CB9F">
            <w:pPr>
              <w:adjustRightInd w:val="0"/>
              <w:snapToGrid w:val="0"/>
              <w:spacing w:line="360" w:lineRule="auto"/>
              <w:ind w:firstLine="420" w:firstLineChars="200"/>
              <w:rPr>
                <w:rFonts w:hint="eastAsia"/>
                <w:color w:val="auto"/>
                <w:kern w:val="0"/>
                <w:szCs w:val="21"/>
                <w:lang w:eastAsia="zh-CN"/>
              </w:rPr>
            </w:pPr>
          </w:p>
          <w:p w14:paraId="7B605F09">
            <w:pPr>
              <w:adjustRightInd w:val="0"/>
              <w:snapToGrid w:val="0"/>
              <w:spacing w:line="360" w:lineRule="auto"/>
              <w:ind w:firstLine="420" w:firstLineChars="200"/>
              <w:rPr>
                <w:rFonts w:hint="eastAsia"/>
                <w:color w:val="auto"/>
                <w:kern w:val="0"/>
                <w:szCs w:val="21"/>
                <w:lang w:eastAsia="zh-CN"/>
              </w:rPr>
            </w:pPr>
          </w:p>
          <w:p w14:paraId="543112EE">
            <w:pPr>
              <w:adjustRightInd w:val="0"/>
              <w:snapToGrid w:val="0"/>
              <w:spacing w:line="360" w:lineRule="auto"/>
              <w:ind w:firstLine="420" w:firstLineChars="200"/>
              <w:rPr>
                <w:rFonts w:hint="eastAsia"/>
                <w:color w:val="auto"/>
                <w:kern w:val="0"/>
                <w:szCs w:val="21"/>
                <w:lang w:eastAsia="zh-CN"/>
              </w:rPr>
            </w:pPr>
          </w:p>
          <w:p w14:paraId="24D1E2ED">
            <w:pPr>
              <w:adjustRightInd w:val="0"/>
              <w:snapToGrid w:val="0"/>
              <w:spacing w:line="360" w:lineRule="auto"/>
              <w:ind w:firstLine="420" w:firstLineChars="200"/>
              <w:rPr>
                <w:rFonts w:hint="eastAsia" w:eastAsia="宋体"/>
                <w:color w:val="auto"/>
                <w:kern w:val="0"/>
                <w:szCs w:val="21"/>
                <w:lang w:eastAsia="zh-CN"/>
              </w:rPr>
            </w:pPr>
          </w:p>
          <w:p w14:paraId="3F273D99">
            <w:pPr>
              <w:adjustRightInd w:val="0"/>
              <w:snapToGrid w:val="0"/>
              <w:spacing w:line="360" w:lineRule="auto"/>
              <w:ind w:firstLine="420" w:firstLineChars="200"/>
              <w:rPr>
                <w:rFonts w:hint="eastAsia" w:eastAsia="宋体"/>
                <w:color w:val="auto"/>
                <w:kern w:val="0"/>
                <w:szCs w:val="21"/>
                <w:lang w:eastAsia="zh-CN"/>
              </w:rPr>
            </w:pPr>
          </w:p>
          <w:p w14:paraId="768F8CB8">
            <w:pPr>
              <w:adjustRightInd w:val="0"/>
              <w:snapToGrid w:val="0"/>
              <w:spacing w:line="360" w:lineRule="auto"/>
              <w:ind w:firstLine="420" w:firstLineChars="200"/>
              <w:rPr>
                <w:color w:val="auto"/>
                <w:kern w:val="0"/>
                <w:szCs w:val="21"/>
              </w:rPr>
            </w:pPr>
          </w:p>
        </w:tc>
      </w:tr>
    </w:tbl>
    <w:p w14:paraId="6AD61D29">
      <w:pPr>
        <w:pStyle w:val="30"/>
        <w:numPr>
          <w:ilvl w:val="0"/>
          <w:numId w:val="7"/>
        </w:numPr>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kern w:val="2"/>
          <w:sz w:val="36"/>
          <w:szCs w:val="36"/>
        </w:rPr>
        <w:br w:type="page"/>
      </w:r>
      <w:r>
        <w:rPr>
          <w:rFonts w:ascii="Times New Roman" w:hAnsi="Times New Roman" w:eastAsia="黑体"/>
          <w:snapToGrid w:val="0"/>
          <w:color w:val="auto"/>
          <w:sz w:val="30"/>
          <w:szCs w:val="30"/>
        </w:rPr>
        <w:t>生态环境影响分析</w:t>
      </w:r>
    </w:p>
    <w:tbl>
      <w:tblPr>
        <w:tblStyle w:val="34"/>
        <w:tblW w:w="924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79"/>
        <w:gridCol w:w="8363"/>
      </w:tblGrid>
      <w:tr w14:paraId="204FFB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9" w:type="dxa"/>
            <w:tcMar>
              <w:left w:w="28" w:type="dxa"/>
              <w:right w:w="28" w:type="dxa"/>
            </w:tcMar>
            <w:vAlign w:val="center"/>
          </w:tcPr>
          <w:p w14:paraId="7DC10E79">
            <w:pPr>
              <w:pStyle w:val="30"/>
              <w:adjustRightInd w:val="0"/>
              <w:snapToGrid w:val="0"/>
              <w:spacing w:before="0" w:beforeAutospacing="0" w:after="0" w:afterAutospacing="0"/>
              <w:jc w:val="center"/>
              <w:rPr>
                <w:rFonts w:ascii="Times New Roman" w:hAnsi="Times New Roman"/>
                <w:bCs/>
                <w:color w:val="auto"/>
                <w:kern w:val="2"/>
                <w:sz w:val="21"/>
                <w:szCs w:val="21"/>
              </w:rPr>
            </w:pPr>
            <w:bookmarkStart w:id="10" w:name="_Hlk49796138"/>
            <w:r>
              <w:rPr>
                <w:rFonts w:ascii="Times New Roman" w:hAnsi="Times New Roman"/>
                <w:bCs/>
                <w:color w:val="auto"/>
                <w:kern w:val="2"/>
              </w:rPr>
              <w:t>施工期生态环境影响分析</w:t>
            </w:r>
            <w:bookmarkEnd w:id="10"/>
          </w:p>
        </w:tc>
        <w:tc>
          <w:tcPr>
            <w:tcW w:w="8363" w:type="dxa"/>
          </w:tcPr>
          <w:p w14:paraId="16018301">
            <w:pPr>
              <w:spacing w:before="120" w:beforeLines="50" w:line="360" w:lineRule="auto"/>
              <w:ind w:firstLine="480" w:firstLineChars="200"/>
              <w:textAlignment w:val="baseline"/>
              <w:rPr>
                <w:color w:val="auto"/>
                <w:sz w:val="24"/>
              </w:rPr>
            </w:pPr>
            <w:r>
              <w:rPr>
                <w:color w:val="auto"/>
                <w:sz w:val="24"/>
              </w:rPr>
              <w:t>施工期的环境影响因素主要有：地表扰动施工对生态环境和水土流失产生的影响、施工扬尘产生的影响、施工机械噪声尾气产生的影响、施工废水产生的影响以及固体废</w:t>
            </w:r>
            <w:r>
              <w:rPr>
                <w:color w:val="auto"/>
                <w:kern w:val="0"/>
                <w:sz w:val="24"/>
              </w:rPr>
              <w:t>物（施工弃土废渣）的产生的影响。</w:t>
            </w:r>
          </w:p>
          <w:p w14:paraId="5AE84CA3">
            <w:pPr>
              <w:spacing w:line="360" w:lineRule="auto"/>
              <w:ind w:firstLine="482" w:firstLineChars="200"/>
              <w:textAlignment w:val="baseline"/>
              <w:rPr>
                <w:b/>
                <w:color w:val="auto"/>
                <w:sz w:val="24"/>
              </w:rPr>
            </w:pPr>
            <w:r>
              <w:rPr>
                <w:b/>
                <w:color w:val="auto"/>
                <w:sz w:val="24"/>
              </w:rPr>
              <w:t>一、生态环境影响分析</w:t>
            </w:r>
          </w:p>
          <w:p w14:paraId="073FD99E">
            <w:pPr>
              <w:spacing w:line="360" w:lineRule="auto"/>
              <w:ind w:firstLine="480" w:firstLineChars="200"/>
              <w:textAlignment w:val="baseline"/>
              <w:rPr>
                <w:color w:val="auto"/>
                <w:sz w:val="24"/>
              </w:rPr>
            </w:pPr>
            <w:r>
              <w:rPr>
                <w:rFonts w:hint="eastAsia"/>
                <w:color w:val="auto"/>
                <w:sz w:val="24"/>
              </w:rPr>
              <w:t>本项目生态环境进行专项评价，此章节仅简要说明。</w:t>
            </w:r>
          </w:p>
          <w:p w14:paraId="76B5856E">
            <w:pPr>
              <w:spacing w:line="360" w:lineRule="auto"/>
              <w:ind w:firstLine="480" w:firstLineChars="200"/>
              <w:textAlignment w:val="baseline"/>
              <w:rPr>
                <w:color w:val="auto"/>
                <w:sz w:val="24"/>
              </w:rPr>
            </w:pPr>
            <w:r>
              <w:rPr>
                <w:color w:val="auto"/>
                <w:sz w:val="24"/>
              </w:rPr>
              <w:t>工程施工期的影响主要通过施工扰动产生的，属于直接影响，而且影响性质属于负面的。根据识别，项目施工期对环境生态的各个方面均会产生不利影响，其中对水土流失等方面的影响尤为突出，即工程建设将会降低植被覆盖度，加剧水土流失，改变土地利用方式和景观。</w:t>
            </w:r>
          </w:p>
          <w:p w14:paraId="58041F29">
            <w:pPr>
              <w:spacing w:line="360" w:lineRule="auto"/>
              <w:ind w:firstLine="482" w:firstLineChars="200"/>
              <w:textAlignment w:val="baseline"/>
              <w:rPr>
                <w:b/>
                <w:color w:val="auto"/>
                <w:sz w:val="24"/>
              </w:rPr>
            </w:pPr>
            <w:r>
              <w:rPr>
                <w:rFonts w:hint="eastAsia"/>
                <w:b/>
                <w:color w:val="auto"/>
                <w:sz w:val="24"/>
              </w:rPr>
              <w:t>（一）</w:t>
            </w:r>
            <w:r>
              <w:rPr>
                <w:b/>
                <w:color w:val="auto"/>
                <w:sz w:val="24"/>
              </w:rPr>
              <w:t>土地利用影响评价</w:t>
            </w:r>
          </w:p>
          <w:p w14:paraId="07406E30">
            <w:pPr>
              <w:pStyle w:val="19"/>
              <w:spacing w:line="360" w:lineRule="auto"/>
              <w:ind w:firstLine="480"/>
              <w:rPr>
                <w:color w:val="auto"/>
                <w:kern w:val="0"/>
                <w:sz w:val="24"/>
              </w:rPr>
            </w:pPr>
            <w:r>
              <w:rPr>
                <w:rFonts w:hint="eastAsia"/>
                <w:color w:val="auto"/>
                <w:kern w:val="0"/>
                <w:sz w:val="24"/>
              </w:rPr>
              <w:t>根据《光雾山诺水河文旅融合发展示范片区（南江片区）国土空间总体规划（2021-2035年）-关坝镇区用地布局规划图》，项目占地区域规划为二类城镇住宅用地。项目已于2026年4月9日取得南江县自然资源和规划局出具的《建设用地规划许可证》（511922202600011），项目占地区域为二类城镇住宅用地。</w:t>
            </w:r>
            <w:r>
              <w:rPr>
                <w:color w:val="auto"/>
                <w:kern w:val="0"/>
                <w:sz w:val="24"/>
              </w:rPr>
              <w:t>本项目</w:t>
            </w:r>
            <w:r>
              <w:rPr>
                <w:rFonts w:hint="eastAsia"/>
                <w:color w:val="auto"/>
                <w:kern w:val="0"/>
                <w:sz w:val="24"/>
              </w:rPr>
              <w:t>永久占地</w:t>
            </w:r>
            <w:r>
              <w:rPr>
                <w:rFonts w:hint="eastAsia"/>
                <w:color w:val="auto"/>
                <w:kern w:val="0"/>
                <w:sz w:val="24"/>
                <w:lang w:eastAsia="zh-CN"/>
              </w:rPr>
              <w:t>区域规划为二类城镇住宅用地</w:t>
            </w:r>
            <w:r>
              <w:rPr>
                <w:rFonts w:hint="eastAsia"/>
                <w:color w:val="auto"/>
                <w:kern w:val="0"/>
                <w:sz w:val="24"/>
              </w:rPr>
              <w:t>，项目临时占地</w:t>
            </w:r>
            <w:r>
              <w:rPr>
                <w:rFonts w:hint="eastAsia"/>
                <w:color w:val="auto"/>
                <w:kern w:val="0"/>
                <w:sz w:val="24"/>
                <w:lang w:eastAsia="zh-CN"/>
              </w:rPr>
              <w:t>均</w:t>
            </w:r>
            <w:r>
              <w:rPr>
                <w:rFonts w:hint="eastAsia"/>
                <w:color w:val="auto"/>
                <w:kern w:val="0"/>
                <w:sz w:val="24"/>
              </w:rPr>
              <w:t>位于永久占地内</w:t>
            </w:r>
            <w:r>
              <w:rPr>
                <w:rFonts w:hint="eastAsia"/>
                <w:b w:val="0"/>
                <w:bCs w:val="0"/>
                <w:color w:val="auto"/>
                <w:sz w:val="24"/>
              </w:rPr>
              <w:t>。</w:t>
            </w:r>
            <w:r>
              <w:rPr>
                <w:rFonts w:hint="eastAsia"/>
                <w:color w:val="auto"/>
                <w:sz w:val="24"/>
              </w:rPr>
              <w:t>因此</w:t>
            </w:r>
            <w:r>
              <w:rPr>
                <w:rFonts w:hint="eastAsia"/>
                <w:color w:val="auto"/>
                <w:sz w:val="24"/>
                <w:lang w:eastAsia="zh-CN"/>
              </w:rPr>
              <w:t>，</w:t>
            </w:r>
            <w:r>
              <w:rPr>
                <w:color w:val="auto"/>
                <w:kern w:val="0"/>
                <w:sz w:val="24"/>
              </w:rPr>
              <w:t>项目的建设</w:t>
            </w:r>
            <w:r>
              <w:rPr>
                <w:rFonts w:hint="eastAsia"/>
                <w:color w:val="auto"/>
                <w:kern w:val="0"/>
                <w:sz w:val="24"/>
              </w:rPr>
              <w:t>不</w:t>
            </w:r>
            <w:r>
              <w:rPr>
                <w:color w:val="auto"/>
                <w:kern w:val="0"/>
                <w:sz w:val="24"/>
              </w:rPr>
              <w:t>会改变</w:t>
            </w:r>
            <w:r>
              <w:rPr>
                <w:rFonts w:hint="eastAsia"/>
                <w:color w:val="auto"/>
                <w:kern w:val="0"/>
                <w:sz w:val="24"/>
                <w:lang w:eastAsia="zh-CN"/>
              </w:rPr>
              <w:t>规划</w:t>
            </w:r>
            <w:r>
              <w:rPr>
                <w:color w:val="auto"/>
                <w:kern w:val="0"/>
                <w:sz w:val="24"/>
              </w:rPr>
              <w:t>土地利用类型，符合</w:t>
            </w:r>
            <w:r>
              <w:rPr>
                <w:rFonts w:hint="eastAsia"/>
                <w:color w:val="auto"/>
                <w:kern w:val="0"/>
                <w:sz w:val="24"/>
                <w:lang w:eastAsia="zh-CN"/>
              </w:rPr>
              <w:t>区域</w:t>
            </w:r>
            <w:r>
              <w:rPr>
                <w:rFonts w:hint="eastAsia"/>
                <w:color w:val="auto"/>
                <w:kern w:val="0"/>
                <w:sz w:val="24"/>
              </w:rPr>
              <w:t>土地利用</w:t>
            </w:r>
            <w:r>
              <w:rPr>
                <w:color w:val="auto"/>
                <w:kern w:val="0"/>
                <w:sz w:val="24"/>
              </w:rPr>
              <w:t>规划。因此，对土地利用的影响不大。</w:t>
            </w:r>
          </w:p>
          <w:p w14:paraId="070DC17D">
            <w:pPr>
              <w:spacing w:line="360" w:lineRule="auto"/>
              <w:ind w:firstLine="482" w:firstLineChars="200"/>
              <w:textAlignment w:val="baseline"/>
              <w:rPr>
                <w:b/>
                <w:color w:val="auto"/>
                <w:sz w:val="24"/>
              </w:rPr>
            </w:pPr>
            <w:r>
              <w:rPr>
                <w:rFonts w:hint="eastAsia"/>
                <w:b/>
                <w:color w:val="auto"/>
                <w:sz w:val="24"/>
              </w:rPr>
              <w:t>（二）</w:t>
            </w:r>
            <w:r>
              <w:rPr>
                <w:b/>
                <w:color w:val="auto"/>
                <w:sz w:val="24"/>
              </w:rPr>
              <w:t>对陆生</w:t>
            </w:r>
            <w:r>
              <w:rPr>
                <w:rFonts w:hint="eastAsia"/>
                <w:b/>
                <w:color w:val="auto"/>
                <w:sz w:val="24"/>
              </w:rPr>
              <w:t>植物</w:t>
            </w:r>
            <w:r>
              <w:rPr>
                <w:b/>
                <w:color w:val="auto"/>
                <w:sz w:val="24"/>
              </w:rPr>
              <w:t>的影响</w:t>
            </w:r>
          </w:p>
          <w:p w14:paraId="39B9BDCC">
            <w:pPr>
              <w:adjustRightInd w:val="0"/>
              <w:snapToGrid w:val="0"/>
              <w:spacing w:line="360" w:lineRule="auto"/>
              <w:ind w:firstLine="482" w:firstLineChars="200"/>
              <w:textAlignment w:val="baseline"/>
              <w:rPr>
                <w:b/>
                <w:bCs/>
                <w:color w:val="auto"/>
                <w:sz w:val="24"/>
              </w:rPr>
            </w:pPr>
            <w:r>
              <w:rPr>
                <w:rFonts w:hint="eastAsia"/>
                <w:b/>
                <w:bCs/>
                <w:color w:val="auto"/>
                <w:sz w:val="24"/>
              </w:rPr>
              <w:t>1、影响因素</w:t>
            </w:r>
          </w:p>
          <w:p w14:paraId="1CA9CDBB">
            <w:pPr>
              <w:adjustRightInd w:val="0"/>
              <w:snapToGrid w:val="0"/>
              <w:spacing w:line="360" w:lineRule="auto"/>
              <w:ind w:firstLine="480" w:firstLineChars="200"/>
              <w:textAlignment w:val="baseline"/>
              <w:rPr>
                <w:color w:val="auto"/>
                <w:sz w:val="24"/>
              </w:rPr>
            </w:pPr>
            <w:r>
              <w:rPr>
                <w:color w:val="auto"/>
                <w:sz w:val="24"/>
              </w:rPr>
              <w:t>施工过程，人流和车流量大大增加，如果施工管理不善，对施工场地周围的植被破坏较大，甚至导致其消失。项目占地范围内的植物群落将被彻底破坏，植物生物量短时期内将大幅降低。</w:t>
            </w:r>
          </w:p>
          <w:p w14:paraId="47E4C0CA">
            <w:pPr>
              <w:adjustRightInd w:val="0"/>
              <w:snapToGrid w:val="0"/>
              <w:spacing w:line="360" w:lineRule="auto"/>
              <w:ind w:firstLine="514"/>
              <w:rPr>
                <w:b/>
                <w:bCs/>
                <w:color w:val="auto"/>
                <w:spacing w:val="8"/>
                <w:sz w:val="24"/>
              </w:rPr>
            </w:pPr>
            <w:r>
              <w:rPr>
                <w:b/>
                <w:bCs/>
                <w:color w:val="auto"/>
                <w:spacing w:val="8"/>
                <w:sz w:val="24"/>
              </w:rPr>
              <w:t>2、</w:t>
            </w:r>
            <w:r>
              <w:rPr>
                <w:rFonts w:hint="eastAsia"/>
                <w:b/>
                <w:bCs/>
                <w:color w:val="auto"/>
                <w:spacing w:val="8"/>
                <w:sz w:val="24"/>
              </w:rPr>
              <w:t>对</w:t>
            </w:r>
            <w:r>
              <w:rPr>
                <w:b/>
                <w:bCs/>
                <w:color w:val="auto"/>
                <w:spacing w:val="8"/>
                <w:sz w:val="24"/>
              </w:rPr>
              <w:t>植被类型</w:t>
            </w:r>
            <w:r>
              <w:rPr>
                <w:rFonts w:hint="eastAsia"/>
                <w:b/>
                <w:bCs/>
                <w:color w:val="auto"/>
                <w:spacing w:val="8"/>
                <w:sz w:val="24"/>
              </w:rPr>
              <w:t>的</w:t>
            </w:r>
            <w:r>
              <w:rPr>
                <w:b/>
                <w:bCs/>
                <w:color w:val="auto"/>
                <w:spacing w:val="8"/>
                <w:sz w:val="24"/>
              </w:rPr>
              <w:t>影响</w:t>
            </w:r>
          </w:p>
          <w:p w14:paraId="20F05237">
            <w:pPr>
              <w:adjustRightInd w:val="0"/>
              <w:snapToGrid w:val="0"/>
              <w:spacing w:line="360" w:lineRule="auto"/>
              <w:ind w:firstLine="514"/>
              <w:rPr>
                <w:color w:val="auto"/>
                <w:spacing w:val="8"/>
                <w:sz w:val="24"/>
              </w:rPr>
            </w:pPr>
            <w:r>
              <w:rPr>
                <w:color w:val="auto"/>
                <w:kern w:val="0"/>
                <w:sz w:val="24"/>
                <w:lang w:bidi="ar"/>
              </w:rPr>
              <w:t>评价区内植被类型多样且分布广泛，由于这些植物的生长能力顽强，项目建设过程中，基本不会对区域内植被产生大的破坏，因此本项目工程建设用地对区域植被类型变化的影响较小。</w:t>
            </w:r>
          </w:p>
          <w:p w14:paraId="3E915737">
            <w:pPr>
              <w:adjustRightInd w:val="0"/>
              <w:snapToGrid w:val="0"/>
              <w:spacing w:line="360" w:lineRule="auto"/>
              <w:ind w:firstLine="514"/>
              <w:rPr>
                <w:b/>
                <w:bCs/>
                <w:color w:val="auto"/>
                <w:spacing w:val="8"/>
                <w:sz w:val="24"/>
              </w:rPr>
            </w:pPr>
            <w:r>
              <w:rPr>
                <w:b/>
                <w:bCs/>
                <w:color w:val="auto"/>
                <w:spacing w:val="8"/>
                <w:sz w:val="24"/>
              </w:rPr>
              <w:t>3、对植物多样性的影响</w:t>
            </w:r>
          </w:p>
          <w:p w14:paraId="04BEB6E7">
            <w:pPr>
              <w:adjustRightInd w:val="0"/>
              <w:snapToGrid w:val="0"/>
              <w:spacing w:line="360" w:lineRule="auto"/>
              <w:ind w:firstLine="512" w:firstLineChars="200"/>
              <w:textAlignment w:val="baseline"/>
              <w:rPr>
                <w:color w:val="auto"/>
                <w:spacing w:val="8"/>
                <w:sz w:val="24"/>
              </w:rPr>
            </w:pPr>
            <w:r>
              <w:rPr>
                <w:color w:val="auto"/>
                <w:spacing w:val="8"/>
                <w:sz w:val="24"/>
              </w:rPr>
              <w:t>项目建设虽然会采伐植株个体，但不会导致评价区的物种或植被类型的消失，上述受直接侵占影响的植物种类和植被类型在评价区乃至</w:t>
            </w:r>
            <w:r>
              <w:rPr>
                <w:rFonts w:hint="eastAsia"/>
                <w:color w:val="auto"/>
                <w:spacing w:val="8"/>
                <w:sz w:val="24"/>
              </w:rPr>
              <w:t>地质公园</w:t>
            </w:r>
            <w:r>
              <w:rPr>
                <w:color w:val="auto"/>
                <w:spacing w:val="8"/>
                <w:sz w:val="24"/>
              </w:rPr>
              <w:t>内都广泛分布，项目建设对评价区的生物多样性影响较小。</w:t>
            </w:r>
          </w:p>
          <w:p w14:paraId="27E88736">
            <w:pPr>
              <w:adjustRightInd w:val="0"/>
              <w:snapToGrid w:val="0"/>
              <w:spacing w:line="360" w:lineRule="auto"/>
              <w:ind w:firstLine="482" w:firstLineChars="200"/>
              <w:textAlignment w:val="baseline"/>
              <w:rPr>
                <w:b/>
                <w:bCs/>
                <w:color w:val="auto"/>
                <w:sz w:val="24"/>
              </w:rPr>
            </w:pPr>
            <w:r>
              <w:rPr>
                <w:b/>
                <w:bCs/>
                <w:color w:val="auto"/>
                <w:sz w:val="24"/>
              </w:rPr>
              <w:t>（</w:t>
            </w:r>
            <w:r>
              <w:rPr>
                <w:rFonts w:hint="eastAsia"/>
                <w:b/>
                <w:bCs/>
                <w:color w:val="auto"/>
                <w:sz w:val="24"/>
              </w:rPr>
              <w:t>三</w:t>
            </w:r>
            <w:r>
              <w:rPr>
                <w:b/>
                <w:bCs/>
                <w:color w:val="auto"/>
                <w:sz w:val="24"/>
              </w:rPr>
              <w:t>）对陆生动物的影响</w:t>
            </w:r>
          </w:p>
          <w:p w14:paraId="72CE8D9C">
            <w:pPr>
              <w:spacing w:line="360" w:lineRule="auto"/>
              <w:ind w:firstLine="482" w:firstLineChars="200"/>
              <w:textAlignment w:val="baseline"/>
              <w:rPr>
                <w:b/>
                <w:color w:val="auto"/>
                <w:sz w:val="24"/>
              </w:rPr>
            </w:pPr>
            <w:r>
              <w:rPr>
                <w:b/>
                <w:color w:val="auto"/>
                <w:sz w:val="24"/>
              </w:rPr>
              <w:t>1、影响因素</w:t>
            </w:r>
          </w:p>
          <w:p w14:paraId="42764B47">
            <w:pPr>
              <w:spacing w:line="360" w:lineRule="auto"/>
              <w:ind w:firstLine="480" w:firstLineChars="200"/>
              <w:textAlignment w:val="baseline"/>
              <w:rPr>
                <w:bCs/>
                <w:color w:val="auto"/>
                <w:sz w:val="24"/>
              </w:rPr>
            </w:pPr>
            <w:r>
              <w:rPr>
                <w:bCs/>
                <w:color w:val="auto"/>
                <w:sz w:val="24"/>
              </w:rPr>
              <w:t>施工期对评价区内动物的影响可以概括为以下几个方面：</w:t>
            </w:r>
          </w:p>
          <w:p w14:paraId="4E156127">
            <w:pPr>
              <w:spacing w:line="360" w:lineRule="auto"/>
              <w:ind w:firstLine="480" w:firstLineChars="200"/>
              <w:textAlignment w:val="baseline"/>
              <w:rPr>
                <w:bCs/>
                <w:color w:val="auto"/>
                <w:sz w:val="24"/>
              </w:rPr>
            </w:pPr>
            <w:r>
              <w:rPr>
                <w:bCs/>
                <w:color w:val="auto"/>
                <w:sz w:val="24"/>
              </w:rPr>
              <w:t>（1）永久占地使动物栖息地面积缩小；</w:t>
            </w:r>
          </w:p>
          <w:p w14:paraId="2AC316B6">
            <w:pPr>
              <w:spacing w:line="360" w:lineRule="auto"/>
              <w:ind w:firstLine="480" w:firstLineChars="200"/>
              <w:textAlignment w:val="baseline"/>
              <w:rPr>
                <w:bCs/>
                <w:color w:val="auto"/>
                <w:sz w:val="24"/>
              </w:rPr>
            </w:pPr>
            <w:r>
              <w:rPr>
                <w:bCs/>
                <w:color w:val="auto"/>
                <w:sz w:val="24"/>
              </w:rPr>
              <w:t>（2）施工活动可能直接导致动物巢穴破坏，使动物幼体死亡；</w:t>
            </w:r>
          </w:p>
          <w:p w14:paraId="24523917">
            <w:pPr>
              <w:spacing w:line="360" w:lineRule="auto"/>
              <w:ind w:firstLine="480" w:firstLineChars="200"/>
              <w:textAlignment w:val="baseline"/>
              <w:rPr>
                <w:rFonts w:hint="eastAsia" w:eastAsia="宋体"/>
                <w:bCs/>
                <w:color w:val="auto"/>
                <w:sz w:val="24"/>
                <w:lang w:eastAsia="zh-CN"/>
              </w:rPr>
            </w:pPr>
            <w:r>
              <w:rPr>
                <w:bCs/>
                <w:color w:val="auto"/>
                <w:sz w:val="24"/>
              </w:rPr>
              <w:t>（3）破坏施工区内的植被，致使动物觅食地、活动地面积减少</w:t>
            </w:r>
            <w:r>
              <w:rPr>
                <w:rFonts w:hint="eastAsia"/>
                <w:bCs/>
                <w:color w:val="auto"/>
                <w:sz w:val="24"/>
                <w:lang w:eastAsia="zh-CN"/>
              </w:rPr>
              <w:t>等。</w:t>
            </w:r>
          </w:p>
          <w:p w14:paraId="455CBB21">
            <w:pPr>
              <w:spacing w:line="360" w:lineRule="auto"/>
              <w:ind w:firstLine="482" w:firstLineChars="200"/>
              <w:textAlignment w:val="baseline"/>
              <w:rPr>
                <w:b/>
                <w:color w:val="auto"/>
                <w:sz w:val="24"/>
              </w:rPr>
            </w:pPr>
            <w:r>
              <w:rPr>
                <w:b/>
                <w:color w:val="auto"/>
                <w:sz w:val="24"/>
              </w:rPr>
              <w:t>2、对各动物类群的影响</w:t>
            </w:r>
          </w:p>
          <w:p w14:paraId="1064C15F">
            <w:pPr>
              <w:spacing w:line="360" w:lineRule="auto"/>
              <w:ind w:firstLine="480" w:firstLineChars="200"/>
              <w:textAlignment w:val="baseline"/>
              <w:rPr>
                <w:bCs/>
                <w:color w:val="auto"/>
                <w:sz w:val="24"/>
              </w:rPr>
            </w:pPr>
            <w:r>
              <w:rPr>
                <w:bCs/>
                <w:color w:val="auto"/>
                <w:sz w:val="24"/>
              </w:rPr>
              <w:t>（1）对两栖类的影响</w:t>
            </w:r>
          </w:p>
          <w:p w14:paraId="79075865">
            <w:pPr>
              <w:spacing w:line="360" w:lineRule="auto"/>
              <w:ind w:firstLine="480" w:firstLineChars="200"/>
              <w:textAlignment w:val="baseline"/>
              <w:rPr>
                <w:bCs/>
                <w:color w:val="auto"/>
                <w:sz w:val="24"/>
              </w:rPr>
            </w:pPr>
            <w:r>
              <w:rPr>
                <w:bCs/>
                <w:color w:val="auto"/>
                <w:sz w:val="24"/>
              </w:rPr>
              <w:t>评价区域内分布的两栖类动物均属分布范围广、种群数量较大的常见种，且工程建设区域位于</w:t>
            </w:r>
            <w:r>
              <w:rPr>
                <w:rFonts w:hint="eastAsia"/>
                <w:bCs/>
                <w:color w:val="auto"/>
                <w:sz w:val="24"/>
              </w:rPr>
              <w:t>关坝镇场镇</w:t>
            </w:r>
            <w:r>
              <w:rPr>
                <w:bCs/>
                <w:color w:val="auto"/>
                <w:sz w:val="24"/>
              </w:rPr>
              <w:t>，人为活动频繁，现有的两栖类动物已在相对安全的地方栖息，项目建设不会造成整个评价区域内这些两栖类物种的消失，</w:t>
            </w:r>
            <w:r>
              <w:rPr>
                <w:rFonts w:hint="eastAsia"/>
                <w:bCs/>
                <w:color w:val="auto"/>
                <w:sz w:val="24"/>
                <w:lang w:eastAsia="zh-CN"/>
              </w:rPr>
              <w:t>对其</w:t>
            </w:r>
            <w:r>
              <w:rPr>
                <w:bCs/>
                <w:color w:val="auto"/>
                <w:sz w:val="24"/>
              </w:rPr>
              <w:t>影响小。</w:t>
            </w:r>
          </w:p>
          <w:p w14:paraId="309F7B5D">
            <w:pPr>
              <w:spacing w:line="360" w:lineRule="auto"/>
              <w:ind w:firstLine="480" w:firstLineChars="200"/>
              <w:textAlignment w:val="baseline"/>
              <w:rPr>
                <w:bCs/>
                <w:color w:val="auto"/>
                <w:sz w:val="24"/>
              </w:rPr>
            </w:pPr>
            <w:r>
              <w:rPr>
                <w:bCs/>
                <w:color w:val="auto"/>
                <w:sz w:val="24"/>
              </w:rPr>
              <w:t>（</w:t>
            </w:r>
            <w:r>
              <w:rPr>
                <w:rFonts w:hint="eastAsia"/>
                <w:bCs/>
                <w:color w:val="auto"/>
                <w:sz w:val="24"/>
              </w:rPr>
              <w:t>2</w:t>
            </w:r>
            <w:r>
              <w:rPr>
                <w:bCs/>
                <w:color w:val="auto"/>
                <w:sz w:val="24"/>
              </w:rPr>
              <w:t>）对爬行类的影响</w:t>
            </w:r>
          </w:p>
          <w:p w14:paraId="595DC4E4">
            <w:pPr>
              <w:spacing w:line="360" w:lineRule="auto"/>
              <w:ind w:firstLine="480" w:firstLineChars="200"/>
              <w:textAlignment w:val="baseline"/>
              <w:rPr>
                <w:bCs/>
                <w:color w:val="auto"/>
                <w:sz w:val="24"/>
              </w:rPr>
            </w:pPr>
            <w:r>
              <w:rPr>
                <w:bCs/>
                <w:color w:val="auto"/>
                <w:sz w:val="24"/>
              </w:rPr>
              <w:t>施工占地将使分布于工程占地区的爬行类动物离开原有栖息地，施工损伤也将使工程占地区的爬行类种群数量减小，而降低该区域爬行类物种多样性。但是，就整个评价区而言，由于这些爬行类均属分布范围较广、适应能力较强的种类，不会因施工占地和施工损伤而使某个种群消失。因此，建设期施工作业不会造成评价区域内爬行类动物种类减少，</w:t>
            </w:r>
            <w:r>
              <w:rPr>
                <w:rFonts w:hint="eastAsia"/>
                <w:bCs/>
                <w:color w:val="auto"/>
                <w:sz w:val="24"/>
                <w:lang w:eastAsia="zh-CN"/>
              </w:rPr>
              <w:t>对其</w:t>
            </w:r>
            <w:r>
              <w:rPr>
                <w:bCs/>
                <w:color w:val="auto"/>
                <w:sz w:val="24"/>
              </w:rPr>
              <w:t>影响小。</w:t>
            </w:r>
          </w:p>
          <w:p w14:paraId="4EF675D1">
            <w:pPr>
              <w:spacing w:line="360" w:lineRule="auto"/>
              <w:ind w:firstLine="480" w:firstLineChars="200"/>
              <w:textAlignment w:val="baseline"/>
              <w:rPr>
                <w:bCs/>
                <w:color w:val="auto"/>
                <w:sz w:val="24"/>
              </w:rPr>
            </w:pPr>
            <w:r>
              <w:rPr>
                <w:bCs/>
                <w:color w:val="auto"/>
                <w:sz w:val="24"/>
              </w:rPr>
              <w:t>（</w:t>
            </w:r>
            <w:r>
              <w:rPr>
                <w:rFonts w:hint="eastAsia"/>
                <w:bCs/>
                <w:color w:val="auto"/>
                <w:sz w:val="24"/>
              </w:rPr>
              <w:t>3</w:t>
            </w:r>
            <w:r>
              <w:rPr>
                <w:bCs/>
                <w:color w:val="auto"/>
                <w:sz w:val="24"/>
              </w:rPr>
              <w:t>）对鸟类的影响</w:t>
            </w:r>
          </w:p>
          <w:p w14:paraId="1AF63369">
            <w:pPr>
              <w:widowControl/>
              <w:spacing w:line="360" w:lineRule="auto"/>
              <w:ind w:firstLine="480" w:firstLineChars="200"/>
              <w:rPr>
                <w:color w:val="auto"/>
                <w:sz w:val="24"/>
              </w:rPr>
            </w:pPr>
            <w:r>
              <w:rPr>
                <w:color w:val="auto"/>
                <w:kern w:val="0"/>
                <w:sz w:val="24"/>
                <w:lang w:bidi="ar"/>
              </w:rPr>
              <w:t>施工期间，人为活动的增加以及</w:t>
            </w:r>
            <w:r>
              <w:rPr>
                <w:rFonts w:hint="eastAsia"/>
                <w:color w:val="auto"/>
                <w:kern w:val="0"/>
                <w:sz w:val="24"/>
                <w:lang w:bidi="ar"/>
              </w:rPr>
              <w:t>地</w:t>
            </w:r>
            <w:r>
              <w:rPr>
                <w:color w:val="auto"/>
                <w:kern w:val="0"/>
                <w:sz w:val="24"/>
                <w:lang w:bidi="ar"/>
              </w:rPr>
              <w:t>基的开挖、</w:t>
            </w:r>
            <w:r>
              <w:rPr>
                <w:rFonts w:hint="eastAsia"/>
                <w:color w:val="auto"/>
                <w:kern w:val="0"/>
                <w:sz w:val="24"/>
                <w:lang w:bidi="ar"/>
              </w:rPr>
              <w:t>机械</w:t>
            </w:r>
            <w:r>
              <w:rPr>
                <w:color w:val="auto"/>
                <w:kern w:val="0"/>
                <w:sz w:val="24"/>
                <w:lang w:bidi="ar"/>
              </w:rPr>
              <w:t>的震动、巨响，施工机械噪音均会惊吓、干扰某些鸟类，尤其对一些山林鸟类会产生干扰。但鸟类能凭借自身的飞翔能力离开施工影响区域，寻找适宜的栖息地。施工过程没有影响到鸟类集中的栖息或繁殖地，就不会影响</w:t>
            </w:r>
            <w:r>
              <w:rPr>
                <w:rFonts w:hint="eastAsia"/>
                <w:color w:val="auto"/>
                <w:kern w:val="0"/>
                <w:sz w:val="24"/>
                <w:lang w:bidi="ar"/>
              </w:rPr>
              <w:t>工程周边</w:t>
            </w:r>
            <w:r>
              <w:rPr>
                <w:color w:val="auto"/>
                <w:kern w:val="0"/>
                <w:sz w:val="24"/>
                <w:lang w:bidi="ar"/>
              </w:rPr>
              <w:t>鸟类种群及其长期生存繁衍的环境。调查得知</w:t>
            </w:r>
            <w:r>
              <w:rPr>
                <w:rFonts w:hint="eastAsia"/>
                <w:color w:val="auto"/>
                <w:kern w:val="0"/>
                <w:sz w:val="24"/>
                <w:lang w:eastAsia="zh-CN" w:bidi="ar"/>
              </w:rPr>
              <w:t>项目周边</w:t>
            </w:r>
            <w:r>
              <w:rPr>
                <w:color w:val="auto"/>
                <w:kern w:val="0"/>
                <w:sz w:val="24"/>
                <w:lang w:bidi="ar"/>
              </w:rPr>
              <w:t>没有鸟类集中的栖息或繁殖地</w:t>
            </w:r>
            <w:r>
              <w:rPr>
                <w:rFonts w:hint="eastAsia"/>
                <w:color w:val="auto"/>
                <w:kern w:val="0"/>
                <w:sz w:val="24"/>
                <w:lang w:bidi="ar"/>
              </w:rPr>
              <w:t>。</w:t>
            </w:r>
          </w:p>
          <w:p w14:paraId="6902B446">
            <w:pPr>
              <w:spacing w:line="360" w:lineRule="auto"/>
              <w:ind w:firstLine="480" w:firstLineChars="200"/>
              <w:textAlignment w:val="baseline"/>
              <w:rPr>
                <w:bCs/>
                <w:color w:val="auto"/>
                <w:sz w:val="24"/>
              </w:rPr>
            </w:pPr>
            <w:r>
              <w:rPr>
                <w:bCs/>
                <w:color w:val="auto"/>
                <w:sz w:val="24"/>
              </w:rPr>
              <w:t>（</w:t>
            </w:r>
            <w:r>
              <w:rPr>
                <w:rFonts w:hint="eastAsia"/>
                <w:bCs/>
                <w:color w:val="auto"/>
                <w:sz w:val="24"/>
              </w:rPr>
              <w:t>4</w:t>
            </w:r>
            <w:r>
              <w:rPr>
                <w:bCs/>
                <w:color w:val="auto"/>
                <w:sz w:val="24"/>
              </w:rPr>
              <w:t>）对兽类的影响</w:t>
            </w:r>
          </w:p>
          <w:p w14:paraId="69BBB781">
            <w:pPr>
              <w:widowControl/>
              <w:spacing w:line="360" w:lineRule="auto"/>
              <w:ind w:firstLine="480" w:firstLineChars="200"/>
              <w:rPr>
                <w:color w:val="auto"/>
                <w:kern w:val="0"/>
                <w:sz w:val="24"/>
                <w:lang w:bidi="ar"/>
              </w:rPr>
            </w:pPr>
            <w:r>
              <w:rPr>
                <w:color w:val="auto"/>
                <w:kern w:val="0"/>
                <w:sz w:val="24"/>
                <w:lang w:bidi="ar"/>
              </w:rPr>
              <w:t>永久占地使各类动物栖息地面积缩小。如</w:t>
            </w:r>
            <w:r>
              <w:rPr>
                <w:rFonts w:ascii="Times New Roman" w:hAnsi="Times New Roman" w:eastAsia="宋体" w:cs="Times New Roman"/>
                <w:color w:val="auto"/>
                <w:kern w:val="0"/>
                <w:sz w:val="24"/>
                <w:szCs w:val="24"/>
                <w:lang w:bidi="ar"/>
              </w:rPr>
              <w:t>原在</w:t>
            </w:r>
            <w:r>
              <w:rPr>
                <w:rFonts w:hint="eastAsia" w:ascii="Times New Roman" w:hAnsi="Times New Roman" w:eastAsia="宋体" w:cs="Times New Roman"/>
                <w:color w:val="auto"/>
                <w:kern w:val="0"/>
                <w:sz w:val="24"/>
                <w:szCs w:val="24"/>
                <w:lang w:eastAsia="zh-CN" w:bidi="ar"/>
              </w:rPr>
              <w:t>工程区域</w:t>
            </w:r>
            <w:r>
              <w:rPr>
                <w:color w:val="auto"/>
                <w:kern w:val="0"/>
                <w:sz w:val="24"/>
                <w:lang w:bidi="ar"/>
              </w:rPr>
              <w:t>栖息的小型兽类，其栖息地将被直接侵占，迫使其迁往临近新的栖息地。在这个过程中，将导致小型兽类将因栖息地改变和领地冲突而死亡；各类施工活动可能直接破坏部分动物巢穴，使动物幼体死亡；破坏工程区内的植被和各种植物，致使动物在该区域的觅食种类、活动面积减少；噪声惊吓动物，影响它们的繁殖及日常活动，迫使它们迁离。</w:t>
            </w:r>
          </w:p>
          <w:p w14:paraId="71482473">
            <w:pPr>
              <w:spacing w:line="360" w:lineRule="auto"/>
              <w:ind w:firstLine="480" w:firstLineChars="200"/>
              <w:textAlignment w:val="baseline"/>
              <w:rPr>
                <w:bCs/>
                <w:color w:val="auto"/>
                <w:sz w:val="24"/>
              </w:rPr>
            </w:pPr>
            <w:r>
              <w:rPr>
                <w:color w:val="auto"/>
                <w:kern w:val="0"/>
                <w:sz w:val="24"/>
                <w:lang w:bidi="ar"/>
              </w:rPr>
              <w:t>评价区植被类型相对简单，人为活动强，工程直接影响区</w:t>
            </w:r>
            <w:r>
              <w:rPr>
                <w:rFonts w:hint="eastAsia"/>
                <w:color w:val="auto"/>
                <w:kern w:val="0"/>
                <w:sz w:val="24"/>
                <w:lang w:eastAsia="zh-CN" w:bidi="ar"/>
              </w:rPr>
              <w:t>多</w:t>
            </w:r>
            <w:r>
              <w:rPr>
                <w:color w:val="auto"/>
                <w:kern w:val="0"/>
                <w:sz w:val="24"/>
                <w:lang w:bidi="ar"/>
              </w:rPr>
              <w:t>为小型兽类，其中以半地下生活型的鼠类最多，小型鼠类活动能力较强，可以比较容易的在评价区周围找到相似生境，施工活动不会对其生存有大的影响。加之这些</w:t>
            </w:r>
            <w:r>
              <w:rPr>
                <w:rFonts w:hint="eastAsia"/>
                <w:color w:val="auto"/>
                <w:kern w:val="0"/>
                <w:sz w:val="24"/>
                <w:lang w:eastAsia="zh-CN" w:bidi="ar"/>
              </w:rPr>
              <w:t>物</w:t>
            </w:r>
            <w:r>
              <w:rPr>
                <w:color w:val="auto"/>
                <w:kern w:val="0"/>
                <w:sz w:val="24"/>
                <w:lang w:bidi="ar"/>
              </w:rPr>
              <w:t>种的分布范围较广，繁殖力也较强，且均具有较强的适应性，因此工程的施工对其影响也有限。</w:t>
            </w:r>
          </w:p>
          <w:p w14:paraId="1FCE1885">
            <w:pPr>
              <w:adjustRightInd w:val="0"/>
              <w:snapToGrid w:val="0"/>
              <w:spacing w:line="360" w:lineRule="auto"/>
              <w:ind w:firstLine="482" w:firstLineChars="200"/>
              <w:textAlignment w:val="baseline"/>
              <w:rPr>
                <w:b/>
                <w:bCs/>
                <w:color w:val="auto"/>
                <w:sz w:val="24"/>
              </w:rPr>
            </w:pPr>
            <w:r>
              <w:rPr>
                <w:b/>
                <w:bCs/>
                <w:color w:val="auto"/>
                <w:sz w:val="24"/>
              </w:rPr>
              <w:t>（</w:t>
            </w:r>
            <w:r>
              <w:rPr>
                <w:rFonts w:hint="eastAsia"/>
                <w:b/>
                <w:bCs/>
                <w:color w:val="auto"/>
                <w:sz w:val="24"/>
              </w:rPr>
              <w:t>四</w:t>
            </w:r>
            <w:r>
              <w:rPr>
                <w:b/>
                <w:bCs/>
                <w:color w:val="auto"/>
                <w:sz w:val="24"/>
              </w:rPr>
              <w:t>）</w:t>
            </w:r>
            <w:r>
              <w:rPr>
                <w:rFonts w:hint="eastAsia"/>
                <w:b/>
                <w:bCs/>
                <w:color w:val="auto"/>
                <w:sz w:val="24"/>
              </w:rPr>
              <w:t>对国家重点保护野生动植物的影响</w:t>
            </w:r>
          </w:p>
          <w:p w14:paraId="6E8EE53A">
            <w:pPr>
              <w:adjustRightInd w:val="0"/>
              <w:snapToGrid w:val="0"/>
              <w:spacing w:line="360" w:lineRule="auto"/>
              <w:ind w:firstLine="514" w:firstLineChars="200"/>
              <w:textAlignment w:val="baseline"/>
              <w:rPr>
                <w:color w:val="auto"/>
                <w:spacing w:val="8"/>
                <w:sz w:val="24"/>
              </w:rPr>
            </w:pPr>
            <w:r>
              <w:rPr>
                <w:rFonts w:hint="eastAsia"/>
                <w:b/>
                <w:bCs/>
                <w:color w:val="auto"/>
                <w:spacing w:val="8"/>
                <w:sz w:val="24"/>
              </w:rPr>
              <w:t>1、</w:t>
            </w:r>
            <w:r>
              <w:rPr>
                <w:b/>
                <w:bCs/>
                <w:color w:val="auto"/>
                <w:spacing w:val="8"/>
                <w:sz w:val="24"/>
              </w:rPr>
              <w:t>对</w:t>
            </w:r>
            <w:r>
              <w:rPr>
                <w:rFonts w:hint="eastAsia"/>
                <w:b/>
                <w:bCs/>
                <w:color w:val="auto"/>
                <w:spacing w:val="8"/>
                <w:sz w:val="24"/>
              </w:rPr>
              <w:t>重要野生植物</w:t>
            </w:r>
            <w:r>
              <w:rPr>
                <w:b/>
                <w:bCs/>
                <w:color w:val="auto"/>
                <w:spacing w:val="8"/>
                <w:sz w:val="24"/>
              </w:rPr>
              <w:t>的影响</w:t>
            </w:r>
          </w:p>
          <w:p w14:paraId="4363186B">
            <w:pPr>
              <w:spacing w:line="360" w:lineRule="auto"/>
              <w:ind w:firstLine="512" w:firstLineChars="200"/>
              <w:textAlignment w:val="baseline"/>
              <w:rPr>
                <w:bCs/>
                <w:color w:val="auto"/>
                <w:sz w:val="24"/>
              </w:rPr>
            </w:pPr>
            <w:r>
              <w:rPr>
                <w:color w:val="auto"/>
                <w:spacing w:val="8"/>
                <w:sz w:val="24"/>
              </w:rPr>
              <w:t>根据野外调查和资料查证，项目评价区</w:t>
            </w:r>
            <w:r>
              <w:rPr>
                <w:rFonts w:hint="eastAsia"/>
                <w:color w:val="auto"/>
                <w:spacing w:val="8"/>
                <w:sz w:val="24"/>
                <w:lang w:eastAsia="zh-CN"/>
              </w:rPr>
              <w:t>无</w:t>
            </w:r>
            <w:r>
              <w:rPr>
                <w:color w:val="auto"/>
                <w:spacing w:val="8"/>
                <w:sz w:val="24"/>
              </w:rPr>
              <w:t>国家野生重点保护植物</w:t>
            </w:r>
            <w:r>
              <w:rPr>
                <w:rFonts w:hint="eastAsia"/>
                <w:color w:val="auto"/>
                <w:spacing w:val="8"/>
                <w:sz w:val="24"/>
                <w:lang w:eastAsia="zh-CN"/>
              </w:rPr>
              <w:t>、</w:t>
            </w:r>
            <w:r>
              <w:rPr>
                <w:color w:val="auto"/>
                <w:spacing w:val="8"/>
                <w:sz w:val="24"/>
              </w:rPr>
              <w:t>珍稀濒危植物</w:t>
            </w:r>
            <w:r>
              <w:rPr>
                <w:rFonts w:hint="eastAsia"/>
                <w:color w:val="auto"/>
                <w:spacing w:val="8"/>
                <w:sz w:val="24"/>
                <w:lang w:eastAsia="zh-CN"/>
              </w:rPr>
              <w:t>、</w:t>
            </w:r>
            <w:r>
              <w:rPr>
                <w:color w:val="auto"/>
                <w:spacing w:val="8"/>
                <w:sz w:val="24"/>
              </w:rPr>
              <w:t>古树名木分布。</w:t>
            </w:r>
          </w:p>
          <w:p w14:paraId="43E2887A">
            <w:pPr>
              <w:adjustRightInd w:val="0"/>
              <w:snapToGrid w:val="0"/>
              <w:spacing w:line="360" w:lineRule="auto"/>
              <w:ind w:firstLine="514" w:firstLineChars="200"/>
              <w:textAlignment w:val="baseline"/>
              <w:rPr>
                <w:color w:val="auto"/>
                <w:spacing w:val="8"/>
                <w:sz w:val="24"/>
              </w:rPr>
            </w:pPr>
            <w:r>
              <w:rPr>
                <w:rFonts w:hint="eastAsia"/>
                <w:b/>
                <w:bCs/>
                <w:color w:val="auto"/>
                <w:spacing w:val="8"/>
                <w:sz w:val="24"/>
              </w:rPr>
              <w:t>2、</w:t>
            </w:r>
            <w:r>
              <w:rPr>
                <w:b/>
                <w:bCs/>
                <w:color w:val="auto"/>
                <w:spacing w:val="8"/>
                <w:sz w:val="24"/>
              </w:rPr>
              <w:t>对</w:t>
            </w:r>
            <w:r>
              <w:rPr>
                <w:rFonts w:hint="eastAsia"/>
                <w:b/>
                <w:bCs/>
                <w:color w:val="auto"/>
                <w:spacing w:val="8"/>
                <w:sz w:val="24"/>
              </w:rPr>
              <w:t>重要野生动物</w:t>
            </w:r>
            <w:r>
              <w:rPr>
                <w:b/>
                <w:bCs/>
                <w:color w:val="auto"/>
                <w:spacing w:val="8"/>
                <w:sz w:val="24"/>
              </w:rPr>
              <w:t>的影响</w:t>
            </w:r>
          </w:p>
          <w:p w14:paraId="3A618972">
            <w:pPr>
              <w:spacing w:line="360" w:lineRule="auto"/>
              <w:ind w:firstLine="480" w:firstLineChars="200"/>
              <w:textAlignment w:val="baseline"/>
              <w:rPr>
                <w:bCs/>
                <w:color w:val="auto"/>
                <w:sz w:val="24"/>
              </w:rPr>
            </w:pPr>
            <w:r>
              <w:rPr>
                <w:rFonts w:hint="eastAsia" w:ascii="Times New Roman" w:hAnsi="Times New Roman" w:eastAsia="宋体" w:cs="Times New Roman"/>
                <w:color w:val="auto"/>
                <w:sz w:val="24"/>
                <w:szCs w:val="24"/>
                <w:highlight w:val="none"/>
                <w:lang w:val="en-US" w:eastAsia="zh-CN"/>
              </w:rPr>
              <w:t>在评价范围内分布有易危动物：</w:t>
            </w:r>
            <w:r>
              <w:rPr>
                <w:rFonts w:ascii="Times New Roman" w:hAnsi="Times New Roman" w:eastAsia="宋体" w:cs="Times New Roman"/>
                <w:color w:val="auto"/>
                <w:kern w:val="0"/>
                <w:sz w:val="24"/>
                <w:szCs w:val="24"/>
                <w:highlight w:val="none"/>
                <w:lang w:bidi="ar"/>
              </w:rPr>
              <w:t>乌梢蛇</w:t>
            </w:r>
            <w:r>
              <w:rPr>
                <w:rFonts w:ascii="Times New Roman" w:hAnsi="Times New Roman" w:eastAsia="宋体" w:cs="Times New Roman"/>
                <w:color w:val="auto"/>
                <w:sz w:val="24"/>
                <w:szCs w:val="24"/>
                <w:highlight w:val="none"/>
              </w:rPr>
              <w:t>、王锦蛇</w:t>
            </w:r>
            <w:r>
              <w:rPr>
                <w:rFonts w:ascii="Times New Roman" w:hAnsi="Times New Roman" w:eastAsia="宋体" w:cs="Times New Roman"/>
                <w:color w:val="auto"/>
                <w:kern w:val="0"/>
                <w:sz w:val="24"/>
                <w:szCs w:val="24"/>
                <w:highlight w:val="none"/>
                <w:lang w:bidi="ar"/>
              </w:rPr>
              <w:t>、</w:t>
            </w:r>
            <w:r>
              <w:rPr>
                <w:rFonts w:ascii="Times New Roman" w:hAnsi="Times New Roman" w:eastAsia="宋体" w:cs="Times New Roman"/>
                <w:color w:val="auto"/>
                <w:sz w:val="24"/>
                <w:szCs w:val="24"/>
                <w:highlight w:val="none"/>
              </w:rPr>
              <w:t>黑眉锦蛇</w:t>
            </w:r>
            <w:r>
              <w:rPr>
                <w:rFonts w:hint="eastAsia" w:ascii="Times New Roman" w:hAnsi="Times New Roman" w:eastAsia="宋体" w:cs="Times New Roman"/>
                <w:color w:val="auto"/>
                <w:sz w:val="24"/>
                <w:szCs w:val="24"/>
                <w:highlight w:val="none"/>
                <w:lang w:eastAsia="zh-CN"/>
              </w:rPr>
              <w:t>、</w:t>
            </w:r>
            <w:r>
              <w:rPr>
                <w:rFonts w:ascii="Times New Roman" w:hAnsi="Times New Roman" w:eastAsia="宋体" w:cs="Times New Roman"/>
                <w:color w:val="auto"/>
                <w:kern w:val="0"/>
                <w:sz w:val="24"/>
                <w:szCs w:val="24"/>
                <w:highlight w:val="none"/>
                <w:lang w:bidi="ar"/>
              </w:rPr>
              <w:t>光雾臭蛙</w:t>
            </w:r>
            <w:r>
              <w:rPr>
                <w:rFonts w:hint="eastAsia" w:ascii="Times New Roman" w:hAnsi="Times New Roman" w:eastAsia="宋体" w:cs="Times New Roman"/>
                <w:color w:val="auto"/>
                <w:sz w:val="24"/>
                <w:szCs w:val="24"/>
                <w:highlight w:val="none"/>
                <w:lang w:val="en-US" w:eastAsia="zh-CN"/>
              </w:rPr>
              <w:t>；特有种：</w:t>
            </w:r>
            <w:r>
              <w:rPr>
                <w:rFonts w:hint="eastAsia" w:cs="Times New Roman"/>
                <w:color w:val="auto"/>
                <w:sz w:val="24"/>
                <w:szCs w:val="24"/>
                <w:highlight w:val="none"/>
                <w:lang w:val="en-US" w:eastAsia="zh-CN"/>
              </w:rPr>
              <w:t>峨眉林蛙</w:t>
            </w:r>
            <w:r>
              <w:rPr>
                <w:rFonts w:hint="eastAsia" w:ascii="Times New Roman" w:hAnsi="Times New Roman" w:eastAsia="宋体" w:cs="Times New Roman"/>
                <w:color w:val="auto"/>
                <w:sz w:val="24"/>
                <w:szCs w:val="24"/>
                <w:highlight w:val="none"/>
                <w:lang w:val="en-US" w:eastAsia="zh-CN"/>
              </w:rPr>
              <w:t>、南江齿蟾、</w:t>
            </w:r>
            <w:r>
              <w:rPr>
                <w:rFonts w:hint="eastAsia" w:ascii="Times New Roman" w:hAnsi="Times New Roman" w:eastAsia="宋体"/>
                <w:color w:val="auto"/>
                <w:sz w:val="24"/>
                <w:szCs w:val="24"/>
                <w:highlight w:val="none"/>
              </w:rPr>
              <w:t>光雾臭蛙</w:t>
            </w:r>
            <w:r>
              <w:rPr>
                <w:rFonts w:hint="eastAsia" w:ascii="Times New Roman" w:hAnsi="Times New Roman" w:eastAsia="宋体"/>
                <w:color w:val="auto"/>
                <w:sz w:val="24"/>
                <w:szCs w:val="24"/>
                <w:highlight w:val="none"/>
                <w:lang w:eastAsia="zh-CN"/>
              </w:rPr>
              <w:t>、蹼趾壁虎、红白鼯鼠等</w:t>
            </w:r>
            <w:r>
              <w:rPr>
                <w:rFonts w:hint="eastAsia"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rPr>
              <w:t>项目</w:t>
            </w:r>
            <w:r>
              <w:rPr>
                <w:rFonts w:hint="eastAsia" w:ascii="Times New Roman" w:hAnsi="Times New Roman" w:eastAsia="宋体" w:cs="Times New Roman"/>
                <w:color w:val="auto"/>
                <w:sz w:val="24"/>
                <w:szCs w:val="24"/>
                <w:highlight w:val="none"/>
                <w:lang w:val="en-US" w:eastAsia="zh-CN"/>
              </w:rPr>
              <w:t>区域</w:t>
            </w:r>
            <w:r>
              <w:rPr>
                <w:rFonts w:hint="eastAsia" w:ascii="Times New Roman" w:hAnsi="Times New Roman" w:eastAsia="宋体" w:cs="Times New Roman"/>
                <w:color w:val="auto"/>
                <w:sz w:val="24"/>
                <w:szCs w:val="24"/>
                <w:highlight w:val="none"/>
              </w:rPr>
              <w:t>人类活动干扰较强，</w:t>
            </w:r>
            <w:r>
              <w:rPr>
                <w:rFonts w:hint="eastAsia" w:ascii="Times New Roman" w:hAnsi="Times New Roman" w:eastAsia="宋体" w:cs="Times New Roman"/>
                <w:color w:val="auto"/>
                <w:sz w:val="24"/>
                <w:szCs w:val="24"/>
                <w:highlight w:val="none"/>
                <w:lang w:eastAsia="zh-CN"/>
              </w:rPr>
              <w:t>易危、</w:t>
            </w:r>
            <w:r>
              <w:rPr>
                <w:rFonts w:hint="eastAsia" w:ascii="Times New Roman" w:hAnsi="Times New Roman" w:eastAsia="宋体" w:cs="Times New Roman"/>
                <w:color w:val="auto"/>
                <w:sz w:val="24"/>
                <w:szCs w:val="24"/>
                <w:highlight w:val="none"/>
                <w:lang w:val="en-US" w:eastAsia="zh-CN"/>
              </w:rPr>
              <w:t>特有物种</w:t>
            </w:r>
            <w:r>
              <w:rPr>
                <w:rFonts w:hint="eastAsia" w:ascii="Times New Roman" w:hAnsi="Times New Roman" w:eastAsia="宋体" w:cs="Times New Roman"/>
                <w:color w:val="auto"/>
                <w:sz w:val="24"/>
                <w:szCs w:val="24"/>
                <w:highlight w:val="none"/>
              </w:rPr>
              <w:t>主要栖息活动于评价区干扰较小的区域，项目占地区并不是主要栖息和活动地。因此，本项目建设仅少量侵占现有</w:t>
            </w:r>
            <w:r>
              <w:rPr>
                <w:rFonts w:hint="eastAsia" w:ascii="Times New Roman" w:hAnsi="Times New Roman" w:eastAsia="宋体" w:cs="Times New Roman"/>
                <w:color w:val="auto"/>
                <w:sz w:val="24"/>
                <w:szCs w:val="24"/>
                <w:highlight w:val="none"/>
                <w:lang w:val="en-US" w:eastAsia="zh-CN"/>
              </w:rPr>
              <w:t>占地区域农田</w:t>
            </w:r>
            <w:r>
              <w:rPr>
                <w:rFonts w:hint="eastAsia" w:ascii="Times New Roman" w:hAnsi="Times New Roman" w:eastAsia="宋体" w:cs="Times New Roman"/>
                <w:color w:val="auto"/>
                <w:sz w:val="24"/>
                <w:szCs w:val="24"/>
                <w:highlight w:val="none"/>
              </w:rPr>
              <w:t>等生境，施工</w:t>
            </w:r>
            <w:r>
              <w:rPr>
                <w:rFonts w:hint="eastAsia" w:ascii="Times New Roman" w:hAnsi="Times New Roman" w:eastAsia="宋体" w:cs="Times New Roman"/>
                <w:color w:val="auto"/>
                <w:sz w:val="24"/>
                <w:szCs w:val="24"/>
                <w:highlight w:val="none"/>
                <w:lang w:eastAsia="zh-CN"/>
              </w:rPr>
              <w:t>噪声</w:t>
            </w:r>
            <w:r>
              <w:rPr>
                <w:rFonts w:hint="eastAsia" w:ascii="Times New Roman" w:hAnsi="Times New Roman" w:eastAsia="宋体" w:cs="Times New Roman"/>
                <w:color w:val="auto"/>
                <w:sz w:val="24"/>
                <w:szCs w:val="24"/>
                <w:highlight w:val="none"/>
              </w:rPr>
              <w:t>加大了项目区沿线的干扰强度、进一步降低了</w:t>
            </w:r>
            <w:r>
              <w:rPr>
                <w:rFonts w:hint="eastAsia" w:ascii="Times New Roman" w:hAnsi="Times New Roman" w:eastAsia="宋体" w:cs="Times New Roman"/>
                <w:color w:val="auto"/>
                <w:sz w:val="24"/>
                <w:szCs w:val="24"/>
                <w:highlight w:val="none"/>
                <w:lang w:val="en-US" w:eastAsia="zh-CN"/>
              </w:rPr>
              <w:t>特有种</w:t>
            </w:r>
            <w:r>
              <w:rPr>
                <w:rFonts w:hint="eastAsia" w:ascii="Times New Roman" w:hAnsi="Times New Roman" w:eastAsia="宋体" w:cs="Times New Roman"/>
                <w:color w:val="auto"/>
                <w:sz w:val="24"/>
                <w:szCs w:val="24"/>
                <w:highlight w:val="none"/>
              </w:rPr>
              <w:t>在功能周边活动的可能性，在控制好施工人员蓄意捕猎保护动物的潜在风险前提下，</w:t>
            </w:r>
            <w:r>
              <w:rPr>
                <w:rFonts w:ascii="Times New Roman" w:hAnsi="Times New Roman" w:eastAsia="宋体"/>
                <w:color w:val="auto"/>
                <w:sz w:val="24"/>
                <w:szCs w:val="24"/>
                <w:highlight w:val="none"/>
              </w:rPr>
              <w:t>并向作业施工人员宣传野生动物保护相关知识，工程建设不会导致评价区内动物多样性的明显减少，局部的不利影响可以得到有效的减轻、减免或消除。</w:t>
            </w:r>
          </w:p>
          <w:p w14:paraId="7E2047EE">
            <w:pPr>
              <w:spacing w:line="360" w:lineRule="auto"/>
              <w:ind w:firstLine="482" w:firstLineChars="200"/>
              <w:textAlignment w:val="baseline"/>
              <w:rPr>
                <w:b/>
                <w:color w:val="auto"/>
                <w:sz w:val="24"/>
              </w:rPr>
            </w:pPr>
            <w:r>
              <w:rPr>
                <w:rFonts w:hint="eastAsia"/>
                <w:b/>
                <w:color w:val="auto"/>
                <w:sz w:val="24"/>
              </w:rPr>
              <w:t>（五）</w:t>
            </w:r>
            <w:r>
              <w:rPr>
                <w:b/>
                <w:color w:val="auto"/>
                <w:sz w:val="24"/>
              </w:rPr>
              <w:t>对生态系统的影响分析</w:t>
            </w:r>
          </w:p>
          <w:p w14:paraId="29CEC9CD">
            <w:pPr>
              <w:spacing w:line="360" w:lineRule="auto"/>
              <w:ind w:firstLine="480" w:firstLineChars="200"/>
              <w:textAlignment w:val="baseline"/>
              <w:rPr>
                <w:bCs/>
                <w:color w:val="auto"/>
                <w:sz w:val="24"/>
              </w:rPr>
            </w:pPr>
            <w:r>
              <w:rPr>
                <w:color w:val="auto"/>
                <w:kern w:val="0"/>
                <w:sz w:val="24"/>
                <w:lang w:bidi="ar"/>
              </w:rPr>
              <w:t>根据项目工程占地</w:t>
            </w:r>
            <w:r>
              <w:rPr>
                <w:color w:val="auto"/>
                <w:kern w:val="0"/>
                <w:sz w:val="24"/>
                <w:highlight w:val="none"/>
                <w:lang w:bidi="ar"/>
              </w:rPr>
              <w:t>情况，对项目建设前后评价区各类生态系统面积变化进行统计</w:t>
            </w:r>
            <w:r>
              <w:rPr>
                <w:rFonts w:hint="eastAsia"/>
                <w:color w:val="auto"/>
                <w:kern w:val="0"/>
                <w:sz w:val="24"/>
                <w:highlight w:val="none"/>
                <w:lang w:bidi="ar"/>
              </w:rPr>
              <w:t>，</w:t>
            </w:r>
            <w:r>
              <w:rPr>
                <w:color w:val="auto"/>
                <w:kern w:val="0"/>
                <w:sz w:val="24"/>
                <w:highlight w:val="none"/>
                <w:lang w:bidi="ar"/>
              </w:rPr>
              <w:t>受施工影响面积变化较大的农田生态系统，减少比例为</w:t>
            </w:r>
            <w:r>
              <w:rPr>
                <w:rFonts w:hint="eastAsia"/>
                <w:color w:val="auto"/>
                <w:kern w:val="0"/>
                <w:sz w:val="24"/>
                <w:highlight w:val="none"/>
                <w:lang w:val="en-US" w:eastAsia="zh-CN" w:bidi="ar"/>
              </w:rPr>
              <w:t>2.79</w:t>
            </w:r>
            <w:r>
              <w:rPr>
                <w:color w:val="auto"/>
                <w:kern w:val="0"/>
                <w:sz w:val="24"/>
                <w:highlight w:val="none"/>
                <w:lang w:bidi="ar"/>
              </w:rPr>
              <w:t>%、占</w:t>
            </w:r>
            <w:r>
              <w:rPr>
                <w:rFonts w:hint="eastAsia"/>
                <w:color w:val="auto"/>
                <w:kern w:val="0"/>
                <w:sz w:val="24"/>
                <w:highlight w:val="none"/>
                <w:lang w:bidi="ar"/>
              </w:rPr>
              <w:t>评价</w:t>
            </w:r>
            <w:r>
              <w:rPr>
                <w:color w:val="auto"/>
                <w:kern w:val="0"/>
                <w:sz w:val="24"/>
                <w:highlight w:val="none"/>
                <w:lang w:bidi="ar"/>
              </w:rPr>
              <w:t>区总面积的</w:t>
            </w:r>
            <w:r>
              <w:rPr>
                <w:rFonts w:hint="eastAsia"/>
                <w:color w:val="auto"/>
                <w:kern w:val="0"/>
                <w:sz w:val="24"/>
                <w:highlight w:val="none"/>
                <w:lang w:val="en-US" w:eastAsia="zh-CN" w:bidi="ar"/>
              </w:rPr>
              <w:t>0.34</w:t>
            </w:r>
            <w:r>
              <w:rPr>
                <w:color w:val="auto"/>
                <w:kern w:val="0"/>
                <w:sz w:val="24"/>
                <w:highlight w:val="none"/>
                <w:lang w:bidi="ar"/>
              </w:rPr>
              <w:t>%，比例较小；</w:t>
            </w:r>
            <w:r>
              <w:rPr>
                <w:color w:val="auto"/>
                <w:kern w:val="0"/>
                <w:sz w:val="24"/>
                <w:lang w:bidi="ar"/>
              </w:rPr>
              <w:t>本项目</w:t>
            </w:r>
            <w:r>
              <w:rPr>
                <w:rFonts w:hint="eastAsia"/>
                <w:color w:val="auto"/>
                <w:kern w:val="0"/>
                <w:sz w:val="24"/>
                <w:lang w:eastAsia="zh-CN" w:bidi="ar"/>
              </w:rPr>
              <w:t>施工区域内</w:t>
            </w:r>
            <w:r>
              <w:rPr>
                <w:color w:val="auto"/>
                <w:kern w:val="0"/>
                <w:sz w:val="24"/>
                <w:lang w:bidi="ar"/>
              </w:rPr>
              <w:t>仍有部分矮小植被和栽培植被存在，而工程施工会对这些植被造成破坏，这种破坏是不可逆的，故在施工结束后应严格执行植被恢复措施，对其进行恢复。</w:t>
            </w:r>
            <w:r>
              <w:rPr>
                <w:bCs/>
                <w:color w:val="auto"/>
                <w:sz w:val="24"/>
              </w:rPr>
              <w:t>项目建设占用的生态系统是评价区内常见的生态系统类型。工程的建设不会导致</w:t>
            </w:r>
            <w:r>
              <w:rPr>
                <w:rFonts w:hint="eastAsia"/>
                <w:bCs/>
                <w:color w:val="auto"/>
                <w:sz w:val="24"/>
              </w:rPr>
              <w:t>评价区</w:t>
            </w:r>
            <w:r>
              <w:rPr>
                <w:bCs/>
                <w:color w:val="auto"/>
                <w:sz w:val="24"/>
              </w:rPr>
              <w:t>生态系统的减少和衰退，不会影响生态系统完整性。各种施工活动产生的不利因素会使得生态系统中的植物物种和部分移动缓慢的动物物种（如两栖类）遭受死亡威胁而损失；同时也会使得生态系统中的动物如食肉类、蛇类、鸟类、兔类和鼠类等移动较快的动物暂时离开原栖息地以躲避不利影响。这会使得评价区生态系统局部区域出现物种丰富度和多样性降低的现象，但这种情况并不是评价区物种的消亡引起的，而是由于物种的暂时躲避而造成的。</w:t>
            </w:r>
            <w:r>
              <w:rPr>
                <w:color w:val="auto"/>
                <w:kern w:val="0"/>
                <w:sz w:val="24"/>
                <w:lang w:bidi="ar"/>
              </w:rPr>
              <w:t>总体而言工程建设对生态系统的影响较小。</w:t>
            </w:r>
          </w:p>
          <w:p w14:paraId="20796218">
            <w:pPr>
              <w:spacing w:line="360" w:lineRule="auto"/>
              <w:ind w:firstLine="482" w:firstLineChars="200"/>
              <w:textAlignment w:val="baseline"/>
              <w:rPr>
                <w:color w:val="auto"/>
                <w:sz w:val="24"/>
              </w:rPr>
            </w:pPr>
            <w:r>
              <w:rPr>
                <w:rFonts w:hint="eastAsia"/>
                <w:b/>
                <w:color w:val="auto"/>
                <w:sz w:val="24"/>
              </w:rPr>
              <w:t>（六）</w:t>
            </w:r>
            <w:r>
              <w:rPr>
                <w:b/>
                <w:color w:val="auto"/>
                <w:sz w:val="24"/>
              </w:rPr>
              <w:t>对景观生态影响</w:t>
            </w:r>
          </w:p>
          <w:p w14:paraId="0DC170FD">
            <w:pPr>
              <w:widowControl/>
              <w:spacing w:line="360" w:lineRule="auto"/>
              <w:ind w:firstLine="480" w:firstLineChars="200"/>
              <w:rPr>
                <w:color w:val="auto"/>
                <w:kern w:val="0"/>
                <w:sz w:val="24"/>
                <w:lang w:bidi="ar"/>
              </w:rPr>
            </w:pPr>
            <w:r>
              <w:rPr>
                <w:color w:val="auto"/>
                <w:kern w:val="0"/>
                <w:sz w:val="24"/>
                <w:lang w:bidi="ar"/>
              </w:rPr>
              <w:t>本工程的建设对区域自然景观体系中模地组分的异质化程度影响很小，不会造成栖息地的隔离和破碎化，对动植物的迁移和生态系统的连通性也不会造成影响，工程所在区域的自然体系是可以承受的。</w:t>
            </w:r>
          </w:p>
          <w:p w14:paraId="772542A8">
            <w:pPr>
              <w:widowControl/>
              <w:adjustRightInd w:val="0"/>
              <w:snapToGrid w:val="0"/>
              <w:spacing w:line="360" w:lineRule="auto"/>
              <w:ind w:firstLine="480" w:firstLineChars="200"/>
              <w:rPr>
                <w:color w:val="auto"/>
                <w:kern w:val="0"/>
                <w:sz w:val="24"/>
                <w:lang w:bidi="ar"/>
              </w:rPr>
            </w:pPr>
            <w:r>
              <w:rPr>
                <w:color w:val="auto"/>
                <w:kern w:val="0"/>
                <w:sz w:val="24"/>
                <w:lang w:bidi="ar"/>
              </w:rPr>
              <w:t>项目建成后，与区域良好的植被景观形成反差，造成景观协调性影响。</w:t>
            </w:r>
            <w:r>
              <w:rPr>
                <w:rFonts w:hint="eastAsia"/>
                <w:color w:val="auto"/>
                <w:kern w:val="0"/>
                <w:sz w:val="24"/>
                <w:lang w:bidi="ar"/>
              </w:rPr>
              <w:t>但</w:t>
            </w:r>
            <w:r>
              <w:rPr>
                <w:color w:val="auto"/>
                <w:kern w:val="0"/>
                <w:sz w:val="24"/>
                <w:lang w:bidi="ar"/>
              </w:rPr>
              <w:t>本项目在绿化上，能合理配置植物种类及其不同需要的生态位植物类型，并在 空间上加以优化，弥补景观不协调形成的反差，因此，项目建设</w:t>
            </w:r>
            <w:r>
              <w:rPr>
                <w:rFonts w:hint="eastAsia"/>
                <w:color w:val="auto"/>
                <w:kern w:val="0"/>
                <w:sz w:val="24"/>
                <w:lang w:bidi="ar"/>
              </w:rPr>
              <w:t>运营</w:t>
            </w:r>
            <w:r>
              <w:rPr>
                <w:color w:val="auto"/>
                <w:kern w:val="0"/>
                <w:sz w:val="24"/>
                <w:lang w:bidi="ar"/>
              </w:rPr>
              <w:t>对景观协调性的影响</w:t>
            </w:r>
            <w:r>
              <w:rPr>
                <w:rFonts w:hint="eastAsia"/>
                <w:color w:val="auto"/>
                <w:kern w:val="0"/>
                <w:sz w:val="24"/>
                <w:lang w:bidi="ar"/>
              </w:rPr>
              <w:t>较</w:t>
            </w:r>
            <w:r>
              <w:rPr>
                <w:color w:val="auto"/>
                <w:kern w:val="0"/>
                <w:sz w:val="24"/>
                <w:lang w:bidi="ar"/>
              </w:rPr>
              <w:t>小。</w:t>
            </w:r>
          </w:p>
          <w:p w14:paraId="1A56B2EC">
            <w:pPr>
              <w:widowControl/>
              <w:spacing w:line="360" w:lineRule="auto"/>
              <w:ind w:firstLine="480" w:firstLineChars="200"/>
              <w:rPr>
                <w:color w:val="auto"/>
                <w:kern w:val="0"/>
                <w:sz w:val="24"/>
                <w:lang w:bidi="ar"/>
              </w:rPr>
            </w:pPr>
            <w:r>
              <w:rPr>
                <w:color w:val="auto"/>
                <w:kern w:val="0"/>
                <w:sz w:val="24"/>
                <w:lang w:bidi="ar"/>
              </w:rPr>
              <w:t>项目建成后会进行植被恢复，区域只是增加了小面积的工程建筑物和道路，使这类用地斑块优势度有所增加，自然景观资源质量等级会有所变化，但不会较现状值下降一个等级，因此，项目建设</w:t>
            </w:r>
            <w:r>
              <w:rPr>
                <w:rFonts w:hint="eastAsia"/>
                <w:color w:val="auto"/>
                <w:kern w:val="0"/>
                <w:sz w:val="24"/>
                <w:lang w:bidi="ar"/>
              </w:rPr>
              <w:t>运营</w:t>
            </w:r>
            <w:r>
              <w:rPr>
                <w:color w:val="auto"/>
                <w:kern w:val="0"/>
                <w:sz w:val="24"/>
                <w:lang w:bidi="ar"/>
              </w:rPr>
              <w:t>对评价区风景资源质量影响为小。</w:t>
            </w:r>
          </w:p>
          <w:p w14:paraId="02B2CAF3">
            <w:pPr>
              <w:spacing w:line="360" w:lineRule="auto"/>
              <w:ind w:firstLine="482" w:firstLineChars="200"/>
              <w:textAlignment w:val="baseline"/>
              <w:rPr>
                <w:rFonts w:ascii="Times New Roman" w:hAnsi="Times New Roman" w:eastAsia="宋体" w:cs="Times New Roman"/>
                <w:snapToGrid w:val="0"/>
                <w:color w:val="auto"/>
                <w:kern w:val="0"/>
                <w:sz w:val="24"/>
                <w:szCs w:val="24"/>
              </w:rPr>
            </w:pPr>
            <w:r>
              <w:rPr>
                <w:rFonts w:hint="eastAsia"/>
                <w:b/>
                <w:color w:val="auto"/>
                <w:sz w:val="24"/>
              </w:rPr>
              <w:t>（</w:t>
            </w:r>
            <w:r>
              <w:rPr>
                <w:rFonts w:hint="eastAsia"/>
                <w:b/>
                <w:color w:val="auto"/>
                <w:sz w:val="24"/>
                <w:lang w:eastAsia="zh-CN"/>
              </w:rPr>
              <w:t>七</w:t>
            </w:r>
            <w:r>
              <w:rPr>
                <w:rFonts w:hint="eastAsia"/>
                <w:b/>
                <w:color w:val="auto"/>
                <w:sz w:val="24"/>
              </w:rPr>
              <w:t>）</w:t>
            </w:r>
            <w:r>
              <w:rPr>
                <w:b/>
                <w:color w:val="auto"/>
                <w:sz w:val="24"/>
              </w:rPr>
              <w:t>水土流失影响</w:t>
            </w:r>
          </w:p>
          <w:p w14:paraId="23133A62">
            <w:pPr>
              <w:spacing w:line="360" w:lineRule="auto"/>
              <w:ind w:firstLine="480" w:firstLineChars="200"/>
              <w:textAlignment w:val="baseline"/>
              <w:rPr>
                <w:rFonts w:hint="eastAsia" w:ascii="Times New Roman" w:hAnsi="Times New Roman" w:eastAsia="宋体" w:cs="Times New Roman"/>
                <w:snapToGrid w:val="0"/>
                <w:color w:val="auto"/>
                <w:kern w:val="0"/>
                <w:sz w:val="24"/>
                <w:szCs w:val="24"/>
              </w:rPr>
            </w:pPr>
            <w:r>
              <w:rPr>
                <w:rFonts w:hint="eastAsia" w:ascii="Times New Roman" w:hAnsi="Times New Roman" w:eastAsia="宋体" w:cs="Times New Roman"/>
                <w:snapToGrid w:val="0"/>
                <w:color w:val="auto"/>
                <w:kern w:val="0"/>
                <w:sz w:val="24"/>
                <w:szCs w:val="24"/>
              </w:rPr>
              <w:t>施工期工程建设对水土流失的影响主要发生在工程施工期的各种施工活动的开挖、回填、占压等活动，由于降水是水力侵蚀最主导的影响因素，注意避开雨季施工或加强雨季防护是有效的水土保持手段。自然恢复期也产生较多水土流失，应采取人工手段促进植被恢复，应做好自然恢复期水土流失控制。</w:t>
            </w:r>
          </w:p>
          <w:p w14:paraId="2B52FA6C">
            <w:pPr>
              <w:spacing w:line="360" w:lineRule="auto"/>
              <w:ind w:firstLine="480" w:firstLineChars="200"/>
              <w:textAlignment w:val="baseline"/>
              <w:rPr>
                <w:rFonts w:hint="eastAsia" w:ascii="Times New Roman" w:hAnsi="Times New Roman" w:eastAsia="宋体" w:cs="Times New Roman"/>
                <w:snapToGrid w:val="0"/>
                <w:color w:val="auto"/>
                <w:kern w:val="0"/>
                <w:sz w:val="24"/>
                <w:szCs w:val="24"/>
              </w:rPr>
            </w:pPr>
            <w:r>
              <w:rPr>
                <w:rFonts w:hint="eastAsia" w:ascii="Times New Roman" w:hAnsi="Times New Roman" w:eastAsia="宋体" w:cs="Times New Roman"/>
                <w:snapToGrid w:val="0"/>
                <w:color w:val="auto"/>
                <w:kern w:val="0"/>
                <w:sz w:val="24"/>
                <w:szCs w:val="24"/>
              </w:rPr>
              <w:t>根据《中华人民共和国水土保持法》，为使本项目建设过程中新增水土流失得到有效控制，保护生态环境，在项目建设的同时必须采取相应的水土保持工程措施、植物措施和临时措施，防治水土流失，主要包括：</w:t>
            </w:r>
          </w:p>
          <w:p w14:paraId="68F2AEDB">
            <w:pPr>
              <w:spacing w:line="360" w:lineRule="auto"/>
              <w:ind w:firstLine="480" w:firstLineChars="200"/>
              <w:textAlignment w:val="baseline"/>
              <w:rPr>
                <w:rFonts w:ascii="Times New Roman" w:hAnsi="Times New Roman" w:eastAsia="宋体" w:cs="Times New Roman"/>
                <w:snapToGrid w:val="0"/>
                <w:color w:val="auto"/>
                <w:kern w:val="0"/>
                <w:sz w:val="24"/>
                <w:szCs w:val="24"/>
              </w:rPr>
            </w:pPr>
            <w:r>
              <w:rPr>
                <w:rFonts w:hint="eastAsia" w:ascii="Times New Roman" w:hAnsi="Times New Roman" w:eastAsia="宋体" w:cs="Times New Roman"/>
                <w:snapToGrid w:val="0"/>
                <w:color w:val="auto"/>
                <w:kern w:val="0"/>
                <w:sz w:val="24"/>
                <w:szCs w:val="24"/>
              </w:rPr>
              <w:t>水土保持的重点是做好硬化区的防护工作，同时对施工区各开挖面做好相应的防护措施，并在整个过程按分区设置监测点方法实施水土保持监测，观测水土流失情况和各种水保措施的实施效果。硬化区应作为潜在水土流失较大的场所应按设计进一步完善水土保持措施，加强施工期水土保持管护。在具备绿化条件时及时实施景观绿化措施，减少地表裸露时间，尽量减少土壤流失。建设单位需定期对排水沟进行清淤，保证排水畅通，绿化植物加强后期管护。</w:t>
            </w:r>
          </w:p>
          <w:p w14:paraId="0A2E0B07">
            <w:pPr>
              <w:spacing w:line="360" w:lineRule="auto"/>
              <w:ind w:firstLine="480" w:firstLineChars="200"/>
              <w:textAlignment w:val="baseline"/>
              <w:rPr>
                <w:color w:val="auto"/>
                <w:sz w:val="24"/>
              </w:rPr>
            </w:pPr>
            <w:r>
              <w:rPr>
                <w:rFonts w:ascii="Times New Roman" w:hAnsi="Times New Roman" w:eastAsia="宋体" w:cs="Times New Roman"/>
                <w:snapToGrid w:val="0"/>
                <w:color w:val="auto"/>
                <w:kern w:val="0"/>
                <w:sz w:val="24"/>
                <w:szCs w:val="24"/>
              </w:rPr>
              <w:t>在采取相应措施后，评价区的水土流失影响则会明显减弱。</w:t>
            </w:r>
          </w:p>
          <w:p w14:paraId="0D389FCF">
            <w:pPr>
              <w:spacing w:line="360" w:lineRule="auto"/>
              <w:ind w:firstLine="482" w:firstLineChars="200"/>
              <w:textAlignment w:val="baseline"/>
              <w:rPr>
                <w:b/>
                <w:color w:val="auto"/>
                <w:sz w:val="24"/>
              </w:rPr>
            </w:pPr>
            <w:r>
              <w:rPr>
                <w:rFonts w:hint="eastAsia"/>
                <w:b/>
                <w:color w:val="auto"/>
                <w:sz w:val="24"/>
              </w:rPr>
              <w:t>（</w:t>
            </w:r>
            <w:r>
              <w:rPr>
                <w:rFonts w:hint="eastAsia"/>
                <w:b/>
                <w:color w:val="auto"/>
                <w:sz w:val="24"/>
                <w:lang w:eastAsia="zh-CN"/>
              </w:rPr>
              <w:t>八</w:t>
            </w:r>
            <w:r>
              <w:rPr>
                <w:rFonts w:hint="eastAsia"/>
                <w:b/>
                <w:color w:val="auto"/>
                <w:sz w:val="24"/>
              </w:rPr>
              <w:t>）对</w:t>
            </w:r>
            <w:r>
              <w:rPr>
                <w:b/>
                <w:bCs/>
                <w:color w:val="auto"/>
                <w:sz w:val="24"/>
              </w:rPr>
              <w:t>光雾山-诺水河世界地质公园</w:t>
            </w:r>
            <w:r>
              <w:rPr>
                <w:rFonts w:hint="eastAsia"/>
                <w:b/>
                <w:bCs/>
                <w:color w:val="auto"/>
                <w:sz w:val="24"/>
              </w:rPr>
              <w:t>影响</w:t>
            </w:r>
            <w:r>
              <w:rPr>
                <w:rFonts w:hint="eastAsia"/>
                <w:b/>
                <w:color w:val="auto"/>
                <w:sz w:val="24"/>
              </w:rPr>
              <w:t>分析</w:t>
            </w:r>
          </w:p>
          <w:p w14:paraId="6AAAA0E1">
            <w:pPr>
              <w:spacing w:line="360" w:lineRule="auto"/>
              <w:ind w:firstLine="480" w:firstLineChars="200"/>
              <w:textAlignment w:val="baseline"/>
              <w:rPr>
                <w:bCs/>
                <w:color w:val="auto"/>
                <w:sz w:val="24"/>
              </w:rPr>
            </w:pPr>
            <w:r>
              <w:rPr>
                <w:bCs/>
                <w:color w:val="auto"/>
                <w:sz w:val="24"/>
              </w:rPr>
              <w:t>项目位于四川光雾山-诺水河世界地质公园范围内，但不涉及四川光雾山-诺水河世界地质公园特级、一级、二级、三级保护区，不涉及地质遗迹景观</w:t>
            </w:r>
            <w:r>
              <w:rPr>
                <w:rFonts w:hint="eastAsia"/>
                <w:bCs/>
                <w:color w:val="auto"/>
                <w:sz w:val="24"/>
                <w:lang w:eastAsia="zh-CN"/>
              </w:rPr>
              <w:t>，</w:t>
            </w:r>
            <w:r>
              <w:rPr>
                <w:rFonts w:ascii="Times New Roman" w:hAnsi="Times New Roman" w:eastAsia="宋体" w:cs="Times New Roman"/>
                <w:bCs/>
                <w:color w:val="auto"/>
                <w:sz w:val="24"/>
              </w:rPr>
              <w:t>项目位于四川光雾山-诺水河世界地质公园的</w:t>
            </w:r>
            <w:r>
              <w:rPr>
                <w:rFonts w:hint="eastAsia" w:ascii="Times New Roman" w:hAnsi="Times New Roman" w:eastAsia="宋体" w:cs="Times New Roman"/>
                <w:bCs/>
                <w:color w:val="auto"/>
                <w:sz w:val="24"/>
                <w:lang w:eastAsia="zh-CN"/>
              </w:rPr>
              <w:t>综合服务区</w:t>
            </w:r>
            <w:r>
              <w:rPr>
                <w:rFonts w:ascii="Times New Roman" w:hAnsi="Times New Roman" w:eastAsia="宋体" w:cs="Times New Roman"/>
                <w:bCs/>
                <w:color w:val="auto"/>
                <w:sz w:val="24"/>
              </w:rPr>
              <w:t>内</w:t>
            </w:r>
            <w:r>
              <w:rPr>
                <w:bCs/>
                <w:color w:val="auto"/>
                <w:sz w:val="24"/>
              </w:rPr>
              <w:t>。</w:t>
            </w:r>
          </w:p>
          <w:p w14:paraId="196C4D3A">
            <w:pPr>
              <w:spacing w:line="360" w:lineRule="auto"/>
              <w:ind w:firstLine="480" w:firstLineChars="200"/>
              <w:textAlignment w:val="baseline"/>
              <w:rPr>
                <w:rFonts w:hint="eastAsia" w:eastAsia="宋体"/>
                <w:bCs/>
                <w:color w:val="auto"/>
                <w:sz w:val="24"/>
                <w:lang w:val="en-US" w:eastAsia="zh-CN"/>
              </w:rPr>
            </w:pPr>
            <w:r>
              <w:rPr>
                <w:rFonts w:hint="eastAsia"/>
                <w:bCs/>
                <w:color w:val="auto"/>
                <w:sz w:val="24"/>
                <w:lang w:val="en-US" w:eastAsia="zh-CN"/>
              </w:rPr>
              <w:t>项目施工废气采取洒水降尘、施工围挡、控制车速、运输车辆密闭、进出车辆冲洗等措施，施工生产废水经临时隔油沉淀后回用，生活污水经预处理池处理后排入市政管网，经关坝镇污水处理厂处置，施工固体废物均收集后综合处置，施工期间严格落实各项污染防治措施，不会对周边环境造成明显影响，符合生态环境保护措施要求。不会对</w:t>
            </w:r>
            <w:r>
              <w:rPr>
                <w:bCs/>
                <w:color w:val="auto"/>
                <w:sz w:val="24"/>
              </w:rPr>
              <w:t>四川光雾山-诺水河世界地质公园</w:t>
            </w:r>
            <w:r>
              <w:rPr>
                <w:rFonts w:hint="eastAsia"/>
                <w:bCs/>
                <w:color w:val="auto"/>
                <w:sz w:val="24"/>
                <w:lang w:eastAsia="zh-CN"/>
              </w:rPr>
              <w:t>造成明显影响。</w:t>
            </w:r>
          </w:p>
          <w:p w14:paraId="666CB6FA">
            <w:pPr>
              <w:spacing w:line="360" w:lineRule="auto"/>
              <w:ind w:firstLine="482" w:firstLineChars="200"/>
              <w:textAlignment w:val="baseline"/>
              <w:rPr>
                <w:b/>
                <w:color w:val="auto"/>
                <w:sz w:val="24"/>
              </w:rPr>
            </w:pPr>
            <w:r>
              <w:rPr>
                <w:b/>
                <w:color w:val="auto"/>
                <w:sz w:val="24"/>
              </w:rPr>
              <w:t>二、大气环境影响分析</w:t>
            </w:r>
          </w:p>
          <w:p w14:paraId="0C931148">
            <w:pPr>
              <w:spacing w:line="360" w:lineRule="auto"/>
              <w:ind w:firstLine="482" w:firstLineChars="200"/>
              <w:textAlignment w:val="baseline"/>
              <w:rPr>
                <w:b/>
                <w:color w:val="auto"/>
                <w:sz w:val="24"/>
              </w:rPr>
            </w:pPr>
            <w:r>
              <w:rPr>
                <w:b/>
                <w:color w:val="auto"/>
                <w:sz w:val="24"/>
              </w:rPr>
              <w:t>1、扬尘</w:t>
            </w:r>
          </w:p>
          <w:p w14:paraId="591DB94B">
            <w:pPr>
              <w:adjustRightInd w:val="0"/>
              <w:snapToGrid w:val="0"/>
              <w:spacing w:line="360" w:lineRule="auto"/>
              <w:ind w:firstLine="480" w:firstLineChars="200"/>
              <w:rPr>
                <w:snapToGrid w:val="0"/>
                <w:color w:val="auto"/>
                <w:sz w:val="24"/>
              </w:rPr>
            </w:pPr>
            <w:r>
              <w:rPr>
                <w:snapToGrid w:val="0"/>
                <w:color w:val="auto"/>
                <w:sz w:val="24"/>
              </w:rPr>
              <w:t>施工期的扬尘会对周围环境空气质量有一定影响，主要是主体工程施工中由于挖方、回填、搬运泥土、表土堆积，以及建筑材料的装卸、运输、堆放过程中有大量尘埃逸散到周围空气中。</w:t>
            </w:r>
          </w:p>
          <w:p w14:paraId="439DA8B8">
            <w:pPr>
              <w:adjustRightInd w:val="0"/>
              <w:snapToGrid w:val="0"/>
              <w:spacing w:line="360" w:lineRule="auto"/>
              <w:ind w:firstLine="480" w:firstLineChars="200"/>
              <w:rPr>
                <w:snapToGrid w:val="0"/>
                <w:color w:val="auto"/>
                <w:sz w:val="24"/>
              </w:rPr>
            </w:pPr>
            <w:r>
              <w:rPr>
                <w:snapToGrid w:val="0"/>
                <w:color w:val="auto"/>
                <w:sz w:val="24"/>
              </w:rPr>
              <w:t>影响施工扬尘产生量的因素主要有：</w:t>
            </w:r>
            <w:r>
              <w:rPr>
                <w:rFonts w:hint="eastAsia"/>
                <w:snapToGrid w:val="0"/>
                <w:color w:val="auto"/>
                <w:sz w:val="24"/>
              </w:rPr>
              <w:t>①</w:t>
            </w:r>
            <w:r>
              <w:rPr>
                <w:snapToGrid w:val="0"/>
                <w:color w:val="auto"/>
                <w:sz w:val="24"/>
              </w:rPr>
              <w:t>土壤含水量：含水量高的材料不易产生扬尘。</w:t>
            </w:r>
            <w:r>
              <w:rPr>
                <w:rFonts w:hint="eastAsia"/>
                <w:snapToGrid w:val="0"/>
                <w:color w:val="auto"/>
                <w:sz w:val="24"/>
              </w:rPr>
              <w:t>②</w:t>
            </w:r>
            <w:r>
              <w:rPr>
                <w:snapToGrid w:val="0"/>
                <w:color w:val="auto"/>
                <w:sz w:val="24"/>
              </w:rPr>
              <w:t>土壤粒径大小：颗粒粒径越大，越不容易飞扬。土壤颗粒物的粒径分布大致为：&gt;0.1mm的占76%，粒径在0.05~0.10mm的占15%，粒径在0.03~0.05mm的占5%，粒径&lt;0.03mm的占4%。在没有风力的作用下，粒径小于0.015mm的颗粒物能够飞扬，当风速为3~5m/s时，粒径为0.015~0.030mm的颗粒物会被风吹扬。</w:t>
            </w:r>
            <w:r>
              <w:rPr>
                <w:rFonts w:hint="eastAsia"/>
                <w:snapToGrid w:val="0"/>
                <w:color w:val="auto"/>
                <w:sz w:val="24"/>
              </w:rPr>
              <w:t>③</w:t>
            </w:r>
            <w:r>
              <w:rPr>
                <w:snapToGrid w:val="0"/>
                <w:color w:val="auto"/>
                <w:sz w:val="24"/>
              </w:rPr>
              <w:t>气候条件：风越大、湿度越小，越易产生扬尘，当风速大于3m/s，就会有风扬尘产生。</w:t>
            </w:r>
            <w:r>
              <w:rPr>
                <w:rFonts w:hint="eastAsia"/>
                <w:snapToGrid w:val="0"/>
                <w:color w:val="auto"/>
                <w:sz w:val="24"/>
              </w:rPr>
              <w:t>④</w:t>
            </w:r>
            <w:r>
              <w:rPr>
                <w:snapToGrid w:val="0"/>
                <w:color w:val="auto"/>
                <w:sz w:val="24"/>
              </w:rPr>
              <w:t>运输车辆和施工机械行驶速度：行驶速度越快，扬尘产生量越大。</w:t>
            </w:r>
          </w:p>
          <w:p w14:paraId="609AB7EF">
            <w:pPr>
              <w:adjustRightInd w:val="0"/>
              <w:snapToGrid w:val="0"/>
              <w:spacing w:line="360" w:lineRule="auto"/>
              <w:ind w:firstLine="480" w:firstLineChars="200"/>
              <w:rPr>
                <w:snapToGrid w:val="0"/>
                <w:color w:val="auto"/>
                <w:sz w:val="24"/>
              </w:rPr>
            </w:pPr>
            <w:r>
              <w:rPr>
                <w:snapToGrid w:val="0"/>
                <w:color w:val="auto"/>
                <w:sz w:val="24"/>
              </w:rPr>
              <w:t>一般情况下，施工场地在自然风作用下产生的扬尘所影响的范围在100m以内。如果在施工期间对施工场地实施洒水抑尘，每天洒水4～5次，可使扬尘减少70%左右。因此，抑制施工扬尘最有效的措施就是对施工场地定时洒水和进行清扫。</w:t>
            </w:r>
          </w:p>
          <w:p w14:paraId="477031A6">
            <w:pPr>
              <w:adjustRightInd w:val="0"/>
              <w:snapToGrid w:val="0"/>
              <w:spacing w:line="360" w:lineRule="auto"/>
              <w:ind w:firstLine="482" w:firstLineChars="200"/>
              <w:rPr>
                <w:b/>
                <w:bCs/>
                <w:snapToGrid w:val="0"/>
                <w:color w:val="auto"/>
                <w:sz w:val="24"/>
              </w:rPr>
            </w:pPr>
            <w:r>
              <w:rPr>
                <w:rFonts w:hint="eastAsia"/>
                <w:b/>
                <w:bCs/>
                <w:snapToGrid w:val="0"/>
                <w:color w:val="auto"/>
                <w:sz w:val="24"/>
              </w:rPr>
              <w:t>（1）土石方开挖回填扬尘</w:t>
            </w:r>
          </w:p>
          <w:p w14:paraId="5BA12815">
            <w:pPr>
              <w:adjustRightInd w:val="0"/>
              <w:snapToGrid w:val="0"/>
              <w:spacing w:line="360" w:lineRule="auto"/>
              <w:ind w:firstLine="480" w:firstLineChars="200"/>
              <w:rPr>
                <w:snapToGrid w:val="0"/>
                <w:color w:val="auto"/>
                <w:sz w:val="24"/>
              </w:rPr>
            </w:pPr>
            <w:r>
              <w:rPr>
                <w:rFonts w:hint="eastAsia"/>
                <w:snapToGrid w:val="0"/>
                <w:color w:val="auto"/>
                <w:sz w:val="24"/>
              </w:rPr>
              <w:t>土方的开挖和回填作业产生的TSP污染严重程度与气候条件有关，大风时对下风向的污染影响较大，一般在距施工现场100～150m范围以外TSP浓度可符合有关标准的规定和要求。而本项目在开挖过程中土石方开挖以机械开挖方式，由于开挖土石方粒径较大，土石方开挖过程中扬尘产生量较小。根据水利工程施工现场类比分析，扬尘粒径大部分大于10</w:t>
            </w:r>
            <w:r>
              <w:rPr>
                <w:snapToGrid w:val="0"/>
                <w:color w:val="auto"/>
                <w:sz w:val="24"/>
              </w:rPr>
              <w:t>μm</w:t>
            </w:r>
            <w:r>
              <w:rPr>
                <w:rFonts w:hint="eastAsia"/>
                <w:snapToGrid w:val="0"/>
                <w:color w:val="auto"/>
                <w:sz w:val="24"/>
              </w:rPr>
              <w:t>，在重力作用下短时间内可沉降到地面，影响范围有限，一般污染范围为半径50～100m以内，对下风向影响距离稍远一些。施工期间会造成施工区内局部范围空气中TSP浓度在部分时段超过二级标准要求，其影响对象主要是施工人员和临近施工区分布的办公区人员和居民。采取洒水降尘措施后可以有效控制扩散，对施工区周围的大气环境质量影响不大。</w:t>
            </w:r>
          </w:p>
          <w:p w14:paraId="304F3AD0">
            <w:pPr>
              <w:adjustRightInd w:val="0"/>
              <w:snapToGrid w:val="0"/>
              <w:spacing w:line="360" w:lineRule="auto"/>
              <w:ind w:firstLine="482" w:firstLineChars="200"/>
              <w:rPr>
                <w:b/>
                <w:bCs/>
                <w:snapToGrid w:val="0"/>
                <w:color w:val="auto"/>
                <w:sz w:val="24"/>
              </w:rPr>
            </w:pPr>
            <w:r>
              <w:rPr>
                <w:rFonts w:hint="eastAsia"/>
                <w:b/>
                <w:bCs/>
                <w:snapToGrid w:val="0"/>
                <w:color w:val="auto"/>
                <w:sz w:val="24"/>
              </w:rPr>
              <w:t>（2）临时堆土场和建材堆存区扬尘</w:t>
            </w:r>
          </w:p>
          <w:p w14:paraId="16BE092C">
            <w:pPr>
              <w:adjustRightInd w:val="0"/>
              <w:snapToGrid w:val="0"/>
              <w:spacing w:line="360" w:lineRule="auto"/>
              <w:ind w:firstLine="480" w:firstLineChars="200"/>
              <w:rPr>
                <w:snapToGrid w:val="0"/>
                <w:color w:val="auto"/>
                <w:sz w:val="24"/>
              </w:rPr>
            </w:pPr>
            <w:r>
              <w:rPr>
                <w:rFonts w:hint="eastAsia"/>
                <w:snapToGrid w:val="0"/>
                <w:color w:val="auto"/>
                <w:sz w:val="24"/>
              </w:rPr>
              <w:t>施工期间露天表土</w:t>
            </w:r>
            <w:r>
              <w:rPr>
                <w:rFonts w:hint="eastAsia"/>
                <w:snapToGrid w:val="0"/>
                <w:color w:val="auto"/>
                <w:sz w:val="24"/>
                <w:lang w:eastAsia="zh-CN"/>
              </w:rPr>
              <w:t>临时</w:t>
            </w:r>
            <w:r>
              <w:rPr>
                <w:rFonts w:hint="eastAsia"/>
                <w:snapToGrid w:val="0"/>
                <w:color w:val="auto"/>
                <w:sz w:val="24"/>
              </w:rPr>
              <w:t>堆场、一般土石方堆场和裸露场地的风力扬尘也是施工扬尘的一大来源。由于施工的需要，开挖土石方需临时露天堆放，在气候干燥又有风的情况下，会产生扬尘。因项目开挖土石方粒径较大、湿度高，起尘量小，不易起尘。</w:t>
            </w:r>
          </w:p>
          <w:p w14:paraId="0DEC99ED">
            <w:pPr>
              <w:adjustRightInd w:val="0"/>
              <w:snapToGrid w:val="0"/>
              <w:spacing w:line="360" w:lineRule="auto"/>
              <w:ind w:firstLine="482" w:firstLineChars="200"/>
              <w:rPr>
                <w:b/>
                <w:bCs/>
                <w:snapToGrid w:val="0"/>
                <w:color w:val="auto"/>
                <w:sz w:val="24"/>
              </w:rPr>
            </w:pPr>
            <w:r>
              <w:rPr>
                <w:rFonts w:hint="eastAsia"/>
                <w:b/>
                <w:bCs/>
                <w:snapToGrid w:val="0"/>
                <w:color w:val="auto"/>
                <w:sz w:val="24"/>
              </w:rPr>
              <w:t>（3）运输车辆扬尘</w:t>
            </w:r>
          </w:p>
          <w:p w14:paraId="368094F6">
            <w:pPr>
              <w:adjustRightInd w:val="0"/>
              <w:snapToGrid w:val="0"/>
              <w:spacing w:line="360" w:lineRule="auto"/>
              <w:ind w:firstLine="480" w:firstLineChars="200"/>
              <w:rPr>
                <w:snapToGrid w:val="0"/>
                <w:color w:val="auto"/>
                <w:sz w:val="24"/>
              </w:rPr>
            </w:pPr>
            <w:r>
              <w:rPr>
                <w:rFonts w:hint="eastAsia"/>
                <w:snapToGrid w:val="0"/>
                <w:color w:val="auto"/>
                <w:sz w:val="24"/>
              </w:rPr>
              <w:t>施工期汽车运输产生的扬尘对道路两侧一定范围会造成污染，扬尘量的大小与车流量、道路状况、气候条件、汽车行驶速度等均有关系。</w:t>
            </w:r>
          </w:p>
          <w:p w14:paraId="362ABBFD">
            <w:pPr>
              <w:spacing w:line="360" w:lineRule="auto"/>
              <w:ind w:firstLine="480" w:firstLineChars="200"/>
              <w:textAlignment w:val="baseline"/>
              <w:rPr>
                <w:color w:val="auto"/>
                <w:sz w:val="24"/>
              </w:rPr>
            </w:pPr>
            <w:r>
              <w:rPr>
                <w:rFonts w:hint="eastAsia"/>
                <w:snapToGrid w:val="0"/>
                <w:color w:val="auto"/>
                <w:sz w:val="24"/>
              </w:rPr>
              <w:t>一辆10吨卡车，通过一段长度为1km的路面时，不同路面清洁程度，不同行驶速度情况下产生的扬尘量见下表。</w:t>
            </w:r>
          </w:p>
          <w:p w14:paraId="6AE2AE36">
            <w:pPr>
              <w:jc w:val="center"/>
              <w:textAlignment w:val="baseline"/>
              <w:rPr>
                <w:b/>
                <w:color w:val="auto"/>
              </w:rPr>
            </w:pPr>
            <w:r>
              <w:rPr>
                <w:b/>
                <w:color w:val="auto"/>
              </w:rPr>
              <w:t>表4-</w:t>
            </w:r>
            <w:r>
              <w:rPr>
                <w:rFonts w:hint="eastAsia"/>
                <w:b/>
                <w:color w:val="auto"/>
              </w:rPr>
              <w:t>1</w:t>
            </w:r>
            <w:r>
              <w:rPr>
                <w:b/>
                <w:color w:val="auto"/>
              </w:rPr>
              <w:t xml:space="preserve">    在不同车速和地面清洁程度的汽车扬尘 单位：kg/辆•km</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1082"/>
              <w:gridCol w:w="1082"/>
              <w:gridCol w:w="1082"/>
              <w:gridCol w:w="1069"/>
              <w:gridCol w:w="1082"/>
              <w:gridCol w:w="1310"/>
            </w:tblGrid>
            <w:tr w14:paraId="66746F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99" w:type="dxa"/>
                  <w:tcBorders>
                    <w:tl2br w:val="nil"/>
                    <w:tr2bl w:val="nil"/>
                  </w:tcBorders>
                  <w:tcMar>
                    <w:top w:w="0" w:type="dxa"/>
                    <w:left w:w="28" w:type="dxa"/>
                    <w:bottom w:w="0" w:type="dxa"/>
                    <w:right w:w="28" w:type="dxa"/>
                  </w:tcMar>
                  <w:vAlign w:val="center"/>
                </w:tcPr>
                <w:p w14:paraId="718DD57E">
                  <w:pPr>
                    <w:snapToGrid w:val="0"/>
                    <w:jc w:val="center"/>
                    <w:rPr>
                      <w:color w:val="auto"/>
                      <w:szCs w:val="21"/>
                    </w:rPr>
                  </w:pPr>
                  <w:r>
                    <w:rPr>
                      <w:color w:val="auto"/>
                      <w:szCs w:val="21"/>
                    </w:rPr>
                    <w:t>车速</w:t>
                  </w:r>
                </w:p>
                <w:p w14:paraId="43ACFC1A">
                  <w:pPr>
                    <w:jc w:val="center"/>
                    <w:rPr>
                      <w:color w:val="auto"/>
                      <w:szCs w:val="21"/>
                    </w:rPr>
                  </w:pPr>
                  <w:r>
                    <w:rPr>
                      <w:color w:val="auto"/>
                      <w:szCs w:val="21"/>
                    </w:rPr>
                    <w:t>P</w:t>
                  </w:r>
                </w:p>
              </w:tc>
              <w:tc>
                <w:tcPr>
                  <w:tcW w:w="1200" w:type="dxa"/>
                  <w:tcBorders>
                    <w:tl2br w:val="nil"/>
                    <w:tr2bl w:val="nil"/>
                  </w:tcBorders>
                  <w:tcMar>
                    <w:top w:w="0" w:type="dxa"/>
                    <w:left w:w="28" w:type="dxa"/>
                    <w:bottom w:w="0" w:type="dxa"/>
                    <w:right w:w="28" w:type="dxa"/>
                  </w:tcMar>
                  <w:vAlign w:val="center"/>
                </w:tcPr>
                <w:p w14:paraId="0EE3595D">
                  <w:pPr>
                    <w:jc w:val="center"/>
                    <w:rPr>
                      <w:color w:val="auto"/>
                      <w:szCs w:val="21"/>
                    </w:rPr>
                  </w:pPr>
                  <w:r>
                    <w:rPr>
                      <w:color w:val="auto"/>
                      <w:szCs w:val="21"/>
                    </w:rPr>
                    <w:t>0.1</w:t>
                  </w:r>
                  <w:r>
                    <w:rPr>
                      <w:rFonts w:hint="eastAsia"/>
                      <w:color w:val="auto"/>
                      <w:szCs w:val="21"/>
                    </w:rPr>
                    <w:t>（</w:t>
                  </w:r>
                  <w:r>
                    <w:rPr>
                      <w:color w:val="auto"/>
                      <w:szCs w:val="21"/>
                    </w:rPr>
                    <w:t>kg/m</w:t>
                  </w:r>
                  <w:r>
                    <w:rPr>
                      <w:color w:val="auto"/>
                      <w:szCs w:val="21"/>
                      <w:vertAlign w:val="superscript"/>
                    </w:rPr>
                    <w:t>2</w:t>
                  </w:r>
                  <w:r>
                    <w:rPr>
                      <w:rFonts w:hint="eastAsia"/>
                      <w:color w:val="auto"/>
                      <w:szCs w:val="21"/>
                    </w:rPr>
                    <w:t>）</w:t>
                  </w:r>
                </w:p>
              </w:tc>
              <w:tc>
                <w:tcPr>
                  <w:tcW w:w="1200" w:type="dxa"/>
                  <w:tcBorders>
                    <w:tl2br w:val="nil"/>
                    <w:tr2bl w:val="nil"/>
                  </w:tcBorders>
                  <w:tcMar>
                    <w:top w:w="0" w:type="dxa"/>
                    <w:left w:w="28" w:type="dxa"/>
                    <w:bottom w:w="0" w:type="dxa"/>
                    <w:right w:w="28" w:type="dxa"/>
                  </w:tcMar>
                  <w:vAlign w:val="center"/>
                </w:tcPr>
                <w:p w14:paraId="055DC516">
                  <w:pPr>
                    <w:jc w:val="center"/>
                    <w:rPr>
                      <w:color w:val="auto"/>
                      <w:szCs w:val="21"/>
                    </w:rPr>
                  </w:pPr>
                  <w:r>
                    <w:rPr>
                      <w:color w:val="auto"/>
                      <w:szCs w:val="21"/>
                    </w:rPr>
                    <w:t>0.2</w:t>
                  </w:r>
                  <w:r>
                    <w:rPr>
                      <w:rFonts w:hint="eastAsia"/>
                      <w:color w:val="auto"/>
                      <w:szCs w:val="21"/>
                    </w:rPr>
                    <w:t>（</w:t>
                  </w:r>
                  <w:r>
                    <w:rPr>
                      <w:color w:val="auto"/>
                      <w:szCs w:val="21"/>
                    </w:rPr>
                    <w:t>kg/m</w:t>
                  </w:r>
                  <w:r>
                    <w:rPr>
                      <w:color w:val="auto"/>
                      <w:szCs w:val="21"/>
                      <w:vertAlign w:val="superscript"/>
                    </w:rPr>
                    <w:t>2</w:t>
                  </w:r>
                  <w:r>
                    <w:rPr>
                      <w:rFonts w:hint="eastAsia"/>
                      <w:color w:val="auto"/>
                      <w:szCs w:val="21"/>
                    </w:rPr>
                    <w:t>）</w:t>
                  </w:r>
                </w:p>
              </w:tc>
              <w:tc>
                <w:tcPr>
                  <w:tcW w:w="1200" w:type="dxa"/>
                  <w:tcBorders>
                    <w:tl2br w:val="nil"/>
                    <w:tr2bl w:val="nil"/>
                  </w:tcBorders>
                  <w:tcMar>
                    <w:top w:w="0" w:type="dxa"/>
                    <w:left w:w="28" w:type="dxa"/>
                    <w:bottom w:w="0" w:type="dxa"/>
                    <w:right w:w="28" w:type="dxa"/>
                  </w:tcMar>
                  <w:vAlign w:val="center"/>
                </w:tcPr>
                <w:p w14:paraId="52BCCD47">
                  <w:pPr>
                    <w:jc w:val="center"/>
                    <w:rPr>
                      <w:color w:val="auto"/>
                      <w:szCs w:val="21"/>
                    </w:rPr>
                  </w:pPr>
                  <w:r>
                    <w:rPr>
                      <w:color w:val="auto"/>
                      <w:szCs w:val="21"/>
                    </w:rPr>
                    <w:t>0.3</w:t>
                  </w:r>
                  <w:r>
                    <w:rPr>
                      <w:rFonts w:hint="eastAsia"/>
                      <w:color w:val="auto"/>
                      <w:szCs w:val="21"/>
                    </w:rPr>
                    <w:t>（</w:t>
                  </w:r>
                  <w:r>
                    <w:rPr>
                      <w:color w:val="auto"/>
                      <w:szCs w:val="21"/>
                    </w:rPr>
                    <w:t>kg/m</w:t>
                  </w:r>
                  <w:r>
                    <w:rPr>
                      <w:color w:val="auto"/>
                      <w:szCs w:val="21"/>
                      <w:vertAlign w:val="superscript"/>
                    </w:rPr>
                    <w:t>2</w:t>
                  </w:r>
                  <w:r>
                    <w:rPr>
                      <w:rFonts w:hint="eastAsia"/>
                      <w:color w:val="auto"/>
                      <w:szCs w:val="21"/>
                    </w:rPr>
                    <w:t>）</w:t>
                  </w:r>
                </w:p>
              </w:tc>
              <w:tc>
                <w:tcPr>
                  <w:tcW w:w="1185" w:type="dxa"/>
                  <w:tcBorders>
                    <w:tl2br w:val="nil"/>
                    <w:tr2bl w:val="nil"/>
                  </w:tcBorders>
                  <w:tcMar>
                    <w:top w:w="0" w:type="dxa"/>
                    <w:left w:w="28" w:type="dxa"/>
                    <w:bottom w:w="0" w:type="dxa"/>
                    <w:right w:w="28" w:type="dxa"/>
                  </w:tcMar>
                  <w:vAlign w:val="center"/>
                </w:tcPr>
                <w:p w14:paraId="00D17F33">
                  <w:pPr>
                    <w:jc w:val="center"/>
                    <w:rPr>
                      <w:color w:val="auto"/>
                      <w:szCs w:val="21"/>
                    </w:rPr>
                  </w:pPr>
                  <w:r>
                    <w:rPr>
                      <w:color w:val="auto"/>
                      <w:szCs w:val="21"/>
                    </w:rPr>
                    <w:t>0.4</w:t>
                  </w:r>
                  <w:r>
                    <w:rPr>
                      <w:rFonts w:hint="eastAsia"/>
                      <w:color w:val="auto"/>
                      <w:szCs w:val="21"/>
                    </w:rPr>
                    <w:t>（</w:t>
                  </w:r>
                  <w:r>
                    <w:rPr>
                      <w:color w:val="auto"/>
                      <w:szCs w:val="21"/>
                    </w:rPr>
                    <w:t>kg/m</w:t>
                  </w:r>
                  <w:r>
                    <w:rPr>
                      <w:color w:val="auto"/>
                      <w:szCs w:val="21"/>
                      <w:vertAlign w:val="superscript"/>
                    </w:rPr>
                    <w:t>2</w:t>
                  </w:r>
                  <w:r>
                    <w:rPr>
                      <w:rFonts w:hint="eastAsia"/>
                      <w:color w:val="auto"/>
                      <w:szCs w:val="21"/>
                    </w:rPr>
                    <w:t>）</w:t>
                  </w:r>
                </w:p>
              </w:tc>
              <w:tc>
                <w:tcPr>
                  <w:tcW w:w="1200" w:type="dxa"/>
                  <w:tcBorders>
                    <w:tl2br w:val="nil"/>
                    <w:tr2bl w:val="nil"/>
                  </w:tcBorders>
                  <w:tcMar>
                    <w:top w:w="0" w:type="dxa"/>
                    <w:left w:w="28" w:type="dxa"/>
                    <w:bottom w:w="0" w:type="dxa"/>
                    <w:right w:w="28" w:type="dxa"/>
                  </w:tcMar>
                  <w:vAlign w:val="center"/>
                </w:tcPr>
                <w:p w14:paraId="048ED320">
                  <w:pPr>
                    <w:jc w:val="center"/>
                    <w:rPr>
                      <w:color w:val="auto"/>
                      <w:szCs w:val="21"/>
                    </w:rPr>
                  </w:pPr>
                  <w:r>
                    <w:rPr>
                      <w:color w:val="auto"/>
                      <w:szCs w:val="21"/>
                    </w:rPr>
                    <w:t>0.5</w:t>
                  </w:r>
                  <w:r>
                    <w:rPr>
                      <w:rFonts w:hint="eastAsia"/>
                      <w:color w:val="auto"/>
                      <w:szCs w:val="21"/>
                    </w:rPr>
                    <w:t>（</w:t>
                  </w:r>
                  <w:r>
                    <w:rPr>
                      <w:color w:val="auto"/>
                      <w:szCs w:val="21"/>
                    </w:rPr>
                    <w:t>kg/m</w:t>
                  </w:r>
                  <w:r>
                    <w:rPr>
                      <w:color w:val="auto"/>
                      <w:szCs w:val="21"/>
                      <w:vertAlign w:val="superscript"/>
                    </w:rPr>
                    <w:t>2</w:t>
                  </w:r>
                  <w:r>
                    <w:rPr>
                      <w:rFonts w:hint="eastAsia"/>
                      <w:color w:val="auto"/>
                      <w:szCs w:val="21"/>
                    </w:rPr>
                    <w:t>）</w:t>
                  </w:r>
                </w:p>
              </w:tc>
              <w:tc>
                <w:tcPr>
                  <w:tcW w:w="1455" w:type="dxa"/>
                  <w:tcBorders>
                    <w:tl2br w:val="nil"/>
                    <w:tr2bl w:val="nil"/>
                  </w:tcBorders>
                  <w:tcMar>
                    <w:top w:w="0" w:type="dxa"/>
                    <w:left w:w="28" w:type="dxa"/>
                    <w:bottom w:w="0" w:type="dxa"/>
                    <w:right w:w="28" w:type="dxa"/>
                  </w:tcMar>
                  <w:vAlign w:val="center"/>
                </w:tcPr>
                <w:p w14:paraId="7D1F0D90">
                  <w:pPr>
                    <w:jc w:val="center"/>
                    <w:rPr>
                      <w:color w:val="auto"/>
                      <w:szCs w:val="21"/>
                    </w:rPr>
                  </w:pPr>
                  <w:r>
                    <w:rPr>
                      <w:color w:val="auto"/>
                      <w:szCs w:val="21"/>
                    </w:rPr>
                    <w:t>1.0</w:t>
                  </w:r>
                  <w:r>
                    <w:rPr>
                      <w:rFonts w:hint="eastAsia"/>
                      <w:color w:val="auto"/>
                      <w:szCs w:val="21"/>
                    </w:rPr>
                    <w:t>（</w:t>
                  </w:r>
                  <w:r>
                    <w:rPr>
                      <w:color w:val="auto"/>
                      <w:szCs w:val="21"/>
                    </w:rPr>
                    <w:t>kg/m</w:t>
                  </w:r>
                  <w:r>
                    <w:rPr>
                      <w:color w:val="auto"/>
                      <w:szCs w:val="21"/>
                      <w:vertAlign w:val="superscript"/>
                    </w:rPr>
                    <w:t>2</w:t>
                  </w:r>
                  <w:r>
                    <w:rPr>
                      <w:rFonts w:hint="eastAsia"/>
                      <w:color w:val="auto"/>
                      <w:szCs w:val="21"/>
                    </w:rPr>
                    <w:t>）</w:t>
                  </w:r>
                </w:p>
              </w:tc>
            </w:tr>
            <w:tr w14:paraId="775323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99" w:type="dxa"/>
                  <w:tcBorders>
                    <w:tl2br w:val="nil"/>
                    <w:tr2bl w:val="nil"/>
                  </w:tcBorders>
                  <w:tcMar>
                    <w:top w:w="0" w:type="dxa"/>
                    <w:left w:w="28" w:type="dxa"/>
                    <w:bottom w:w="0" w:type="dxa"/>
                    <w:right w:w="28" w:type="dxa"/>
                  </w:tcMar>
                  <w:vAlign w:val="center"/>
                </w:tcPr>
                <w:p w14:paraId="460E9E42">
                  <w:pPr>
                    <w:jc w:val="center"/>
                    <w:rPr>
                      <w:color w:val="auto"/>
                      <w:szCs w:val="21"/>
                    </w:rPr>
                  </w:pPr>
                  <w:r>
                    <w:rPr>
                      <w:color w:val="auto"/>
                      <w:szCs w:val="21"/>
                    </w:rPr>
                    <w:t>5</w:t>
                  </w:r>
                  <w:r>
                    <w:rPr>
                      <w:rFonts w:hint="eastAsia"/>
                      <w:color w:val="auto"/>
                      <w:szCs w:val="21"/>
                    </w:rPr>
                    <w:t>（</w:t>
                  </w:r>
                  <w:r>
                    <w:rPr>
                      <w:color w:val="auto"/>
                      <w:szCs w:val="21"/>
                    </w:rPr>
                    <w:t>km/hr</w:t>
                  </w:r>
                  <w:r>
                    <w:rPr>
                      <w:rFonts w:hint="eastAsia"/>
                      <w:color w:val="auto"/>
                      <w:szCs w:val="21"/>
                    </w:rPr>
                    <w:t>）</w:t>
                  </w:r>
                </w:p>
              </w:tc>
              <w:tc>
                <w:tcPr>
                  <w:tcW w:w="1200" w:type="dxa"/>
                  <w:tcBorders>
                    <w:tl2br w:val="nil"/>
                    <w:tr2bl w:val="nil"/>
                  </w:tcBorders>
                  <w:tcMar>
                    <w:top w:w="0" w:type="dxa"/>
                    <w:left w:w="28" w:type="dxa"/>
                    <w:bottom w:w="0" w:type="dxa"/>
                    <w:right w:w="28" w:type="dxa"/>
                  </w:tcMar>
                  <w:vAlign w:val="center"/>
                </w:tcPr>
                <w:p w14:paraId="71FE0DAA">
                  <w:pPr>
                    <w:jc w:val="center"/>
                    <w:rPr>
                      <w:color w:val="auto"/>
                      <w:szCs w:val="21"/>
                    </w:rPr>
                  </w:pPr>
                  <w:r>
                    <w:rPr>
                      <w:color w:val="auto"/>
                      <w:szCs w:val="21"/>
                    </w:rPr>
                    <w:t>0.051056</w:t>
                  </w:r>
                </w:p>
              </w:tc>
              <w:tc>
                <w:tcPr>
                  <w:tcW w:w="1200" w:type="dxa"/>
                  <w:tcBorders>
                    <w:tl2br w:val="nil"/>
                    <w:tr2bl w:val="nil"/>
                  </w:tcBorders>
                  <w:tcMar>
                    <w:top w:w="0" w:type="dxa"/>
                    <w:left w:w="28" w:type="dxa"/>
                    <w:bottom w:w="0" w:type="dxa"/>
                    <w:right w:w="28" w:type="dxa"/>
                  </w:tcMar>
                  <w:vAlign w:val="center"/>
                </w:tcPr>
                <w:p w14:paraId="001FEB4C">
                  <w:pPr>
                    <w:jc w:val="center"/>
                    <w:rPr>
                      <w:color w:val="auto"/>
                      <w:szCs w:val="21"/>
                    </w:rPr>
                  </w:pPr>
                  <w:r>
                    <w:rPr>
                      <w:color w:val="auto"/>
                      <w:szCs w:val="21"/>
                    </w:rPr>
                    <w:t>0.085865</w:t>
                  </w:r>
                </w:p>
              </w:tc>
              <w:tc>
                <w:tcPr>
                  <w:tcW w:w="1200" w:type="dxa"/>
                  <w:tcBorders>
                    <w:tl2br w:val="nil"/>
                    <w:tr2bl w:val="nil"/>
                  </w:tcBorders>
                  <w:tcMar>
                    <w:top w:w="0" w:type="dxa"/>
                    <w:left w:w="28" w:type="dxa"/>
                    <w:bottom w:w="0" w:type="dxa"/>
                    <w:right w:w="28" w:type="dxa"/>
                  </w:tcMar>
                  <w:vAlign w:val="center"/>
                </w:tcPr>
                <w:p w14:paraId="5A971B12">
                  <w:pPr>
                    <w:jc w:val="center"/>
                    <w:rPr>
                      <w:color w:val="auto"/>
                      <w:szCs w:val="21"/>
                    </w:rPr>
                  </w:pPr>
                  <w:r>
                    <w:rPr>
                      <w:color w:val="auto"/>
                      <w:szCs w:val="21"/>
                    </w:rPr>
                    <w:t>0.116382</w:t>
                  </w:r>
                </w:p>
              </w:tc>
              <w:tc>
                <w:tcPr>
                  <w:tcW w:w="1185" w:type="dxa"/>
                  <w:tcBorders>
                    <w:tl2br w:val="nil"/>
                    <w:tr2bl w:val="nil"/>
                  </w:tcBorders>
                  <w:tcMar>
                    <w:top w:w="0" w:type="dxa"/>
                    <w:left w:w="28" w:type="dxa"/>
                    <w:bottom w:w="0" w:type="dxa"/>
                    <w:right w:w="28" w:type="dxa"/>
                  </w:tcMar>
                  <w:vAlign w:val="center"/>
                </w:tcPr>
                <w:p w14:paraId="70CBA268">
                  <w:pPr>
                    <w:jc w:val="center"/>
                    <w:rPr>
                      <w:color w:val="auto"/>
                      <w:szCs w:val="21"/>
                    </w:rPr>
                  </w:pPr>
                  <w:r>
                    <w:rPr>
                      <w:color w:val="auto"/>
                      <w:szCs w:val="21"/>
                    </w:rPr>
                    <w:t>0.144408</w:t>
                  </w:r>
                </w:p>
              </w:tc>
              <w:tc>
                <w:tcPr>
                  <w:tcW w:w="1200" w:type="dxa"/>
                  <w:tcBorders>
                    <w:tl2br w:val="nil"/>
                    <w:tr2bl w:val="nil"/>
                  </w:tcBorders>
                  <w:tcMar>
                    <w:top w:w="0" w:type="dxa"/>
                    <w:left w:w="28" w:type="dxa"/>
                    <w:bottom w:w="0" w:type="dxa"/>
                    <w:right w:w="28" w:type="dxa"/>
                  </w:tcMar>
                  <w:vAlign w:val="center"/>
                </w:tcPr>
                <w:p w14:paraId="05612541">
                  <w:pPr>
                    <w:jc w:val="center"/>
                    <w:rPr>
                      <w:color w:val="auto"/>
                      <w:szCs w:val="21"/>
                    </w:rPr>
                  </w:pPr>
                  <w:r>
                    <w:rPr>
                      <w:color w:val="auto"/>
                      <w:szCs w:val="21"/>
                    </w:rPr>
                    <w:t>0.170715</w:t>
                  </w:r>
                </w:p>
              </w:tc>
              <w:tc>
                <w:tcPr>
                  <w:tcW w:w="1455" w:type="dxa"/>
                  <w:tcBorders>
                    <w:tl2br w:val="nil"/>
                    <w:tr2bl w:val="nil"/>
                  </w:tcBorders>
                  <w:tcMar>
                    <w:top w:w="0" w:type="dxa"/>
                    <w:left w:w="28" w:type="dxa"/>
                    <w:bottom w:w="0" w:type="dxa"/>
                    <w:right w:w="28" w:type="dxa"/>
                  </w:tcMar>
                  <w:vAlign w:val="center"/>
                </w:tcPr>
                <w:p w14:paraId="051610D0">
                  <w:pPr>
                    <w:jc w:val="center"/>
                    <w:rPr>
                      <w:color w:val="auto"/>
                      <w:szCs w:val="21"/>
                    </w:rPr>
                  </w:pPr>
                  <w:r>
                    <w:rPr>
                      <w:color w:val="auto"/>
                      <w:szCs w:val="21"/>
                    </w:rPr>
                    <w:t>0.317108</w:t>
                  </w:r>
                </w:p>
              </w:tc>
            </w:tr>
            <w:tr w14:paraId="4C9A5A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99" w:type="dxa"/>
                  <w:tcBorders>
                    <w:tl2br w:val="nil"/>
                    <w:tr2bl w:val="nil"/>
                  </w:tcBorders>
                  <w:tcMar>
                    <w:top w:w="0" w:type="dxa"/>
                    <w:left w:w="28" w:type="dxa"/>
                    <w:bottom w:w="0" w:type="dxa"/>
                    <w:right w:w="28" w:type="dxa"/>
                  </w:tcMar>
                  <w:vAlign w:val="center"/>
                </w:tcPr>
                <w:p w14:paraId="75EE323C">
                  <w:pPr>
                    <w:jc w:val="center"/>
                    <w:rPr>
                      <w:color w:val="auto"/>
                      <w:szCs w:val="21"/>
                    </w:rPr>
                  </w:pPr>
                  <w:r>
                    <w:rPr>
                      <w:color w:val="auto"/>
                      <w:szCs w:val="21"/>
                    </w:rPr>
                    <w:t>10</w:t>
                  </w:r>
                  <w:r>
                    <w:rPr>
                      <w:rFonts w:hint="eastAsia"/>
                      <w:color w:val="auto"/>
                      <w:szCs w:val="21"/>
                    </w:rPr>
                    <w:t>（</w:t>
                  </w:r>
                  <w:r>
                    <w:rPr>
                      <w:color w:val="auto"/>
                      <w:szCs w:val="21"/>
                    </w:rPr>
                    <w:t>km/hr</w:t>
                  </w:r>
                  <w:r>
                    <w:rPr>
                      <w:rFonts w:hint="eastAsia"/>
                      <w:color w:val="auto"/>
                      <w:szCs w:val="21"/>
                    </w:rPr>
                    <w:t>）</w:t>
                  </w:r>
                </w:p>
              </w:tc>
              <w:tc>
                <w:tcPr>
                  <w:tcW w:w="1200" w:type="dxa"/>
                  <w:tcBorders>
                    <w:tl2br w:val="nil"/>
                    <w:tr2bl w:val="nil"/>
                  </w:tcBorders>
                  <w:tcMar>
                    <w:top w:w="0" w:type="dxa"/>
                    <w:left w:w="28" w:type="dxa"/>
                    <w:bottom w:w="0" w:type="dxa"/>
                    <w:right w:w="28" w:type="dxa"/>
                  </w:tcMar>
                  <w:vAlign w:val="center"/>
                </w:tcPr>
                <w:p w14:paraId="7E24D7F0">
                  <w:pPr>
                    <w:jc w:val="center"/>
                    <w:rPr>
                      <w:color w:val="auto"/>
                      <w:szCs w:val="21"/>
                    </w:rPr>
                  </w:pPr>
                  <w:r>
                    <w:rPr>
                      <w:color w:val="auto"/>
                      <w:szCs w:val="21"/>
                    </w:rPr>
                    <w:t>0.102112</w:t>
                  </w:r>
                </w:p>
              </w:tc>
              <w:tc>
                <w:tcPr>
                  <w:tcW w:w="1200" w:type="dxa"/>
                  <w:tcBorders>
                    <w:tl2br w:val="nil"/>
                    <w:tr2bl w:val="nil"/>
                  </w:tcBorders>
                  <w:tcMar>
                    <w:top w:w="0" w:type="dxa"/>
                    <w:left w:w="28" w:type="dxa"/>
                    <w:bottom w:w="0" w:type="dxa"/>
                    <w:right w:w="28" w:type="dxa"/>
                  </w:tcMar>
                  <w:vAlign w:val="center"/>
                </w:tcPr>
                <w:p w14:paraId="1934EC69">
                  <w:pPr>
                    <w:jc w:val="center"/>
                    <w:rPr>
                      <w:color w:val="auto"/>
                      <w:szCs w:val="21"/>
                    </w:rPr>
                  </w:pPr>
                  <w:r>
                    <w:rPr>
                      <w:color w:val="auto"/>
                      <w:szCs w:val="21"/>
                    </w:rPr>
                    <w:t>0.171731</w:t>
                  </w:r>
                </w:p>
              </w:tc>
              <w:tc>
                <w:tcPr>
                  <w:tcW w:w="1200" w:type="dxa"/>
                  <w:tcBorders>
                    <w:tl2br w:val="nil"/>
                    <w:tr2bl w:val="nil"/>
                  </w:tcBorders>
                  <w:tcMar>
                    <w:top w:w="0" w:type="dxa"/>
                    <w:left w:w="28" w:type="dxa"/>
                    <w:bottom w:w="0" w:type="dxa"/>
                    <w:right w:w="28" w:type="dxa"/>
                  </w:tcMar>
                  <w:vAlign w:val="center"/>
                </w:tcPr>
                <w:p w14:paraId="0545BF68">
                  <w:pPr>
                    <w:jc w:val="center"/>
                    <w:rPr>
                      <w:color w:val="auto"/>
                      <w:szCs w:val="21"/>
                    </w:rPr>
                  </w:pPr>
                  <w:r>
                    <w:rPr>
                      <w:color w:val="auto"/>
                      <w:szCs w:val="21"/>
                    </w:rPr>
                    <w:t>0.232764</w:t>
                  </w:r>
                </w:p>
              </w:tc>
              <w:tc>
                <w:tcPr>
                  <w:tcW w:w="1185" w:type="dxa"/>
                  <w:tcBorders>
                    <w:tl2br w:val="nil"/>
                    <w:tr2bl w:val="nil"/>
                  </w:tcBorders>
                  <w:tcMar>
                    <w:top w:w="0" w:type="dxa"/>
                    <w:left w:w="28" w:type="dxa"/>
                    <w:bottom w:w="0" w:type="dxa"/>
                    <w:right w:w="28" w:type="dxa"/>
                  </w:tcMar>
                  <w:vAlign w:val="center"/>
                </w:tcPr>
                <w:p w14:paraId="08C050CC">
                  <w:pPr>
                    <w:jc w:val="center"/>
                    <w:rPr>
                      <w:color w:val="auto"/>
                      <w:szCs w:val="21"/>
                    </w:rPr>
                  </w:pPr>
                  <w:r>
                    <w:rPr>
                      <w:color w:val="auto"/>
                      <w:szCs w:val="21"/>
                    </w:rPr>
                    <w:t>0.318815</w:t>
                  </w:r>
                </w:p>
              </w:tc>
              <w:tc>
                <w:tcPr>
                  <w:tcW w:w="1200" w:type="dxa"/>
                  <w:tcBorders>
                    <w:tl2br w:val="nil"/>
                    <w:tr2bl w:val="nil"/>
                  </w:tcBorders>
                  <w:tcMar>
                    <w:top w:w="0" w:type="dxa"/>
                    <w:left w:w="28" w:type="dxa"/>
                    <w:bottom w:w="0" w:type="dxa"/>
                    <w:right w:w="28" w:type="dxa"/>
                  </w:tcMar>
                  <w:vAlign w:val="center"/>
                </w:tcPr>
                <w:p w14:paraId="2A877DE5">
                  <w:pPr>
                    <w:jc w:val="center"/>
                    <w:rPr>
                      <w:color w:val="auto"/>
                      <w:szCs w:val="21"/>
                    </w:rPr>
                  </w:pPr>
                  <w:r>
                    <w:rPr>
                      <w:color w:val="auto"/>
                      <w:szCs w:val="21"/>
                    </w:rPr>
                    <w:t>0.341431</w:t>
                  </w:r>
                </w:p>
              </w:tc>
              <w:tc>
                <w:tcPr>
                  <w:tcW w:w="1455" w:type="dxa"/>
                  <w:tcBorders>
                    <w:tl2br w:val="nil"/>
                    <w:tr2bl w:val="nil"/>
                  </w:tcBorders>
                  <w:tcMar>
                    <w:top w:w="0" w:type="dxa"/>
                    <w:left w:w="28" w:type="dxa"/>
                    <w:bottom w:w="0" w:type="dxa"/>
                    <w:right w:w="28" w:type="dxa"/>
                  </w:tcMar>
                  <w:vAlign w:val="center"/>
                </w:tcPr>
                <w:p w14:paraId="1442D873">
                  <w:pPr>
                    <w:jc w:val="center"/>
                    <w:rPr>
                      <w:color w:val="auto"/>
                      <w:szCs w:val="21"/>
                    </w:rPr>
                  </w:pPr>
                  <w:r>
                    <w:rPr>
                      <w:color w:val="auto"/>
                      <w:szCs w:val="21"/>
                    </w:rPr>
                    <w:t>0.574216</w:t>
                  </w:r>
                </w:p>
              </w:tc>
            </w:tr>
            <w:tr w14:paraId="6D5782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99" w:type="dxa"/>
                  <w:tcBorders>
                    <w:tl2br w:val="nil"/>
                    <w:tr2bl w:val="nil"/>
                  </w:tcBorders>
                  <w:tcMar>
                    <w:top w:w="0" w:type="dxa"/>
                    <w:left w:w="28" w:type="dxa"/>
                    <w:bottom w:w="0" w:type="dxa"/>
                    <w:right w:w="28" w:type="dxa"/>
                  </w:tcMar>
                  <w:vAlign w:val="center"/>
                </w:tcPr>
                <w:p w14:paraId="764D9BD0">
                  <w:pPr>
                    <w:jc w:val="center"/>
                    <w:rPr>
                      <w:color w:val="auto"/>
                      <w:szCs w:val="21"/>
                    </w:rPr>
                  </w:pPr>
                  <w:r>
                    <w:rPr>
                      <w:color w:val="auto"/>
                      <w:szCs w:val="21"/>
                    </w:rPr>
                    <w:t>15</w:t>
                  </w:r>
                  <w:r>
                    <w:rPr>
                      <w:rFonts w:hint="eastAsia"/>
                      <w:color w:val="auto"/>
                      <w:szCs w:val="21"/>
                    </w:rPr>
                    <w:t>（</w:t>
                  </w:r>
                  <w:r>
                    <w:rPr>
                      <w:color w:val="auto"/>
                      <w:szCs w:val="21"/>
                    </w:rPr>
                    <w:t>km/hr</w:t>
                  </w:r>
                  <w:r>
                    <w:rPr>
                      <w:rFonts w:hint="eastAsia"/>
                      <w:color w:val="auto"/>
                      <w:szCs w:val="21"/>
                    </w:rPr>
                    <w:t>）</w:t>
                  </w:r>
                </w:p>
              </w:tc>
              <w:tc>
                <w:tcPr>
                  <w:tcW w:w="1200" w:type="dxa"/>
                  <w:tcBorders>
                    <w:tl2br w:val="nil"/>
                    <w:tr2bl w:val="nil"/>
                  </w:tcBorders>
                  <w:tcMar>
                    <w:top w:w="0" w:type="dxa"/>
                    <w:left w:w="28" w:type="dxa"/>
                    <w:bottom w:w="0" w:type="dxa"/>
                    <w:right w:w="28" w:type="dxa"/>
                  </w:tcMar>
                  <w:vAlign w:val="center"/>
                </w:tcPr>
                <w:p w14:paraId="077B2045">
                  <w:pPr>
                    <w:jc w:val="center"/>
                    <w:rPr>
                      <w:color w:val="auto"/>
                      <w:szCs w:val="21"/>
                    </w:rPr>
                  </w:pPr>
                  <w:r>
                    <w:rPr>
                      <w:color w:val="auto"/>
                      <w:szCs w:val="21"/>
                    </w:rPr>
                    <w:t>0.153167</w:t>
                  </w:r>
                </w:p>
              </w:tc>
              <w:tc>
                <w:tcPr>
                  <w:tcW w:w="1200" w:type="dxa"/>
                  <w:tcBorders>
                    <w:tl2br w:val="nil"/>
                    <w:tr2bl w:val="nil"/>
                  </w:tcBorders>
                  <w:tcMar>
                    <w:top w:w="0" w:type="dxa"/>
                    <w:left w:w="28" w:type="dxa"/>
                    <w:bottom w:w="0" w:type="dxa"/>
                    <w:right w:w="28" w:type="dxa"/>
                  </w:tcMar>
                  <w:vAlign w:val="center"/>
                </w:tcPr>
                <w:p w14:paraId="2D6FF4EE">
                  <w:pPr>
                    <w:jc w:val="center"/>
                    <w:rPr>
                      <w:color w:val="auto"/>
                      <w:szCs w:val="21"/>
                    </w:rPr>
                  </w:pPr>
                  <w:r>
                    <w:rPr>
                      <w:color w:val="auto"/>
                      <w:szCs w:val="21"/>
                    </w:rPr>
                    <w:t>0.257596</w:t>
                  </w:r>
                </w:p>
              </w:tc>
              <w:tc>
                <w:tcPr>
                  <w:tcW w:w="1200" w:type="dxa"/>
                  <w:tcBorders>
                    <w:tl2br w:val="nil"/>
                    <w:tr2bl w:val="nil"/>
                  </w:tcBorders>
                  <w:tcMar>
                    <w:top w:w="0" w:type="dxa"/>
                    <w:left w:w="28" w:type="dxa"/>
                    <w:bottom w:w="0" w:type="dxa"/>
                    <w:right w:w="28" w:type="dxa"/>
                  </w:tcMar>
                  <w:vAlign w:val="center"/>
                </w:tcPr>
                <w:p w14:paraId="5E855E41">
                  <w:pPr>
                    <w:jc w:val="center"/>
                    <w:rPr>
                      <w:color w:val="auto"/>
                      <w:szCs w:val="21"/>
                    </w:rPr>
                  </w:pPr>
                  <w:r>
                    <w:rPr>
                      <w:color w:val="auto"/>
                      <w:szCs w:val="21"/>
                    </w:rPr>
                    <w:t>0.349146</w:t>
                  </w:r>
                </w:p>
              </w:tc>
              <w:tc>
                <w:tcPr>
                  <w:tcW w:w="1185" w:type="dxa"/>
                  <w:tcBorders>
                    <w:tl2br w:val="nil"/>
                    <w:tr2bl w:val="nil"/>
                  </w:tcBorders>
                  <w:tcMar>
                    <w:top w:w="0" w:type="dxa"/>
                    <w:left w:w="28" w:type="dxa"/>
                    <w:bottom w:w="0" w:type="dxa"/>
                    <w:right w:w="28" w:type="dxa"/>
                  </w:tcMar>
                  <w:vAlign w:val="center"/>
                </w:tcPr>
                <w:p w14:paraId="5E117DD5">
                  <w:pPr>
                    <w:jc w:val="center"/>
                    <w:rPr>
                      <w:color w:val="auto"/>
                      <w:szCs w:val="21"/>
                    </w:rPr>
                  </w:pPr>
                  <w:r>
                    <w:rPr>
                      <w:color w:val="auto"/>
                      <w:szCs w:val="21"/>
                    </w:rPr>
                    <w:t>0.433223</w:t>
                  </w:r>
                </w:p>
              </w:tc>
              <w:tc>
                <w:tcPr>
                  <w:tcW w:w="1200" w:type="dxa"/>
                  <w:tcBorders>
                    <w:tl2br w:val="nil"/>
                    <w:tr2bl w:val="nil"/>
                  </w:tcBorders>
                  <w:tcMar>
                    <w:top w:w="0" w:type="dxa"/>
                    <w:left w:w="28" w:type="dxa"/>
                    <w:bottom w:w="0" w:type="dxa"/>
                    <w:right w:w="28" w:type="dxa"/>
                  </w:tcMar>
                  <w:vAlign w:val="center"/>
                </w:tcPr>
                <w:p w14:paraId="091C902E">
                  <w:pPr>
                    <w:jc w:val="center"/>
                    <w:rPr>
                      <w:color w:val="auto"/>
                      <w:szCs w:val="21"/>
                    </w:rPr>
                  </w:pPr>
                  <w:r>
                    <w:rPr>
                      <w:color w:val="auto"/>
                      <w:szCs w:val="21"/>
                    </w:rPr>
                    <w:t>0.512146</w:t>
                  </w:r>
                </w:p>
              </w:tc>
              <w:tc>
                <w:tcPr>
                  <w:tcW w:w="1455" w:type="dxa"/>
                  <w:tcBorders>
                    <w:tl2br w:val="nil"/>
                    <w:tr2bl w:val="nil"/>
                  </w:tcBorders>
                  <w:tcMar>
                    <w:top w:w="0" w:type="dxa"/>
                    <w:left w:w="28" w:type="dxa"/>
                    <w:bottom w:w="0" w:type="dxa"/>
                    <w:right w:w="28" w:type="dxa"/>
                  </w:tcMar>
                  <w:vAlign w:val="center"/>
                </w:tcPr>
                <w:p w14:paraId="5F884140">
                  <w:pPr>
                    <w:jc w:val="center"/>
                    <w:rPr>
                      <w:color w:val="auto"/>
                      <w:szCs w:val="21"/>
                    </w:rPr>
                  </w:pPr>
                  <w:r>
                    <w:rPr>
                      <w:color w:val="auto"/>
                      <w:szCs w:val="21"/>
                    </w:rPr>
                    <w:t>0.861323</w:t>
                  </w:r>
                </w:p>
              </w:tc>
            </w:tr>
            <w:tr w14:paraId="0BDC44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99" w:type="dxa"/>
                  <w:tcBorders>
                    <w:tl2br w:val="nil"/>
                    <w:tr2bl w:val="nil"/>
                  </w:tcBorders>
                  <w:tcMar>
                    <w:top w:w="0" w:type="dxa"/>
                    <w:left w:w="28" w:type="dxa"/>
                    <w:bottom w:w="0" w:type="dxa"/>
                    <w:right w:w="28" w:type="dxa"/>
                  </w:tcMar>
                  <w:vAlign w:val="center"/>
                </w:tcPr>
                <w:p w14:paraId="081AB1CC">
                  <w:pPr>
                    <w:jc w:val="center"/>
                    <w:rPr>
                      <w:color w:val="auto"/>
                      <w:szCs w:val="21"/>
                    </w:rPr>
                  </w:pPr>
                  <w:r>
                    <w:rPr>
                      <w:color w:val="auto"/>
                      <w:szCs w:val="21"/>
                    </w:rPr>
                    <w:t>25</w:t>
                  </w:r>
                  <w:r>
                    <w:rPr>
                      <w:rFonts w:hint="eastAsia"/>
                      <w:color w:val="auto"/>
                      <w:szCs w:val="21"/>
                    </w:rPr>
                    <w:t>（</w:t>
                  </w:r>
                  <w:r>
                    <w:rPr>
                      <w:color w:val="auto"/>
                      <w:szCs w:val="21"/>
                    </w:rPr>
                    <w:t>km/hr</w:t>
                  </w:r>
                  <w:r>
                    <w:rPr>
                      <w:rFonts w:hint="eastAsia"/>
                      <w:color w:val="auto"/>
                      <w:szCs w:val="21"/>
                    </w:rPr>
                    <w:t>）</w:t>
                  </w:r>
                </w:p>
              </w:tc>
              <w:tc>
                <w:tcPr>
                  <w:tcW w:w="1200" w:type="dxa"/>
                  <w:tcBorders>
                    <w:tl2br w:val="nil"/>
                    <w:tr2bl w:val="nil"/>
                  </w:tcBorders>
                  <w:tcMar>
                    <w:top w:w="0" w:type="dxa"/>
                    <w:left w:w="28" w:type="dxa"/>
                    <w:bottom w:w="0" w:type="dxa"/>
                    <w:right w:w="28" w:type="dxa"/>
                  </w:tcMar>
                  <w:vAlign w:val="center"/>
                </w:tcPr>
                <w:p w14:paraId="0DE3DD4E">
                  <w:pPr>
                    <w:jc w:val="center"/>
                    <w:rPr>
                      <w:color w:val="auto"/>
                      <w:szCs w:val="21"/>
                    </w:rPr>
                  </w:pPr>
                  <w:r>
                    <w:rPr>
                      <w:color w:val="auto"/>
                      <w:szCs w:val="21"/>
                    </w:rPr>
                    <w:t>0.255279</w:t>
                  </w:r>
                </w:p>
              </w:tc>
              <w:tc>
                <w:tcPr>
                  <w:tcW w:w="1200" w:type="dxa"/>
                  <w:tcBorders>
                    <w:tl2br w:val="nil"/>
                    <w:tr2bl w:val="nil"/>
                  </w:tcBorders>
                  <w:tcMar>
                    <w:top w:w="0" w:type="dxa"/>
                    <w:left w:w="28" w:type="dxa"/>
                    <w:bottom w:w="0" w:type="dxa"/>
                    <w:right w:w="28" w:type="dxa"/>
                  </w:tcMar>
                  <w:vAlign w:val="center"/>
                </w:tcPr>
                <w:p w14:paraId="05B4357A">
                  <w:pPr>
                    <w:jc w:val="center"/>
                    <w:rPr>
                      <w:color w:val="auto"/>
                      <w:szCs w:val="21"/>
                    </w:rPr>
                  </w:pPr>
                  <w:r>
                    <w:rPr>
                      <w:color w:val="auto"/>
                      <w:szCs w:val="21"/>
                    </w:rPr>
                    <w:t>0.429326</w:t>
                  </w:r>
                </w:p>
              </w:tc>
              <w:tc>
                <w:tcPr>
                  <w:tcW w:w="1200" w:type="dxa"/>
                  <w:tcBorders>
                    <w:tl2br w:val="nil"/>
                    <w:tr2bl w:val="nil"/>
                  </w:tcBorders>
                  <w:tcMar>
                    <w:top w:w="0" w:type="dxa"/>
                    <w:left w:w="28" w:type="dxa"/>
                    <w:bottom w:w="0" w:type="dxa"/>
                    <w:right w:w="28" w:type="dxa"/>
                  </w:tcMar>
                  <w:vAlign w:val="center"/>
                </w:tcPr>
                <w:p w14:paraId="1BE82450">
                  <w:pPr>
                    <w:jc w:val="center"/>
                    <w:rPr>
                      <w:color w:val="auto"/>
                      <w:szCs w:val="21"/>
                    </w:rPr>
                  </w:pPr>
                  <w:r>
                    <w:rPr>
                      <w:color w:val="auto"/>
                      <w:szCs w:val="21"/>
                    </w:rPr>
                    <w:t>0.58191</w:t>
                  </w:r>
                </w:p>
              </w:tc>
              <w:tc>
                <w:tcPr>
                  <w:tcW w:w="1185" w:type="dxa"/>
                  <w:tcBorders>
                    <w:tl2br w:val="nil"/>
                    <w:tr2bl w:val="nil"/>
                  </w:tcBorders>
                  <w:tcMar>
                    <w:top w:w="0" w:type="dxa"/>
                    <w:left w:w="28" w:type="dxa"/>
                    <w:bottom w:w="0" w:type="dxa"/>
                    <w:right w:w="28" w:type="dxa"/>
                  </w:tcMar>
                  <w:vAlign w:val="center"/>
                </w:tcPr>
                <w:p w14:paraId="4E54ACC3">
                  <w:pPr>
                    <w:jc w:val="center"/>
                    <w:rPr>
                      <w:color w:val="auto"/>
                      <w:szCs w:val="21"/>
                    </w:rPr>
                  </w:pPr>
                  <w:r>
                    <w:rPr>
                      <w:color w:val="auto"/>
                      <w:szCs w:val="21"/>
                    </w:rPr>
                    <w:t>0.722038</w:t>
                  </w:r>
                </w:p>
              </w:tc>
              <w:tc>
                <w:tcPr>
                  <w:tcW w:w="1200" w:type="dxa"/>
                  <w:tcBorders>
                    <w:tl2br w:val="nil"/>
                    <w:tr2bl w:val="nil"/>
                  </w:tcBorders>
                  <w:tcMar>
                    <w:top w:w="0" w:type="dxa"/>
                    <w:left w:w="28" w:type="dxa"/>
                    <w:bottom w:w="0" w:type="dxa"/>
                    <w:right w:w="28" w:type="dxa"/>
                  </w:tcMar>
                  <w:vAlign w:val="center"/>
                </w:tcPr>
                <w:p w14:paraId="38C7BCD5">
                  <w:pPr>
                    <w:jc w:val="center"/>
                    <w:rPr>
                      <w:color w:val="auto"/>
                      <w:szCs w:val="21"/>
                    </w:rPr>
                  </w:pPr>
                  <w:r>
                    <w:rPr>
                      <w:color w:val="auto"/>
                      <w:szCs w:val="21"/>
                    </w:rPr>
                    <w:t>0.853577</w:t>
                  </w:r>
                </w:p>
              </w:tc>
              <w:tc>
                <w:tcPr>
                  <w:tcW w:w="1455" w:type="dxa"/>
                  <w:tcBorders>
                    <w:tl2br w:val="nil"/>
                    <w:tr2bl w:val="nil"/>
                  </w:tcBorders>
                  <w:tcMar>
                    <w:top w:w="0" w:type="dxa"/>
                    <w:left w:w="28" w:type="dxa"/>
                    <w:bottom w:w="0" w:type="dxa"/>
                    <w:right w:w="28" w:type="dxa"/>
                  </w:tcMar>
                  <w:vAlign w:val="center"/>
                </w:tcPr>
                <w:p w14:paraId="216A54C4">
                  <w:pPr>
                    <w:jc w:val="center"/>
                    <w:rPr>
                      <w:color w:val="auto"/>
                      <w:szCs w:val="21"/>
                    </w:rPr>
                  </w:pPr>
                  <w:r>
                    <w:rPr>
                      <w:color w:val="auto"/>
                      <w:szCs w:val="21"/>
                    </w:rPr>
                    <w:t>1.435539</w:t>
                  </w:r>
                </w:p>
              </w:tc>
            </w:tr>
          </w:tbl>
          <w:p w14:paraId="36A52EC2">
            <w:pPr>
              <w:spacing w:before="120" w:beforeLines="50" w:line="360" w:lineRule="auto"/>
              <w:ind w:firstLine="480" w:firstLineChars="200"/>
              <w:textAlignment w:val="baseline"/>
              <w:rPr>
                <w:color w:val="auto"/>
                <w:sz w:val="24"/>
              </w:rPr>
            </w:pPr>
            <w:r>
              <w:rPr>
                <w:color w:val="auto"/>
                <w:sz w:val="24"/>
              </w:rPr>
              <w:t>由此可见，</w:t>
            </w:r>
            <w:r>
              <w:rPr>
                <w:rFonts w:hint="eastAsia"/>
                <w:snapToGrid w:val="0"/>
                <w:color w:val="auto"/>
                <w:sz w:val="24"/>
              </w:rPr>
              <w:t>运输车辆动力起尘与车速、地面清洁程度等有密切关系。</w:t>
            </w:r>
            <w:r>
              <w:rPr>
                <w:color w:val="auto"/>
                <w:sz w:val="24"/>
              </w:rPr>
              <w:t>在同样路面清洁程度条件下，车速越快，扬尘量越大；而在同样车速情况下，路面越脏，则扬尘量越大。因此限速行驶及保持路面的清洁是减少汽车扬尘的有效手段。</w:t>
            </w:r>
          </w:p>
          <w:p w14:paraId="745C456B">
            <w:pPr>
              <w:spacing w:line="360" w:lineRule="auto"/>
              <w:ind w:firstLine="480" w:firstLineChars="200"/>
              <w:textAlignment w:val="baseline"/>
              <w:rPr>
                <w:color w:val="auto"/>
                <w:sz w:val="24"/>
              </w:rPr>
            </w:pPr>
            <w:r>
              <w:rPr>
                <w:rFonts w:hint="eastAsia"/>
                <w:snapToGrid w:val="0"/>
                <w:color w:val="auto"/>
                <w:sz w:val="24"/>
              </w:rPr>
              <w:t>为减少起尘量，本项目施工期拟于</w:t>
            </w:r>
            <w:r>
              <w:rPr>
                <w:rFonts w:hint="eastAsia"/>
                <w:snapToGrid w:val="0"/>
                <w:color w:val="auto"/>
                <w:sz w:val="24"/>
                <w:lang w:eastAsia="zh-CN"/>
              </w:rPr>
              <w:t>场地南侧</w:t>
            </w:r>
            <w:r>
              <w:rPr>
                <w:rFonts w:hint="eastAsia"/>
                <w:snapToGrid w:val="0"/>
                <w:color w:val="auto"/>
                <w:sz w:val="24"/>
              </w:rPr>
              <w:t>出入口设置洗车</w:t>
            </w:r>
            <w:r>
              <w:rPr>
                <w:rFonts w:hint="eastAsia"/>
                <w:snapToGrid w:val="0"/>
                <w:color w:val="auto"/>
                <w:sz w:val="24"/>
                <w:lang w:eastAsia="zh-CN"/>
              </w:rPr>
              <w:t>区</w:t>
            </w:r>
            <w:r>
              <w:rPr>
                <w:rFonts w:hint="eastAsia"/>
                <w:snapToGrid w:val="0"/>
                <w:color w:val="auto"/>
                <w:sz w:val="24"/>
              </w:rPr>
              <w:t>，对进出车辆进行冲洗、洒水降尘措施，可有效减少施工道路扬尘污染，限制车辆行驶速度，且车辆扬尘多属间歇性排放，其影响范围仅限于道路两侧附近，对周围环境质量空气影响较小。</w:t>
            </w:r>
          </w:p>
          <w:p w14:paraId="09BA755D">
            <w:pPr>
              <w:spacing w:line="360" w:lineRule="auto"/>
              <w:ind w:firstLine="482" w:firstLineChars="200"/>
              <w:textAlignment w:val="baseline"/>
              <w:rPr>
                <w:b/>
                <w:color w:val="auto"/>
                <w:sz w:val="24"/>
              </w:rPr>
            </w:pPr>
            <w:r>
              <w:rPr>
                <w:b/>
                <w:color w:val="auto"/>
                <w:sz w:val="24"/>
              </w:rPr>
              <w:t>2、施工机械废气</w:t>
            </w:r>
          </w:p>
          <w:p w14:paraId="0288088F">
            <w:pPr>
              <w:spacing w:line="360" w:lineRule="auto"/>
              <w:ind w:firstLine="480" w:firstLineChars="200"/>
              <w:textAlignment w:val="baseline"/>
              <w:rPr>
                <w:color w:val="auto"/>
                <w:sz w:val="24"/>
              </w:rPr>
            </w:pPr>
            <w:r>
              <w:rPr>
                <w:rFonts w:hint="eastAsia"/>
                <w:snapToGrid w:val="0"/>
                <w:color w:val="auto"/>
                <w:sz w:val="24"/>
              </w:rPr>
              <w:t>本项目施工场地车辆和各种燃油机械比较分散，尾气排放源强相对较小，主要污染因子为SO</w:t>
            </w:r>
            <w:r>
              <w:rPr>
                <w:rFonts w:hint="eastAsia"/>
                <w:snapToGrid w:val="0"/>
                <w:color w:val="auto"/>
                <w:sz w:val="24"/>
                <w:vertAlign w:val="subscript"/>
              </w:rPr>
              <w:t>2</w:t>
            </w:r>
            <w:r>
              <w:rPr>
                <w:rFonts w:hint="eastAsia"/>
                <w:snapToGrid w:val="0"/>
                <w:color w:val="auto"/>
                <w:sz w:val="24"/>
              </w:rPr>
              <w:t>、NOx、CO和未完全燃烧的THC，为非连续间歇式排放。由于施工时间短，废气产生量较小，且施工现场周围开阔，有利于废气的扩散，同时废气污染源具有间断和流动性的特点。在采取加强机械设备的保养与合理操作；多选择使用电动工具和低排放量的机械设备，禁止使用不能达标排放的机械设备；设计合理的施工流程，进行合理的施工组织安排，减少重复作业；严格控制运输时段和运输路线等措施后，施工机械废气和运输车辆尾气不会对周边大气环境造成明显不利影响。</w:t>
            </w:r>
          </w:p>
          <w:p w14:paraId="0DD2E233">
            <w:pPr>
              <w:spacing w:line="360" w:lineRule="auto"/>
              <w:ind w:firstLine="482" w:firstLineChars="200"/>
              <w:textAlignment w:val="baseline"/>
              <w:rPr>
                <w:b/>
                <w:color w:val="auto"/>
                <w:sz w:val="24"/>
              </w:rPr>
            </w:pPr>
            <w:r>
              <w:rPr>
                <w:b/>
                <w:color w:val="auto"/>
                <w:sz w:val="24"/>
              </w:rPr>
              <w:t>三、地表水环境影响分析</w:t>
            </w:r>
          </w:p>
          <w:p w14:paraId="501D9364">
            <w:pPr>
              <w:spacing w:line="360" w:lineRule="auto"/>
              <w:ind w:firstLine="480" w:firstLineChars="200"/>
              <w:textAlignment w:val="baseline"/>
              <w:rPr>
                <w:color w:val="auto"/>
                <w:sz w:val="24"/>
              </w:rPr>
            </w:pPr>
            <w:r>
              <w:rPr>
                <w:color w:val="auto"/>
                <w:sz w:val="24"/>
              </w:rPr>
              <w:t>施工期的废水来源为以下部分：一是工程建筑施工产生的施工生产废水，主要来源于施工机械以及施工运输车辆的冲洗废水。该废水中主要含泥砂等，悬浮物浓度较高，pH值呈弱碱性，并带有少量的油污；二是施工人员产生的生活污水，主要含COD、BOD</w:t>
            </w:r>
            <w:r>
              <w:rPr>
                <w:color w:val="auto"/>
                <w:sz w:val="24"/>
                <w:vertAlign w:val="subscript"/>
              </w:rPr>
              <w:t>5</w:t>
            </w:r>
            <w:r>
              <w:rPr>
                <w:color w:val="auto"/>
                <w:sz w:val="24"/>
              </w:rPr>
              <w:t>、氨氮、SS；三是管道闭水试验废水，主要污染物为SS。</w:t>
            </w:r>
          </w:p>
          <w:p w14:paraId="7C26DD04">
            <w:pPr>
              <w:spacing w:line="360" w:lineRule="auto"/>
              <w:ind w:firstLine="482" w:firstLineChars="200"/>
              <w:textAlignment w:val="baseline"/>
              <w:rPr>
                <w:b/>
                <w:color w:val="auto"/>
                <w:sz w:val="24"/>
              </w:rPr>
            </w:pPr>
            <w:r>
              <w:rPr>
                <w:b/>
                <w:color w:val="auto"/>
                <w:sz w:val="24"/>
              </w:rPr>
              <w:t>1、施工期生产废水影响分析</w:t>
            </w:r>
          </w:p>
          <w:p w14:paraId="659962B9">
            <w:pPr>
              <w:spacing w:line="360" w:lineRule="auto"/>
              <w:ind w:firstLine="480" w:firstLineChars="200"/>
              <w:textAlignment w:val="baseline"/>
              <w:rPr>
                <w:rFonts w:hint="eastAsia" w:eastAsia="宋体"/>
                <w:color w:val="auto"/>
                <w:sz w:val="24"/>
                <w:lang w:eastAsia="zh-CN"/>
              </w:rPr>
            </w:pPr>
            <w:r>
              <w:rPr>
                <w:color w:val="auto"/>
                <w:sz w:val="24"/>
              </w:rPr>
              <w:t>施工期间施工现场不设施工拌合站，施工生产废水主要为施工机械清洗、修理产生的废水以及施工工程开挖产生的泥浆水，</w:t>
            </w:r>
            <w:r>
              <w:rPr>
                <w:rFonts w:hint="eastAsia"/>
                <w:color w:val="auto"/>
                <w:sz w:val="24"/>
                <w:lang w:eastAsia="zh-CN"/>
              </w:rPr>
              <w:t>产生量约为</w:t>
            </w:r>
            <w:r>
              <w:rPr>
                <w:rFonts w:hint="eastAsia"/>
                <w:color w:val="auto"/>
                <w:sz w:val="24"/>
                <w:lang w:val="en-US" w:eastAsia="zh-CN"/>
              </w:rPr>
              <w:t>20</w:t>
            </w:r>
            <w:r>
              <w:rPr>
                <w:color w:val="auto"/>
                <w:sz w:val="24"/>
              </w:rPr>
              <w:t>m</w:t>
            </w:r>
            <w:r>
              <w:rPr>
                <w:color w:val="auto"/>
                <w:sz w:val="24"/>
                <w:vertAlign w:val="superscript"/>
              </w:rPr>
              <w:t>3</w:t>
            </w:r>
            <w:r>
              <w:rPr>
                <w:color w:val="auto"/>
                <w:sz w:val="24"/>
              </w:rPr>
              <w:t>/d</w:t>
            </w:r>
            <w:r>
              <w:rPr>
                <w:rFonts w:hint="eastAsia"/>
                <w:color w:val="auto"/>
                <w:sz w:val="24"/>
                <w:lang w:val="en-US" w:eastAsia="zh-CN"/>
              </w:rPr>
              <w:t>，</w:t>
            </w:r>
            <w:r>
              <w:rPr>
                <w:color w:val="auto"/>
                <w:sz w:val="24"/>
              </w:rPr>
              <w:t>主要含SS和石油类。</w:t>
            </w:r>
          </w:p>
          <w:p w14:paraId="22D4C15D">
            <w:pPr>
              <w:spacing w:line="360" w:lineRule="auto"/>
              <w:ind w:firstLine="480" w:firstLineChars="200"/>
              <w:textAlignment w:val="baseline"/>
              <w:rPr>
                <w:color w:val="auto"/>
                <w:sz w:val="24"/>
              </w:rPr>
            </w:pPr>
            <w:r>
              <w:rPr>
                <w:color w:val="auto"/>
                <w:sz w:val="24"/>
              </w:rPr>
              <w:t>施工期各类施工废水，若含油污水直接排入水体，在水体表面形成油膜，对河流水质造成一定的影响，因此</w:t>
            </w:r>
            <w:r>
              <w:rPr>
                <w:rFonts w:hint="eastAsia"/>
                <w:color w:val="auto"/>
                <w:sz w:val="24"/>
              </w:rPr>
              <w:t>拟在场地内</w:t>
            </w:r>
            <w:r>
              <w:rPr>
                <w:rFonts w:hint="eastAsia"/>
                <w:color w:val="auto"/>
                <w:sz w:val="24"/>
                <w:lang w:eastAsia="zh-CN"/>
              </w:rPr>
              <w:t>最低处南侧</w:t>
            </w:r>
            <w:r>
              <w:rPr>
                <w:color w:val="auto"/>
                <w:sz w:val="24"/>
              </w:rPr>
              <w:t>设置</w:t>
            </w:r>
            <w:r>
              <w:rPr>
                <w:rFonts w:hint="eastAsia"/>
                <w:color w:val="auto"/>
                <w:sz w:val="24"/>
              </w:rPr>
              <w:t>1个</w:t>
            </w:r>
            <w:r>
              <w:rPr>
                <w:color w:val="auto"/>
                <w:sz w:val="24"/>
              </w:rPr>
              <w:t>隔油沉淀池对</w:t>
            </w:r>
            <w:r>
              <w:rPr>
                <w:rFonts w:hint="eastAsia"/>
                <w:color w:val="auto"/>
                <w:sz w:val="24"/>
                <w:lang w:eastAsia="zh-CN"/>
              </w:rPr>
              <w:t>生产</w:t>
            </w:r>
            <w:r>
              <w:rPr>
                <w:color w:val="auto"/>
                <w:sz w:val="24"/>
              </w:rPr>
              <w:t>废水进行</w:t>
            </w:r>
            <w:r>
              <w:rPr>
                <w:rFonts w:hint="eastAsia"/>
                <w:color w:val="auto"/>
                <w:sz w:val="24"/>
                <w:lang w:eastAsia="zh-CN"/>
              </w:rPr>
              <w:t>隔油沉淀处理</w:t>
            </w:r>
            <w:r>
              <w:rPr>
                <w:color w:val="auto"/>
                <w:sz w:val="24"/>
              </w:rPr>
              <w:t>后回用于施工活动中，循环使用，不排入地表水体。因此，施工废水对周围水体不会产生影响。</w:t>
            </w:r>
          </w:p>
          <w:p w14:paraId="5EB66A7F">
            <w:pPr>
              <w:spacing w:line="360" w:lineRule="auto"/>
              <w:ind w:firstLine="482" w:firstLineChars="200"/>
              <w:textAlignment w:val="baseline"/>
              <w:rPr>
                <w:b/>
                <w:color w:val="auto"/>
                <w:sz w:val="24"/>
              </w:rPr>
            </w:pPr>
            <w:r>
              <w:rPr>
                <w:b/>
                <w:color w:val="auto"/>
                <w:sz w:val="24"/>
              </w:rPr>
              <w:t>2、施工人员生活污水影响分析</w:t>
            </w:r>
          </w:p>
          <w:p w14:paraId="473AC1FC">
            <w:pPr>
              <w:spacing w:line="360" w:lineRule="auto"/>
              <w:ind w:firstLine="480" w:firstLineChars="200"/>
              <w:textAlignment w:val="baseline"/>
              <w:rPr>
                <w:color w:val="auto"/>
                <w:sz w:val="24"/>
              </w:rPr>
            </w:pPr>
            <w:r>
              <w:rPr>
                <w:color w:val="auto"/>
                <w:sz w:val="24"/>
              </w:rPr>
              <w:t>本项目建设期施工最大人数为</w:t>
            </w:r>
            <w:r>
              <w:rPr>
                <w:rFonts w:hint="eastAsia"/>
                <w:color w:val="auto"/>
                <w:sz w:val="24"/>
              </w:rPr>
              <w:t>30</w:t>
            </w:r>
            <w:r>
              <w:rPr>
                <w:color w:val="auto"/>
                <w:sz w:val="24"/>
              </w:rPr>
              <w:t>人，施工期生活污水产生量为</w:t>
            </w:r>
            <w:r>
              <w:rPr>
                <w:rFonts w:hint="eastAsia"/>
                <w:color w:val="auto"/>
                <w:sz w:val="24"/>
                <w:lang w:val="en-US" w:eastAsia="zh-CN"/>
              </w:rPr>
              <w:t>3.6</w:t>
            </w:r>
            <w:r>
              <w:rPr>
                <w:color w:val="auto"/>
                <w:sz w:val="24"/>
              </w:rPr>
              <w:t>m</w:t>
            </w:r>
            <w:r>
              <w:rPr>
                <w:color w:val="auto"/>
                <w:sz w:val="24"/>
                <w:vertAlign w:val="superscript"/>
              </w:rPr>
              <w:t>3</w:t>
            </w:r>
            <w:r>
              <w:rPr>
                <w:color w:val="auto"/>
                <w:sz w:val="24"/>
              </w:rPr>
              <w:t>/d，施工人员产生的生活污水</w:t>
            </w:r>
            <w:r>
              <w:rPr>
                <w:rFonts w:hint="eastAsia"/>
                <w:color w:val="auto"/>
                <w:sz w:val="24"/>
              </w:rPr>
              <w:t>利用现有民房预处理池</w:t>
            </w:r>
            <w:r>
              <w:rPr>
                <w:color w:val="auto"/>
                <w:sz w:val="24"/>
              </w:rPr>
              <w:t>收集处理后外排市政污水管网，经南江县</w:t>
            </w:r>
            <w:r>
              <w:rPr>
                <w:rFonts w:hint="eastAsia"/>
                <w:color w:val="auto"/>
                <w:sz w:val="24"/>
              </w:rPr>
              <w:t>关坝镇</w:t>
            </w:r>
            <w:r>
              <w:rPr>
                <w:color w:val="auto"/>
                <w:sz w:val="24"/>
              </w:rPr>
              <w:t>污水处理站处理达标后排入</w:t>
            </w:r>
            <w:r>
              <w:rPr>
                <w:rFonts w:hint="eastAsia"/>
                <w:color w:val="auto"/>
                <w:sz w:val="24"/>
              </w:rPr>
              <w:t>南江河（马家河段）</w:t>
            </w:r>
            <w:r>
              <w:rPr>
                <w:color w:val="auto"/>
                <w:sz w:val="24"/>
              </w:rPr>
              <w:t>，不会对区域地表水体产生不利影响。</w:t>
            </w:r>
          </w:p>
          <w:p w14:paraId="3684275B">
            <w:pPr>
              <w:spacing w:line="360" w:lineRule="auto"/>
              <w:ind w:firstLine="482" w:firstLineChars="200"/>
              <w:textAlignment w:val="baseline"/>
              <w:rPr>
                <w:rFonts w:hint="eastAsia" w:eastAsia="宋体"/>
                <w:b/>
                <w:color w:val="auto"/>
                <w:sz w:val="24"/>
                <w:lang w:val="en-US" w:eastAsia="zh-CN"/>
              </w:rPr>
            </w:pPr>
            <w:r>
              <w:rPr>
                <w:rFonts w:hint="eastAsia"/>
                <w:b/>
                <w:color w:val="auto"/>
                <w:sz w:val="24"/>
                <w:lang w:val="en-US" w:eastAsia="zh-CN"/>
              </w:rPr>
              <w:t>3、施工对沟渠的影响</w:t>
            </w:r>
          </w:p>
          <w:p w14:paraId="50F6793C">
            <w:pPr>
              <w:spacing w:line="360" w:lineRule="auto"/>
              <w:ind w:firstLine="480" w:firstLineChars="200"/>
              <w:textAlignment w:val="baseline"/>
              <w:rPr>
                <w:rFonts w:hint="eastAsia" w:eastAsia="宋体"/>
                <w:b w:val="0"/>
                <w:bCs/>
                <w:color w:val="auto"/>
                <w:sz w:val="24"/>
                <w:lang w:eastAsia="zh-CN"/>
              </w:rPr>
            </w:pPr>
            <w:r>
              <w:rPr>
                <w:rFonts w:hint="eastAsia"/>
                <w:b w:val="0"/>
                <w:bCs/>
                <w:color w:val="auto"/>
                <w:sz w:val="24"/>
                <w:lang w:eastAsia="zh-CN"/>
              </w:rPr>
              <w:t>项目东南侧占用亲民渠</w:t>
            </w:r>
            <w:r>
              <w:rPr>
                <w:rFonts w:hint="eastAsia"/>
                <w:b w:val="0"/>
                <w:bCs/>
                <w:color w:val="auto"/>
                <w:sz w:val="24"/>
                <w:lang w:val="en-US" w:eastAsia="zh-CN"/>
              </w:rPr>
              <w:t>130m，亲民渠为人工开挖的灌溉沟渠，本项目施工过程中对亲民渠进行改道，沿项目厂界南侧设置。项目施工废水经处理后回用，不外排，生活污水经处理达标后排放至市政管道，废水不排入亲民渠，沟渠改道后对其影响小。</w:t>
            </w:r>
          </w:p>
          <w:p w14:paraId="48AED6DE">
            <w:pPr>
              <w:spacing w:line="360" w:lineRule="auto"/>
              <w:ind w:firstLine="482" w:firstLineChars="200"/>
              <w:textAlignment w:val="baseline"/>
              <w:rPr>
                <w:b/>
                <w:color w:val="auto"/>
                <w:sz w:val="24"/>
              </w:rPr>
            </w:pPr>
            <w:r>
              <w:rPr>
                <w:b/>
                <w:color w:val="auto"/>
                <w:sz w:val="24"/>
              </w:rPr>
              <w:t>综上，本项目施工期产生的各项废水经过合理处理处置，可将影响控制在可接受范围内。</w:t>
            </w:r>
          </w:p>
          <w:p w14:paraId="6CB966D6">
            <w:pPr>
              <w:spacing w:line="360" w:lineRule="auto"/>
              <w:ind w:firstLine="482" w:firstLineChars="200"/>
              <w:textAlignment w:val="baseline"/>
              <w:rPr>
                <w:b/>
                <w:color w:val="auto"/>
                <w:sz w:val="24"/>
              </w:rPr>
            </w:pPr>
            <w:r>
              <w:rPr>
                <w:b/>
                <w:color w:val="auto"/>
                <w:sz w:val="24"/>
              </w:rPr>
              <w:t>四、噪声影响分析</w:t>
            </w:r>
          </w:p>
          <w:p w14:paraId="01B63ADD">
            <w:pPr>
              <w:spacing w:line="360" w:lineRule="auto"/>
              <w:ind w:firstLine="482" w:firstLineChars="200"/>
              <w:textAlignment w:val="baseline"/>
              <w:rPr>
                <w:b/>
                <w:color w:val="auto"/>
                <w:sz w:val="24"/>
              </w:rPr>
            </w:pPr>
            <w:r>
              <w:rPr>
                <w:b/>
                <w:color w:val="auto"/>
                <w:sz w:val="24"/>
              </w:rPr>
              <w:t>1、施工期噪声源分析</w:t>
            </w:r>
          </w:p>
          <w:p w14:paraId="1BE854F5">
            <w:pPr>
              <w:spacing w:line="360" w:lineRule="auto"/>
              <w:ind w:firstLine="480" w:firstLineChars="200"/>
              <w:textAlignment w:val="baseline"/>
              <w:rPr>
                <w:color w:val="auto"/>
                <w:sz w:val="24"/>
              </w:rPr>
            </w:pPr>
            <w:r>
              <w:rPr>
                <w:color w:val="auto"/>
                <w:sz w:val="24"/>
              </w:rPr>
              <w:t>施工现场的各类机械设备包括装载机、挖掘机、推土机及振捣机等，这类机械是最主要的施工噪声源。另外，施工中土石方调配，设备、材料运输将动用大量运输车辆，这些运输车辆特别是重载卡车噪声辐射强度较高，对其频繁行使经过的施工现场和既有道路周围环境将产生较大干扰。</w:t>
            </w:r>
          </w:p>
          <w:p w14:paraId="6931B837">
            <w:pPr>
              <w:spacing w:line="360" w:lineRule="auto"/>
              <w:ind w:firstLine="480" w:firstLineChars="200"/>
              <w:textAlignment w:val="baseline"/>
              <w:rPr>
                <w:color w:val="auto"/>
                <w:sz w:val="24"/>
              </w:rPr>
            </w:pPr>
            <w:r>
              <w:rPr>
                <w:color w:val="auto"/>
                <w:sz w:val="24"/>
              </w:rPr>
              <w:t>常用施工机械噪声源强见表4-</w:t>
            </w:r>
            <w:r>
              <w:rPr>
                <w:rFonts w:hint="eastAsia"/>
                <w:color w:val="auto"/>
                <w:sz w:val="24"/>
              </w:rPr>
              <w:t>2。</w:t>
            </w:r>
          </w:p>
          <w:p w14:paraId="571009CF">
            <w:pPr>
              <w:jc w:val="center"/>
              <w:textAlignment w:val="baseline"/>
              <w:rPr>
                <w:b/>
                <w:color w:val="auto"/>
              </w:rPr>
            </w:pPr>
            <w:r>
              <w:rPr>
                <w:b/>
                <w:color w:val="auto"/>
              </w:rPr>
              <w:t>表4-</w:t>
            </w:r>
            <w:r>
              <w:rPr>
                <w:rFonts w:hint="eastAsia"/>
                <w:b/>
                <w:color w:val="auto"/>
              </w:rPr>
              <w:t>2</w:t>
            </w:r>
            <w:r>
              <w:rPr>
                <w:b/>
                <w:color w:val="auto"/>
              </w:rPr>
              <w:t xml:space="preserve">    主要产噪施工机械噪声源强</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2618"/>
              <w:gridCol w:w="1762"/>
              <w:gridCol w:w="1643"/>
              <w:gridCol w:w="2124"/>
            </w:tblGrid>
            <w:tr w14:paraId="3AC7AF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18" w:type="dxa"/>
                  <w:tcBorders>
                    <w:tl2br w:val="nil"/>
                    <w:tr2bl w:val="nil"/>
                  </w:tcBorders>
                  <w:vAlign w:val="center"/>
                </w:tcPr>
                <w:p w14:paraId="4DE063F3">
                  <w:pPr>
                    <w:kinsoku w:val="0"/>
                    <w:overflowPunct w:val="0"/>
                    <w:autoSpaceDE w:val="0"/>
                    <w:autoSpaceDN w:val="0"/>
                    <w:adjustRightInd w:val="0"/>
                    <w:jc w:val="center"/>
                    <w:rPr>
                      <w:b/>
                      <w:bCs/>
                      <w:color w:val="auto"/>
                      <w:kern w:val="0"/>
                      <w:szCs w:val="21"/>
                    </w:rPr>
                  </w:pPr>
                  <w:r>
                    <w:rPr>
                      <w:b/>
                      <w:bCs/>
                      <w:color w:val="auto"/>
                      <w:kern w:val="0"/>
                      <w:szCs w:val="21"/>
                    </w:rPr>
                    <w:t>机械类型</w:t>
                  </w:r>
                </w:p>
              </w:tc>
              <w:tc>
                <w:tcPr>
                  <w:tcW w:w="1762" w:type="dxa"/>
                  <w:tcBorders>
                    <w:tl2br w:val="nil"/>
                    <w:tr2bl w:val="nil"/>
                  </w:tcBorders>
                  <w:vAlign w:val="center"/>
                </w:tcPr>
                <w:p w14:paraId="67DF0E3E">
                  <w:pPr>
                    <w:kinsoku w:val="0"/>
                    <w:overflowPunct w:val="0"/>
                    <w:autoSpaceDE w:val="0"/>
                    <w:autoSpaceDN w:val="0"/>
                    <w:adjustRightInd w:val="0"/>
                    <w:jc w:val="center"/>
                    <w:rPr>
                      <w:b/>
                      <w:bCs/>
                      <w:color w:val="auto"/>
                      <w:kern w:val="0"/>
                      <w:szCs w:val="21"/>
                    </w:rPr>
                  </w:pPr>
                  <w:r>
                    <w:rPr>
                      <w:b/>
                      <w:bCs/>
                      <w:color w:val="auto"/>
                      <w:kern w:val="0"/>
                      <w:szCs w:val="21"/>
                    </w:rPr>
                    <w:t>数量</w:t>
                  </w:r>
                </w:p>
              </w:tc>
              <w:tc>
                <w:tcPr>
                  <w:tcW w:w="1643" w:type="dxa"/>
                  <w:tcBorders>
                    <w:tl2br w:val="nil"/>
                    <w:tr2bl w:val="nil"/>
                  </w:tcBorders>
                  <w:vAlign w:val="center"/>
                </w:tcPr>
                <w:p w14:paraId="0520F0AA">
                  <w:pPr>
                    <w:kinsoku w:val="0"/>
                    <w:overflowPunct w:val="0"/>
                    <w:autoSpaceDE w:val="0"/>
                    <w:autoSpaceDN w:val="0"/>
                    <w:adjustRightInd w:val="0"/>
                    <w:jc w:val="center"/>
                    <w:rPr>
                      <w:b/>
                      <w:bCs/>
                      <w:color w:val="auto"/>
                      <w:kern w:val="0"/>
                      <w:szCs w:val="21"/>
                    </w:rPr>
                  </w:pPr>
                  <w:r>
                    <w:rPr>
                      <w:b/>
                      <w:bCs/>
                      <w:color w:val="auto"/>
                      <w:kern w:val="0"/>
                      <w:szCs w:val="21"/>
                    </w:rPr>
                    <w:t>声源距</w:t>
                  </w:r>
                  <w:r>
                    <w:rPr>
                      <w:b/>
                      <w:bCs/>
                      <w:color w:val="auto"/>
                      <w:spacing w:val="-2"/>
                      <w:kern w:val="0"/>
                      <w:szCs w:val="21"/>
                    </w:rPr>
                    <w:t>离</w:t>
                  </w:r>
                  <w:r>
                    <w:rPr>
                      <w:b/>
                      <w:bCs/>
                      <w:color w:val="auto"/>
                      <w:kern w:val="0"/>
                      <w:szCs w:val="21"/>
                    </w:rPr>
                    <w:t>（</w:t>
                  </w:r>
                  <w:r>
                    <w:rPr>
                      <w:b/>
                      <w:bCs/>
                      <w:color w:val="auto"/>
                      <w:spacing w:val="-2"/>
                      <w:kern w:val="0"/>
                      <w:szCs w:val="21"/>
                    </w:rPr>
                    <w:t>m</w:t>
                  </w:r>
                  <w:r>
                    <w:rPr>
                      <w:b/>
                      <w:bCs/>
                      <w:color w:val="auto"/>
                      <w:kern w:val="0"/>
                      <w:szCs w:val="21"/>
                    </w:rPr>
                    <w:t>）</w:t>
                  </w:r>
                </w:p>
              </w:tc>
              <w:tc>
                <w:tcPr>
                  <w:tcW w:w="2124" w:type="dxa"/>
                  <w:tcBorders>
                    <w:tl2br w:val="nil"/>
                    <w:tr2bl w:val="nil"/>
                  </w:tcBorders>
                  <w:vAlign w:val="center"/>
                </w:tcPr>
                <w:p w14:paraId="20C85D3E">
                  <w:pPr>
                    <w:kinsoku w:val="0"/>
                    <w:overflowPunct w:val="0"/>
                    <w:autoSpaceDE w:val="0"/>
                    <w:autoSpaceDN w:val="0"/>
                    <w:adjustRightInd w:val="0"/>
                    <w:jc w:val="center"/>
                    <w:rPr>
                      <w:b/>
                      <w:bCs/>
                      <w:color w:val="auto"/>
                      <w:kern w:val="0"/>
                      <w:szCs w:val="21"/>
                    </w:rPr>
                  </w:pPr>
                  <w:r>
                    <w:rPr>
                      <w:b/>
                      <w:bCs/>
                      <w:color w:val="auto"/>
                      <w:kern w:val="0"/>
                      <w:szCs w:val="21"/>
                    </w:rPr>
                    <w:t>最大</w:t>
                  </w:r>
                  <w:r>
                    <w:rPr>
                      <w:b/>
                      <w:bCs/>
                      <w:color w:val="auto"/>
                      <w:spacing w:val="-2"/>
                      <w:kern w:val="0"/>
                      <w:szCs w:val="21"/>
                    </w:rPr>
                    <w:t>声</w:t>
                  </w:r>
                  <w:r>
                    <w:rPr>
                      <w:b/>
                      <w:bCs/>
                      <w:color w:val="auto"/>
                      <w:kern w:val="0"/>
                      <w:szCs w:val="21"/>
                    </w:rPr>
                    <w:t>级</w:t>
                  </w:r>
                  <w:r>
                    <w:rPr>
                      <w:b/>
                      <w:bCs/>
                      <w:color w:val="auto"/>
                      <w:spacing w:val="-50"/>
                      <w:kern w:val="0"/>
                      <w:szCs w:val="21"/>
                    </w:rPr>
                    <w:t xml:space="preserve"> </w:t>
                  </w:r>
                  <w:r>
                    <w:rPr>
                      <w:b/>
                      <w:bCs/>
                      <w:color w:val="auto"/>
                      <w:spacing w:val="-1"/>
                      <w:kern w:val="0"/>
                      <w:szCs w:val="21"/>
                    </w:rPr>
                    <w:t>L</w:t>
                  </w:r>
                  <w:r>
                    <w:rPr>
                      <w:b/>
                      <w:bCs/>
                      <w:color w:val="auto"/>
                      <w:kern w:val="0"/>
                      <w:szCs w:val="21"/>
                    </w:rPr>
                    <w:t>m</w:t>
                  </w:r>
                  <w:r>
                    <w:rPr>
                      <w:b/>
                      <w:bCs/>
                      <w:color w:val="auto"/>
                      <w:spacing w:val="-2"/>
                      <w:kern w:val="0"/>
                      <w:szCs w:val="21"/>
                    </w:rPr>
                    <w:t>a</w:t>
                  </w:r>
                  <w:r>
                    <w:rPr>
                      <w:b/>
                      <w:bCs/>
                      <w:color w:val="auto"/>
                      <w:kern w:val="0"/>
                      <w:szCs w:val="21"/>
                    </w:rPr>
                    <w:t>x</w:t>
                  </w:r>
                  <w:r>
                    <w:rPr>
                      <w:b/>
                      <w:bCs/>
                      <w:color w:val="auto"/>
                      <w:spacing w:val="-2"/>
                      <w:kern w:val="0"/>
                      <w:szCs w:val="21"/>
                    </w:rPr>
                    <w:t>（</w:t>
                  </w:r>
                  <w:r>
                    <w:rPr>
                      <w:b/>
                      <w:bCs/>
                      <w:color w:val="auto"/>
                      <w:kern w:val="0"/>
                      <w:szCs w:val="21"/>
                    </w:rPr>
                    <w:t>d</w:t>
                  </w:r>
                  <w:r>
                    <w:rPr>
                      <w:b/>
                      <w:bCs/>
                      <w:color w:val="auto"/>
                      <w:spacing w:val="-1"/>
                      <w:kern w:val="0"/>
                      <w:szCs w:val="21"/>
                    </w:rPr>
                    <w:t>B</w:t>
                  </w:r>
                  <w:r>
                    <w:rPr>
                      <w:b/>
                      <w:bCs/>
                      <w:color w:val="auto"/>
                      <w:kern w:val="0"/>
                      <w:szCs w:val="21"/>
                    </w:rPr>
                    <w:t>）</w:t>
                  </w:r>
                </w:p>
              </w:tc>
            </w:tr>
            <w:tr w14:paraId="6617A1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18" w:type="dxa"/>
                  <w:tcBorders>
                    <w:tl2br w:val="nil"/>
                    <w:tr2bl w:val="nil"/>
                  </w:tcBorders>
                  <w:vAlign w:val="center"/>
                </w:tcPr>
                <w:p w14:paraId="68DA7438">
                  <w:pPr>
                    <w:kinsoku w:val="0"/>
                    <w:overflowPunct w:val="0"/>
                    <w:autoSpaceDE w:val="0"/>
                    <w:autoSpaceDN w:val="0"/>
                    <w:adjustRightInd w:val="0"/>
                    <w:jc w:val="center"/>
                    <w:rPr>
                      <w:color w:val="auto"/>
                      <w:kern w:val="0"/>
                      <w:szCs w:val="21"/>
                    </w:rPr>
                  </w:pPr>
                  <w:r>
                    <w:rPr>
                      <w:color w:val="auto"/>
                      <w:kern w:val="0"/>
                      <w:szCs w:val="21"/>
                    </w:rPr>
                    <w:t>挖掘机</w:t>
                  </w:r>
                </w:p>
              </w:tc>
              <w:tc>
                <w:tcPr>
                  <w:tcW w:w="1762" w:type="dxa"/>
                  <w:tcBorders>
                    <w:tl2br w:val="nil"/>
                    <w:tr2bl w:val="nil"/>
                  </w:tcBorders>
                  <w:vAlign w:val="center"/>
                </w:tcPr>
                <w:p w14:paraId="7ABD05FC">
                  <w:pPr>
                    <w:kinsoku w:val="0"/>
                    <w:overflowPunct w:val="0"/>
                    <w:autoSpaceDE w:val="0"/>
                    <w:autoSpaceDN w:val="0"/>
                    <w:adjustRightInd w:val="0"/>
                    <w:jc w:val="center"/>
                    <w:rPr>
                      <w:rFonts w:hint="eastAsia" w:eastAsia="宋体"/>
                      <w:color w:val="auto"/>
                      <w:kern w:val="0"/>
                      <w:szCs w:val="21"/>
                      <w:lang w:eastAsia="zh-CN"/>
                    </w:rPr>
                  </w:pPr>
                  <w:r>
                    <w:rPr>
                      <w:rFonts w:hint="eastAsia"/>
                      <w:color w:val="auto"/>
                      <w:kern w:val="0"/>
                      <w:szCs w:val="21"/>
                      <w:lang w:val="en-US" w:eastAsia="zh-CN"/>
                    </w:rPr>
                    <w:t>3</w:t>
                  </w:r>
                </w:p>
              </w:tc>
              <w:tc>
                <w:tcPr>
                  <w:tcW w:w="1643" w:type="dxa"/>
                  <w:tcBorders>
                    <w:tl2br w:val="nil"/>
                    <w:tr2bl w:val="nil"/>
                  </w:tcBorders>
                  <w:vAlign w:val="center"/>
                </w:tcPr>
                <w:p w14:paraId="151FF574">
                  <w:pPr>
                    <w:kinsoku w:val="0"/>
                    <w:overflowPunct w:val="0"/>
                    <w:autoSpaceDE w:val="0"/>
                    <w:autoSpaceDN w:val="0"/>
                    <w:adjustRightInd w:val="0"/>
                    <w:jc w:val="center"/>
                    <w:rPr>
                      <w:rFonts w:hint="eastAsia" w:eastAsia="宋体"/>
                      <w:color w:val="auto"/>
                      <w:kern w:val="0"/>
                      <w:szCs w:val="21"/>
                      <w:lang w:eastAsia="zh-CN"/>
                    </w:rPr>
                  </w:pPr>
                  <w:r>
                    <w:rPr>
                      <w:rFonts w:hint="eastAsia"/>
                      <w:color w:val="auto"/>
                      <w:kern w:val="0"/>
                      <w:szCs w:val="21"/>
                      <w:lang w:val="en-US" w:eastAsia="zh-CN"/>
                    </w:rPr>
                    <w:t>5</w:t>
                  </w:r>
                </w:p>
              </w:tc>
              <w:tc>
                <w:tcPr>
                  <w:tcW w:w="2124" w:type="dxa"/>
                  <w:tcBorders>
                    <w:tl2br w:val="nil"/>
                    <w:tr2bl w:val="nil"/>
                  </w:tcBorders>
                  <w:vAlign w:val="center"/>
                </w:tcPr>
                <w:p w14:paraId="708EE081">
                  <w:pPr>
                    <w:kinsoku w:val="0"/>
                    <w:overflowPunct w:val="0"/>
                    <w:autoSpaceDE w:val="0"/>
                    <w:autoSpaceDN w:val="0"/>
                    <w:adjustRightInd w:val="0"/>
                    <w:jc w:val="center"/>
                    <w:rPr>
                      <w:rFonts w:hint="default" w:eastAsia="宋体"/>
                      <w:color w:val="auto"/>
                      <w:kern w:val="0"/>
                      <w:szCs w:val="21"/>
                      <w:lang w:val="en-US" w:eastAsia="zh-CN"/>
                    </w:rPr>
                  </w:pPr>
                  <w:r>
                    <w:rPr>
                      <w:rFonts w:hint="eastAsia"/>
                      <w:color w:val="auto"/>
                      <w:kern w:val="0"/>
                      <w:szCs w:val="21"/>
                      <w:lang w:val="en-US" w:eastAsia="zh-CN"/>
                    </w:rPr>
                    <w:t>85</w:t>
                  </w:r>
                </w:p>
              </w:tc>
            </w:tr>
            <w:tr w14:paraId="3AD1AD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18" w:type="dxa"/>
                  <w:tcBorders>
                    <w:tl2br w:val="nil"/>
                    <w:tr2bl w:val="nil"/>
                  </w:tcBorders>
                  <w:vAlign w:val="center"/>
                </w:tcPr>
                <w:p w14:paraId="580D28F9">
                  <w:pPr>
                    <w:kinsoku w:val="0"/>
                    <w:overflowPunct w:val="0"/>
                    <w:autoSpaceDE w:val="0"/>
                    <w:autoSpaceDN w:val="0"/>
                    <w:adjustRightInd w:val="0"/>
                    <w:jc w:val="center"/>
                    <w:rPr>
                      <w:color w:val="auto"/>
                      <w:kern w:val="0"/>
                      <w:szCs w:val="21"/>
                    </w:rPr>
                  </w:pPr>
                  <w:r>
                    <w:rPr>
                      <w:color w:val="auto"/>
                      <w:kern w:val="0"/>
                      <w:szCs w:val="21"/>
                    </w:rPr>
                    <w:t>装载机</w:t>
                  </w:r>
                </w:p>
              </w:tc>
              <w:tc>
                <w:tcPr>
                  <w:tcW w:w="1762" w:type="dxa"/>
                  <w:tcBorders>
                    <w:tl2br w:val="nil"/>
                    <w:tr2bl w:val="nil"/>
                  </w:tcBorders>
                  <w:vAlign w:val="center"/>
                </w:tcPr>
                <w:p w14:paraId="7C335A5F">
                  <w:pPr>
                    <w:kinsoku w:val="0"/>
                    <w:overflowPunct w:val="0"/>
                    <w:autoSpaceDE w:val="0"/>
                    <w:autoSpaceDN w:val="0"/>
                    <w:adjustRightInd w:val="0"/>
                    <w:jc w:val="center"/>
                    <w:rPr>
                      <w:rFonts w:hint="eastAsia" w:eastAsia="宋体"/>
                      <w:color w:val="auto"/>
                      <w:kern w:val="0"/>
                      <w:szCs w:val="21"/>
                      <w:lang w:eastAsia="zh-CN"/>
                    </w:rPr>
                  </w:pPr>
                  <w:r>
                    <w:rPr>
                      <w:rFonts w:hint="eastAsia"/>
                      <w:color w:val="auto"/>
                      <w:kern w:val="0"/>
                      <w:szCs w:val="21"/>
                      <w:lang w:val="en-US" w:eastAsia="zh-CN"/>
                    </w:rPr>
                    <w:t>2</w:t>
                  </w:r>
                </w:p>
              </w:tc>
              <w:tc>
                <w:tcPr>
                  <w:tcW w:w="1643" w:type="dxa"/>
                  <w:tcBorders>
                    <w:tl2br w:val="nil"/>
                    <w:tr2bl w:val="nil"/>
                  </w:tcBorders>
                  <w:vAlign w:val="center"/>
                </w:tcPr>
                <w:p w14:paraId="663EA44A">
                  <w:pPr>
                    <w:kinsoku w:val="0"/>
                    <w:overflowPunct w:val="0"/>
                    <w:autoSpaceDE w:val="0"/>
                    <w:autoSpaceDN w:val="0"/>
                    <w:adjustRightInd w:val="0"/>
                    <w:jc w:val="center"/>
                    <w:rPr>
                      <w:rFonts w:hint="eastAsia" w:eastAsia="宋体"/>
                      <w:color w:val="auto"/>
                      <w:kern w:val="0"/>
                      <w:szCs w:val="21"/>
                      <w:lang w:eastAsia="zh-CN"/>
                    </w:rPr>
                  </w:pPr>
                  <w:r>
                    <w:rPr>
                      <w:rFonts w:hint="eastAsia"/>
                      <w:color w:val="auto"/>
                      <w:kern w:val="0"/>
                      <w:szCs w:val="21"/>
                      <w:lang w:val="en-US" w:eastAsia="zh-CN"/>
                    </w:rPr>
                    <w:t>5</w:t>
                  </w:r>
                </w:p>
              </w:tc>
              <w:tc>
                <w:tcPr>
                  <w:tcW w:w="2124" w:type="dxa"/>
                  <w:tcBorders>
                    <w:tl2br w:val="nil"/>
                    <w:tr2bl w:val="nil"/>
                  </w:tcBorders>
                  <w:vAlign w:val="center"/>
                </w:tcPr>
                <w:p w14:paraId="4C76A3C3">
                  <w:pPr>
                    <w:kinsoku w:val="0"/>
                    <w:overflowPunct w:val="0"/>
                    <w:autoSpaceDE w:val="0"/>
                    <w:autoSpaceDN w:val="0"/>
                    <w:adjustRightInd w:val="0"/>
                    <w:jc w:val="center"/>
                    <w:rPr>
                      <w:rFonts w:hint="default" w:eastAsia="宋体"/>
                      <w:color w:val="auto"/>
                      <w:kern w:val="0"/>
                      <w:szCs w:val="21"/>
                      <w:lang w:val="en-US" w:eastAsia="zh-CN"/>
                    </w:rPr>
                  </w:pPr>
                  <w:r>
                    <w:rPr>
                      <w:rFonts w:hint="eastAsia"/>
                      <w:color w:val="auto"/>
                      <w:kern w:val="0"/>
                      <w:szCs w:val="21"/>
                      <w:lang w:val="en-US" w:eastAsia="zh-CN"/>
                    </w:rPr>
                    <w:t>90</w:t>
                  </w:r>
                </w:p>
              </w:tc>
            </w:tr>
            <w:tr w14:paraId="607166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18" w:type="dxa"/>
                  <w:tcBorders>
                    <w:tl2br w:val="nil"/>
                    <w:tr2bl w:val="nil"/>
                  </w:tcBorders>
                  <w:vAlign w:val="center"/>
                </w:tcPr>
                <w:p w14:paraId="7B12757D">
                  <w:pPr>
                    <w:kinsoku w:val="0"/>
                    <w:overflowPunct w:val="0"/>
                    <w:autoSpaceDE w:val="0"/>
                    <w:autoSpaceDN w:val="0"/>
                    <w:adjustRightInd w:val="0"/>
                    <w:jc w:val="center"/>
                    <w:rPr>
                      <w:color w:val="auto"/>
                      <w:kern w:val="0"/>
                      <w:szCs w:val="21"/>
                    </w:rPr>
                  </w:pPr>
                  <w:r>
                    <w:rPr>
                      <w:rFonts w:hint="default" w:ascii="Times New Roman"/>
                      <w:color w:val="auto"/>
                      <w:szCs w:val="21"/>
                    </w:rPr>
                    <w:t>振捣器</w:t>
                  </w:r>
                </w:p>
              </w:tc>
              <w:tc>
                <w:tcPr>
                  <w:tcW w:w="1762" w:type="dxa"/>
                  <w:tcBorders>
                    <w:tl2br w:val="nil"/>
                    <w:tr2bl w:val="nil"/>
                  </w:tcBorders>
                  <w:vAlign w:val="center"/>
                </w:tcPr>
                <w:p w14:paraId="151E8FDD">
                  <w:pPr>
                    <w:kinsoku w:val="0"/>
                    <w:overflowPunct w:val="0"/>
                    <w:autoSpaceDE w:val="0"/>
                    <w:autoSpaceDN w:val="0"/>
                    <w:adjustRightInd w:val="0"/>
                    <w:jc w:val="center"/>
                    <w:rPr>
                      <w:rFonts w:hint="eastAsia" w:eastAsia="宋体"/>
                      <w:color w:val="auto"/>
                      <w:kern w:val="0"/>
                      <w:szCs w:val="21"/>
                      <w:lang w:eastAsia="zh-CN"/>
                    </w:rPr>
                  </w:pPr>
                  <w:r>
                    <w:rPr>
                      <w:rFonts w:hint="eastAsia"/>
                      <w:color w:val="auto"/>
                      <w:kern w:val="0"/>
                      <w:szCs w:val="21"/>
                      <w:lang w:val="en-US" w:eastAsia="zh-CN"/>
                    </w:rPr>
                    <w:t>5</w:t>
                  </w:r>
                </w:p>
              </w:tc>
              <w:tc>
                <w:tcPr>
                  <w:tcW w:w="1643" w:type="dxa"/>
                  <w:tcBorders>
                    <w:tl2br w:val="nil"/>
                    <w:tr2bl w:val="nil"/>
                  </w:tcBorders>
                  <w:vAlign w:val="center"/>
                </w:tcPr>
                <w:p w14:paraId="4FEFDA02">
                  <w:pPr>
                    <w:kinsoku w:val="0"/>
                    <w:overflowPunct w:val="0"/>
                    <w:autoSpaceDE w:val="0"/>
                    <w:autoSpaceDN w:val="0"/>
                    <w:adjustRightInd w:val="0"/>
                    <w:jc w:val="center"/>
                    <w:rPr>
                      <w:rFonts w:hint="eastAsia" w:eastAsia="宋体"/>
                      <w:color w:val="auto"/>
                      <w:kern w:val="0"/>
                      <w:szCs w:val="21"/>
                      <w:lang w:eastAsia="zh-CN"/>
                    </w:rPr>
                  </w:pPr>
                  <w:r>
                    <w:rPr>
                      <w:rFonts w:hint="eastAsia"/>
                      <w:color w:val="auto"/>
                      <w:kern w:val="0"/>
                      <w:szCs w:val="21"/>
                      <w:lang w:val="en-US" w:eastAsia="zh-CN"/>
                    </w:rPr>
                    <w:t>5</w:t>
                  </w:r>
                </w:p>
              </w:tc>
              <w:tc>
                <w:tcPr>
                  <w:tcW w:w="2124" w:type="dxa"/>
                  <w:tcBorders>
                    <w:tl2br w:val="nil"/>
                    <w:tr2bl w:val="nil"/>
                  </w:tcBorders>
                  <w:vAlign w:val="center"/>
                </w:tcPr>
                <w:p w14:paraId="6ABA383E">
                  <w:pPr>
                    <w:kinsoku w:val="0"/>
                    <w:overflowPunct w:val="0"/>
                    <w:autoSpaceDE w:val="0"/>
                    <w:autoSpaceDN w:val="0"/>
                    <w:adjustRightInd w:val="0"/>
                    <w:jc w:val="center"/>
                    <w:rPr>
                      <w:rFonts w:hint="default" w:eastAsia="宋体"/>
                      <w:color w:val="auto"/>
                      <w:kern w:val="0"/>
                      <w:szCs w:val="21"/>
                      <w:lang w:val="en-US" w:eastAsia="zh-CN"/>
                    </w:rPr>
                  </w:pPr>
                  <w:r>
                    <w:rPr>
                      <w:rFonts w:hint="eastAsia"/>
                      <w:color w:val="auto"/>
                      <w:kern w:val="0"/>
                      <w:szCs w:val="21"/>
                      <w:lang w:val="en-US" w:eastAsia="zh-CN"/>
                    </w:rPr>
                    <w:t>85</w:t>
                  </w:r>
                </w:p>
              </w:tc>
            </w:tr>
            <w:tr w14:paraId="7FEA56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18" w:type="dxa"/>
                  <w:tcBorders>
                    <w:tl2br w:val="nil"/>
                    <w:tr2bl w:val="nil"/>
                  </w:tcBorders>
                  <w:vAlign w:val="center"/>
                </w:tcPr>
                <w:p w14:paraId="198CBA47">
                  <w:pPr>
                    <w:kinsoku w:val="0"/>
                    <w:overflowPunct w:val="0"/>
                    <w:autoSpaceDE w:val="0"/>
                    <w:autoSpaceDN w:val="0"/>
                    <w:adjustRightInd w:val="0"/>
                    <w:jc w:val="center"/>
                    <w:rPr>
                      <w:color w:val="auto"/>
                      <w:kern w:val="0"/>
                      <w:szCs w:val="21"/>
                    </w:rPr>
                  </w:pPr>
                  <w:r>
                    <w:rPr>
                      <w:color w:val="auto"/>
                      <w:kern w:val="0"/>
                      <w:szCs w:val="21"/>
                    </w:rPr>
                    <w:t>运输车辆</w:t>
                  </w:r>
                </w:p>
              </w:tc>
              <w:tc>
                <w:tcPr>
                  <w:tcW w:w="1762" w:type="dxa"/>
                  <w:tcBorders>
                    <w:tl2br w:val="nil"/>
                    <w:tr2bl w:val="nil"/>
                  </w:tcBorders>
                  <w:vAlign w:val="center"/>
                </w:tcPr>
                <w:p w14:paraId="2DECD784">
                  <w:pPr>
                    <w:kinsoku w:val="0"/>
                    <w:overflowPunct w:val="0"/>
                    <w:autoSpaceDE w:val="0"/>
                    <w:autoSpaceDN w:val="0"/>
                    <w:adjustRightInd w:val="0"/>
                    <w:jc w:val="center"/>
                    <w:rPr>
                      <w:rFonts w:hint="eastAsia" w:eastAsia="宋体"/>
                      <w:color w:val="auto"/>
                      <w:kern w:val="0"/>
                      <w:szCs w:val="21"/>
                      <w:lang w:eastAsia="zh-CN"/>
                    </w:rPr>
                  </w:pPr>
                  <w:r>
                    <w:rPr>
                      <w:rFonts w:hint="eastAsia"/>
                      <w:color w:val="auto"/>
                      <w:kern w:val="0"/>
                      <w:szCs w:val="21"/>
                      <w:lang w:val="en-US" w:eastAsia="zh-CN"/>
                    </w:rPr>
                    <w:t>8</w:t>
                  </w:r>
                </w:p>
              </w:tc>
              <w:tc>
                <w:tcPr>
                  <w:tcW w:w="1643" w:type="dxa"/>
                  <w:tcBorders>
                    <w:tl2br w:val="nil"/>
                    <w:tr2bl w:val="nil"/>
                  </w:tcBorders>
                  <w:vAlign w:val="center"/>
                </w:tcPr>
                <w:p w14:paraId="4E46DD69">
                  <w:pPr>
                    <w:kinsoku w:val="0"/>
                    <w:overflowPunct w:val="0"/>
                    <w:autoSpaceDE w:val="0"/>
                    <w:autoSpaceDN w:val="0"/>
                    <w:adjustRightInd w:val="0"/>
                    <w:jc w:val="center"/>
                    <w:rPr>
                      <w:rFonts w:hint="eastAsia" w:eastAsia="宋体"/>
                      <w:color w:val="auto"/>
                      <w:kern w:val="0"/>
                      <w:szCs w:val="21"/>
                      <w:lang w:eastAsia="zh-CN"/>
                    </w:rPr>
                  </w:pPr>
                  <w:r>
                    <w:rPr>
                      <w:rFonts w:hint="eastAsia"/>
                      <w:color w:val="auto"/>
                      <w:kern w:val="0"/>
                      <w:szCs w:val="21"/>
                      <w:lang w:val="en-US" w:eastAsia="zh-CN"/>
                    </w:rPr>
                    <w:t>5</w:t>
                  </w:r>
                </w:p>
              </w:tc>
              <w:tc>
                <w:tcPr>
                  <w:tcW w:w="2124" w:type="dxa"/>
                  <w:tcBorders>
                    <w:tl2br w:val="nil"/>
                    <w:tr2bl w:val="nil"/>
                  </w:tcBorders>
                  <w:vAlign w:val="center"/>
                </w:tcPr>
                <w:p w14:paraId="2B0CEE36">
                  <w:pPr>
                    <w:kinsoku w:val="0"/>
                    <w:overflowPunct w:val="0"/>
                    <w:autoSpaceDE w:val="0"/>
                    <w:autoSpaceDN w:val="0"/>
                    <w:adjustRightInd w:val="0"/>
                    <w:jc w:val="center"/>
                    <w:rPr>
                      <w:rFonts w:hint="default" w:eastAsia="宋体"/>
                      <w:color w:val="auto"/>
                      <w:kern w:val="0"/>
                      <w:szCs w:val="21"/>
                      <w:lang w:val="en-US" w:eastAsia="zh-CN"/>
                    </w:rPr>
                  </w:pPr>
                  <w:r>
                    <w:rPr>
                      <w:rFonts w:hint="eastAsia"/>
                      <w:color w:val="auto"/>
                      <w:kern w:val="0"/>
                      <w:szCs w:val="21"/>
                      <w:lang w:val="en-US" w:eastAsia="zh-CN"/>
                    </w:rPr>
                    <w:t>85</w:t>
                  </w:r>
                </w:p>
              </w:tc>
            </w:tr>
          </w:tbl>
          <w:p w14:paraId="5E805494">
            <w:pPr>
              <w:spacing w:before="120" w:beforeLines="50" w:line="360" w:lineRule="auto"/>
              <w:ind w:firstLine="482" w:firstLineChars="200"/>
              <w:rPr>
                <w:b/>
                <w:color w:val="auto"/>
                <w:sz w:val="24"/>
              </w:rPr>
            </w:pPr>
            <w:r>
              <w:rPr>
                <w:b/>
                <w:color w:val="auto"/>
                <w:sz w:val="24"/>
              </w:rPr>
              <w:t>2、噪声预测模式</w:t>
            </w:r>
          </w:p>
          <w:p w14:paraId="5D0D6A2F">
            <w:pPr>
              <w:spacing w:line="360" w:lineRule="auto"/>
              <w:ind w:firstLine="480" w:firstLineChars="200"/>
              <w:rPr>
                <w:color w:val="auto"/>
                <w:sz w:val="24"/>
              </w:rPr>
            </w:pPr>
            <w:r>
              <w:rPr>
                <w:color w:val="auto"/>
                <w:sz w:val="24"/>
              </w:rPr>
              <w:t>（1）噪声对环境的影响预测考虑声源叠加，采用叠加模式：</w:t>
            </w:r>
          </w:p>
          <w:p w14:paraId="3A8FD167">
            <w:pPr>
              <w:spacing w:line="360" w:lineRule="auto"/>
              <w:ind w:firstLine="480" w:firstLineChars="200"/>
              <w:rPr>
                <w:color w:val="auto"/>
                <w:sz w:val="24"/>
              </w:rPr>
            </w:pPr>
            <m:oMathPara>
              <m:oMath>
                <m:r>
                  <m:rPr>
                    <m:sty m:val="p"/>
                  </m:rPr>
                  <w:rPr>
                    <w:rFonts w:ascii="Cambria Math" w:hAnsi="Cambria Math"/>
                    <w:color w:val="auto"/>
                    <w:sz w:val="24"/>
                  </w:rPr>
                  <m:t>L=10lg</m:t>
                </m:r>
                <m:nary>
                  <m:naryPr>
                    <m:chr m:val="∑"/>
                    <m:limLoc m:val="undOvr"/>
                    <m:ctrlPr>
                      <w:rPr>
                        <w:rFonts w:ascii="Cambria Math" w:hAnsi="Cambria Math"/>
                        <w:color w:val="auto"/>
                        <w:sz w:val="24"/>
                      </w:rPr>
                    </m:ctrlPr>
                  </m:naryPr>
                  <m:sub>
                    <m:r>
                      <m:rPr/>
                      <w:rPr>
                        <w:rFonts w:ascii="Cambria Math" w:hAnsi="Cambria Math"/>
                        <w:color w:val="auto"/>
                        <w:sz w:val="24"/>
                      </w:rPr>
                      <m:t>i</m:t>
                    </m:r>
                    <m:r>
                      <m:rPr>
                        <m:sty m:val="p"/>
                      </m:rPr>
                      <w:rPr>
                        <w:rFonts w:ascii="Cambria Math" w:hAnsi="Cambria Math"/>
                        <w:color w:val="auto"/>
                        <w:sz w:val="24"/>
                      </w:rPr>
                      <m:t>=1</m:t>
                    </m:r>
                    <m:ctrlPr>
                      <w:rPr>
                        <w:rFonts w:ascii="Cambria Math" w:hAnsi="Cambria Math"/>
                        <w:color w:val="auto"/>
                        <w:sz w:val="24"/>
                      </w:rPr>
                    </m:ctrlPr>
                  </m:sub>
                  <m:sup>
                    <m:r>
                      <m:rPr/>
                      <w:rPr>
                        <w:rFonts w:ascii="Cambria Math" w:hAnsi="Cambria Math"/>
                        <w:color w:val="auto"/>
                        <w:sz w:val="24"/>
                      </w:rPr>
                      <m:t>n</m:t>
                    </m:r>
                    <m:ctrlPr>
                      <w:rPr>
                        <w:rFonts w:ascii="Cambria Math" w:hAnsi="Cambria Math"/>
                        <w:color w:val="auto"/>
                        <w:sz w:val="24"/>
                      </w:rPr>
                    </m:ctrlPr>
                  </m:sup>
                  <m:e>
                    <m:sSup>
                      <m:sSupPr>
                        <m:ctrlPr>
                          <w:rPr>
                            <w:rFonts w:ascii="Cambria Math" w:hAnsi="Cambria Math"/>
                            <w:i/>
                            <w:color w:val="auto"/>
                            <w:sz w:val="24"/>
                          </w:rPr>
                        </m:ctrlPr>
                      </m:sSupPr>
                      <m:e>
                        <m:r>
                          <m:rPr/>
                          <w:rPr>
                            <w:rFonts w:ascii="Cambria Math" w:hAnsi="Cambria Math"/>
                            <w:color w:val="auto"/>
                            <w:sz w:val="24"/>
                          </w:rPr>
                          <m:t>10</m:t>
                        </m:r>
                        <m:ctrlPr>
                          <w:rPr>
                            <w:rFonts w:ascii="Cambria Math" w:hAnsi="Cambria Math"/>
                            <w:i/>
                            <w:color w:val="auto"/>
                            <w:sz w:val="24"/>
                          </w:rPr>
                        </m:ctrlPr>
                      </m:e>
                      <m:sup>
                        <m:r>
                          <m:rPr/>
                          <w:rPr>
                            <w:rFonts w:ascii="Cambria Math" w:hAnsi="Cambria Math"/>
                            <w:color w:val="auto"/>
                            <w:sz w:val="24"/>
                          </w:rPr>
                          <m:t>Li</m:t>
                        </m:r>
                        <m:r>
                          <m:rPr>
                            <m:sty m:val="p"/>
                          </m:rPr>
                          <w:rPr>
                            <w:rFonts w:ascii="Cambria Math" w:hAnsi="Cambria Math"/>
                            <w:color w:val="auto"/>
                            <w:sz w:val="24"/>
                          </w:rPr>
                          <m:t>/10</m:t>
                        </m:r>
                        <m:ctrlPr>
                          <w:rPr>
                            <w:rFonts w:ascii="Cambria Math" w:hAnsi="Cambria Math"/>
                            <w:i/>
                            <w:color w:val="auto"/>
                            <w:sz w:val="24"/>
                          </w:rPr>
                        </m:ctrlPr>
                      </m:sup>
                    </m:sSup>
                    <m:ctrlPr>
                      <w:rPr>
                        <w:rFonts w:ascii="Cambria Math" w:hAnsi="Cambria Math"/>
                        <w:color w:val="auto"/>
                        <w:sz w:val="24"/>
                      </w:rPr>
                    </m:ctrlPr>
                  </m:e>
                </m:nary>
              </m:oMath>
            </m:oMathPara>
          </w:p>
          <w:p w14:paraId="50814A73">
            <w:pPr>
              <w:spacing w:line="360" w:lineRule="auto"/>
              <w:ind w:firstLine="480" w:firstLineChars="200"/>
              <w:rPr>
                <w:color w:val="auto"/>
                <w:sz w:val="24"/>
              </w:rPr>
            </w:pPr>
            <w:r>
              <w:rPr>
                <w:color w:val="auto"/>
                <w:sz w:val="24"/>
              </w:rPr>
              <w:t>式中：L——叠加后的总声压级[dB</w:t>
            </w:r>
            <w:r>
              <w:rPr>
                <w:rFonts w:hint="eastAsia"/>
                <w:color w:val="auto"/>
                <w:sz w:val="24"/>
              </w:rPr>
              <w:t>（</w:t>
            </w:r>
            <w:r>
              <w:rPr>
                <w:color w:val="auto"/>
                <w:sz w:val="24"/>
              </w:rPr>
              <w:t>A</w:t>
            </w:r>
            <w:r>
              <w:rPr>
                <w:rFonts w:hint="eastAsia"/>
                <w:color w:val="auto"/>
                <w:sz w:val="24"/>
              </w:rPr>
              <w:t>）</w:t>
            </w:r>
            <w:r>
              <w:rPr>
                <w:color w:val="auto"/>
                <w:sz w:val="24"/>
              </w:rPr>
              <w:t>]；</w:t>
            </w:r>
          </w:p>
          <w:p w14:paraId="73AF6336">
            <w:pPr>
              <w:spacing w:line="360" w:lineRule="auto"/>
              <w:ind w:firstLine="480" w:firstLineChars="200"/>
              <w:rPr>
                <w:color w:val="auto"/>
                <w:sz w:val="24"/>
              </w:rPr>
            </w:pPr>
            <w:r>
              <w:rPr>
                <w:color w:val="auto"/>
                <w:sz w:val="24"/>
              </w:rPr>
              <w:t xml:space="preserve">      L——各声源的噪声值[dB</w:t>
            </w:r>
            <w:r>
              <w:rPr>
                <w:rFonts w:hint="eastAsia"/>
                <w:color w:val="auto"/>
                <w:sz w:val="24"/>
              </w:rPr>
              <w:t>（</w:t>
            </w:r>
            <w:r>
              <w:rPr>
                <w:color w:val="auto"/>
                <w:sz w:val="24"/>
              </w:rPr>
              <w:t>A</w:t>
            </w:r>
            <w:r>
              <w:rPr>
                <w:rFonts w:hint="eastAsia"/>
                <w:color w:val="auto"/>
                <w:sz w:val="24"/>
              </w:rPr>
              <w:t>）</w:t>
            </w:r>
            <w:r>
              <w:rPr>
                <w:color w:val="auto"/>
                <w:sz w:val="24"/>
              </w:rPr>
              <w:t>]；</w:t>
            </w:r>
          </w:p>
          <w:p w14:paraId="1D964759">
            <w:pPr>
              <w:spacing w:line="360" w:lineRule="auto"/>
              <w:ind w:firstLine="480" w:firstLineChars="200"/>
              <w:rPr>
                <w:color w:val="auto"/>
                <w:sz w:val="24"/>
              </w:rPr>
            </w:pPr>
            <w:r>
              <w:rPr>
                <w:color w:val="auto"/>
                <w:sz w:val="24"/>
              </w:rPr>
              <w:t xml:space="preserve">      n——声源个数。</w:t>
            </w:r>
          </w:p>
          <w:p w14:paraId="2A0F14DE">
            <w:pPr>
              <w:spacing w:line="360" w:lineRule="auto"/>
              <w:ind w:firstLine="480" w:firstLineChars="200"/>
              <w:rPr>
                <w:color w:val="auto"/>
                <w:sz w:val="24"/>
              </w:rPr>
            </w:pPr>
            <w:r>
              <w:rPr>
                <w:color w:val="auto"/>
                <w:sz w:val="24"/>
              </w:rPr>
              <w:t>（2）噪声随距离衰减模式</w:t>
            </w:r>
          </w:p>
          <w:p w14:paraId="1EAEBBAF">
            <w:pPr>
              <w:spacing w:line="360" w:lineRule="auto"/>
              <w:ind w:firstLine="480" w:firstLineChars="200"/>
              <w:rPr>
                <w:color w:val="auto"/>
                <w:sz w:val="24"/>
              </w:rPr>
            </w:pPr>
            <m:oMathPara>
              <m:oMath>
                <m:sSub>
                  <m:sSubPr>
                    <m:ctrlPr>
                      <w:rPr>
                        <w:rFonts w:ascii="Cambria Math" w:hAnsi="Cambria Math"/>
                        <w:color w:val="auto"/>
                        <w:sz w:val="24"/>
                      </w:rPr>
                    </m:ctrlPr>
                  </m:sSubPr>
                  <m:e>
                    <m:r>
                      <m:rPr/>
                      <w:rPr>
                        <w:rFonts w:ascii="Cambria Math" w:hAnsi="Cambria Math"/>
                        <w:color w:val="auto"/>
                        <w:sz w:val="24"/>
                      </w:rPr>
                      <m:t>L</m:t>
                    </m:r>
                    <m:ctrlPr>
                      <w:rPr>
                        <w:rFonts w:ascii="Cambria Math" w:hAnsi="Cambria Math"/>
                        <w:color w:val="auto"/>
                        <w:sz w:val="24"/>
                      </w:rPr>
                    </m:ctrlPr>
                  </m:e>
                  <m:sub>
                    <m:r>
                      <m:rPr/>
                      <w:rPr>
                        <w:rFonts w:ascii="Cambria Math" w:hAnsi="Cambria Math"/>
                        <w:color w:val="auto"/>
                        <w:sz w:val="24"/>
                      </w:rPr>
                      <m:t>p</m:t>
                    </m:r>
                    <m:ctrlPr>
                      <w:rPr>
                        <w:rFonts w:ascii="Cambria Math" w:hAnsi="Cambria Math"/>
                        <w:color w:val="auto"/>
                        <w:sz w:val="24"/>
                      </w:rPr>
                    </m:ctrlPr>
                  </m:sub>
                </m:sSub>
                <m:r>
                  <m:rPr/>
                  <w:rPr>
                    <w:rFonts w:ascii="Cambria Math" w:hAnsi="Cambria Math"/>
                    <w:color w:val="auto"/>
                    <w:sz w:val="24"/>
                  </w:rPr>
                  <m:t>=</m:t>
                </m:r>
                <m:sSub>
                  <m:sSubPr>
                    <m:ctrlPr>
                      <w:rPr>
                        <w:rFonts w:ascii="Cambria Math" w:hAnsi="Cambria Math"/>
                        <w:i/>
                        <w:color w:val="auto"/>
                        <w:sz w:val="24"/>
                      </w:rPr>
                    </m:ctrlPr>
                  </m:sSubPr>
                  <m:e>
                    <m:r>
                      <m:rPr/>
                      <w:rPr>
                        <w:rFonts w:ascii="Cambria Math" w:hAnsi="Cambria Math"/>
                        <w:color w:val="auto"/>
                        <w:sz w:val="24"/>
                      </w:rPr>
                      <m:t>L</m:t>
                    </m:r>
                    <m:ctrlPr>
                      <w:rPr>
                        <w:rFonts w:ascii="Cambria Math" w:hAnsi="Cambria Math"/>
                        <w:i/>
                        <w:color w:val="auto"/>
                        <w:sz w:val="24"/>
                      </w:rPr>
                    </m:ctrlPr>
                  </m:e>
                  <m:sub>
                    <m:r>
                      <m:rPr/>
                      <w:rPr>
                        <w:rFonts w:ascii="Cambria Math" w:hAnsi="Cambria Math"/>
                        <w:color w:val="auto"/>
                        <w:sz w:val="24"/>
                      </w:rPr>
                      <m:t>po</m:t>
                    </m:r>
                    <m:ctrlPr>
                      <w:rPr>
                        <w:rFonts w:ascii="Cambria Math" w:hAnsi="Cambria Math"/>
                        <w:i/>
                        <w:color w:val="auto"/>
                        <w:sz w:val="24"/>
                      </w:rPr>
                    </m:ctrlPr>
                  </m:sub>
                </m:sSub>
                <m:r>
                  <m:rPr/>
                  <w:rPr>
                    <w:rFonts w:ascii="Cambria Math" w:hAnsi="Cambria Math"/>
                    <w:color w:val="auto"/>
                    <w:sz w:val="24"/>
                  </w:rPr>
                  <m:t>−20</m:t>
                </m:r>
                <m:r>
                  <m:rPr>
                    <m:sty m:val="p"/>
                  </m:rPr>
                  <w:rPr>
                    <w:rFonts w:ascii="Cambria Math" w:hAnsi="Cambria Math"/>
                    <w:color w:val="auto"/>
                    <w:sz w:val="24"/>
                  </w:rPr>
                  <m:t>lg</m:t>
                </m:r>
                <m:d>
                  <m:dPr>
                    <m:ctrlPr>
                      <w:rPr>
                        <w:rFonts w:ascii="Cambria Math" w:hAnsi="Cambria Math"/>
                        <w:color w:val="auto"/>
                        <w:sz w:val="24"/>
                      </w:rPr>
                    </m:ctrlPr>
                  </m:dPr>
                  <m:e>
                    <m:r>
                      <m:rPr/>
                      <w:rPr>
                        <w:rFonts w:ascii="Cambria Math" w:hAnsi="Cambria Math"/>
                        <w:color w:val="auto"/>
                        <w:sz w:val="24"/>
                      </w:rPr>
                      <m:t>r/</m:t>
                    </m:r>
                    <m:sSub>
                      <m:sSubPr>
                        <m:ctrlPr>
                          <w:rPr>
                            <w:rFonts w:ascii="Cambria Math" w:hAnsi="Cambria Math"/>
                            <w:i/>
                            <w:color w:val="auto"/>
                            <w:sz w:val="24"/>
                          </w:rPr>
                        </m:ctrlPr>
                      </m:sSubPr>
                      <m:e>
                        <m:r>
                          <m:rPr/>
                          <w:rPr>
                            <w:rFonts w:ascii="Cambria Math" w:hAnsi="Cambria Math"/>
                            <w:color w:val="auto"/>
                            <w:sz w:val="24"/>
                          </w:rPr>
                          <m:t>r</m:t>
                        </m:r>
                        <m:ctrlPr>
                          <w:rPr>
                            <w:rFonts w:ascii="Cambria Math" w:hAnsi="Cambria Math"/>
                            <w:i/>
                            <w:color w:val="auto"/>
                            <w:sz w:val="24"/>
                          </w:rPr>
                        </m:ctrlPr>
                      </m:e>
                      <m:sub>
                        <m:r>
                          <m:rPr/>
                          <w:rPr>
                            <w:rFonts w:ascii="Cambria Math" w:hAnsi="Cambria Math"/>
                            <w:color w:val="auto"/>
                            <w:sz w:val="24"/>
                          </w:rPr>
                          <m:t>0</m:t>
                        </m:r>
                        <m:ctrlPr>
                          <w:rPr>
                            <w:rFonts w:ascii="Cambria Math" w:hAnsi="Cambria Math"/>
                            <w:i/>
                            <w:color w:val="auto"/>
                            <w:sz w:val="24"/>
                          </w:rPr>
                        </m:ctrlPr>
                      </m:sub>
                    </m:sSub>
                    <m:ctrlPr>
                      <w:rPr>
                        <w:rFonts w:ascii="Cambria Math" w:hAnsi="Cambria Math"/>
                        <w:color w:val="auto"/>
                        <w:sz w:val="24"/>
                      </w:rPr>
                    </m:ctrlPr>
                  </m:e>
                </m:d>
              </m:oMath>
            </m:oMathPara>
          </w:p>
          <w:p w14:paraId="3113948F">
            <w:pPr>
              <w:spacing w:line="360" w:lineRule="auto"/>
              <w:ind w:firstLine="480" w:firstLineChars="200"/>
              <w:rPr>
                <w:color w:val="auto"/>
                <w:sz w:val="24"/>
              </w:rPr>
            </w:pPr>
            <w:r>
              <w:rPr>
                <w:color w:val="auto"/>
                <w:sz w:val="24"/>
              </w:rPr>
              <w:t>式中：L</w:t>
            </w:r>
            <w:r>
              <w:rPr>
                <w:color w:val="auto"/>
                <w:sz w:val="24"/>
                <w:vertAlign w:val="subscript"/>
              </w:rPr>
              <w:t>P</w:t>
            </w:r>
            <w:r>
              <w:rPr>
                <w:color w:val="auto"/>
                <w:sz w:val="24"/>
              </w:rPr>
              <w:t>——距声源r米处的施工噪声预测值，dB</w:t>
            </w:r>
            <w:r>
              <w:rPr>
                <w:rFonts w:hint="eastAsia"/>
                <w:color w:val="auto"/>
                <w:sz w:val="24"/>
              </w:rPr>
              <w:t>（</w:t>
            </w:r>
            <w:r>
              <w:rPr>
                <w:color w:val="auto"/>
                <w:sz w:val="24"/>
              </w:rPr>
              <w:t>A</w:t>
            </w:r>
            <w:r>
              <w:rPr>
                <w:rFonts w:hint="eastAsia"/>
                <w:color w:val="auto"/>
                <w:sz w:val="24"/>
              </w:rPr>
              <w:t>）</w:t>
            </w:r>
            <w:r>
              <w:rPr>
                <w:color w:val="auto"/>
                <w:sz w:val="24"/>
              </w:rPr>
              <w:t>；</w:t>
            </w:r>
          </w:p>
          <w:p w14:paraId="455D8C2F">
            <w:pPr>
              <w:spacing w:line="360" w:lineRule="auto"/>
              <w:ind w:firstLine="480" w:firstLineChars="200"/>
              <w:rPr>
                <w:color w:val="auto"/>
                <w:sz w:val="24"/>
              </w:rPr>
            </w:pPr>
            <w:r>
              <w:rPr>
                <w:color w:val="auto"/>
                <w:sz w:val="24"/>
              </w:rPr>
              <w:t xml:space="preserve">      L</w:t>
            </w:r>
            <w:r>
              <w:rPr>
                <w:color w:val="auto"/>
                <w:sz w:val="24"/>
                <w:vertAlign w:val="subscript"/>
              </w:rPr>
              <w:t>Po</w:t>
            </w:r>
            <w:r>
              <w:rPr>
                <w:color w:val="auto"/>
                <w:sz w:val="24"/>
              </w:rPr>
              <w:t>——距声源r</w:t>
            </w:r>
            <w:r>
              <w:rPr>
                <w:color w:val="auto"/>
                <w:sz w:val="24"/>
                <w:vertAlign w:val="subscript"/>
              </w:rPr>
              <w:t>0</w:t>
            </w:r>
            <w:r>
              <w:rPr>
                <w:color w:val="auto"/>
                <w:sz w:val="24"/>
              </w:rPr>
              <w:t>米处的参考声级dB</w:t>
            </w:r>
            <w:r>
              <w:rPr>
                <w:rFonts w:hint="eastAsia"/>
                <w:color w:val="auto"/>
                <w:sz w:val="24"/>
              </w:rPr>
              <w:t>（</w:t>
            </w:r>
            <w:r>
              <w:rPr>
                <w:color w:val="auto"/>
                <w:sz w:val="24"/>
              </w:rPr>
              <w:t>A</w:t>
            </w:r>
            <w:r>
              <w:rPr>
                <w:rFonts w:hint="eastAsia"/>
                <w:color w:val="auto"/>
                <w:sz w:val="24"/>
              </w:rPr>
              <w:t>）</w:t>
            </w:r>
            <w:r>
              <w:rPr>
                <w:color w:val="auto"/>
                <w:sz w:val="24"/>
              </w:rPr>
              <w:t>；</w:t>
            </w:r>
          </w:p>
          <w:p w14:paraId="71350FCF">
            <w:pPr>
              <w:spacing w:line="360" w:lineRule="auto"/>
              <w:ind w:firstLine="199" w:firstLineChars="83"/>
              <w:textAlignment w:val="baseline"/>
              <w:rPr>
                <w:color w:val="auto"/>
                <w:sz w:val="24"/>
              </w:rPr>
            </w:pPr>
            <w:r>
              <w:rPr>
                <w:color w:val="auto"/>
                <w:sz w:val="24"/>
              </w:rPr>
              <w:t xml:space="preserve">        r</w:t>
            </w:r>
            <w:r>
              <w:rPr>
                <w:color w:val="auto"/>
                <w:sz w:val="24"/>
                <w:vertAlign w:val="subscript"/>
              </w:rPr>
              <w:t>0</w:t>
            </w:r>
            <w:r>
              <w:rPr>
                <w:color w:val="auto"/>
                <w:sz w:val="24"/>
              </w:rPr>
              <w:t>——L</w:t>
            </w:r>
            <w:r>
              <w:rPr>
                <w:color w:val="auto"/>
                <w:sz w:val="24"/>
                <w:vertAlign w:val="subscript"/>
              </w:rPr>
              <w:t>Po</w:t>
            </w:r>
            <w:r>
              <w:rPr>
                <w:color w:val="auto"/>
                <w:sz w:val="24"/>
              </w:rPr>
              <w:t>噪声的测点距离（5米或1米），m。</w:t>
            </w:r>
          </w:p>
          <w:p w14:paraId="4AC75B19">
            <w:pPr>
              <w:adjustRightInd w:val="0"/>
              <w:snapToGrid w:val="0"/>
              <w:spacing w:line="360" w:lineRule="auto"/>
              <w:ind w:firstLine="480" w:firstLineChars="200"/>
              <w:textAlignment w:val="baseline"/>
              <w:rPr>
                <w:color w:val="auto"/>
                <w:sz w:val="24"/>
              </w:rPr>
            </w:pPr>
            <w:r>
              <w:rPr>
                <w:color w:val="auto"/>
                <w:sz w:val="24"/>
              </w:rPr>
              <w:t>根据上述的预测方法和预测模式，对施工过程中常用施工设备噪声进行计算，得到其不同距离下的噪声级见表4-</w:t>
            </w:r>
            <w:r>
              <w:rPr>
                <w:rFonts w:hint="eastAsia"/>
                <w:color w:val="auto"/>
                <w:sz w:val="24"/>
              </w:rPr>
              <w:t>3。</w:t>
            </w:r>
          </w:p>
          <w:p w14:paraId="4CCD96E9">
            <w:pPr>
              <w:ind w:firstLine="422" w:firstLineChars="200"/>
              <w:jc w:val="center"/>
              <w:rPr>
                <w:b/>
                <w:color w:val="auto"/>
              </w:rPr>
            </w:pPr>
            <w:r>
              <w:rPr>
                <w:b/>
                <w:color w:val="auto"/>
              </w:rPr>
              <w:t>表4-</w:t>
            </w:r>
            <w:r>
              <w:rPr>
                <w:rFonts w:hint="eastAsia"/>
                <w:b/>
                <w:color w:val="auto"/>
              </w:rPr>
              <w:t>3</w:t>
            </w:r>
            <w:r>
              <w:rPr>
                <w:b/>
                <w:color w:val="auto"/>
              </w:rPr>
              <w:t xml:space="preserve">  </w:t>
            </w:r>
            <w:r>
              <w:rPr>
                <w:rFonts w:hint="eastAsia"/>
                <w:b/>
                <w:color w:val="auto"/>
              </w:rPr>
              <w:t xml:space="preserve">  </w:t>
            </w:r>
            <w:r>
              <w:rPr>
                <w:b/>
                <w:color w:val="auto"/>
              </w:rPr>
              <w:t>常用施工机械噪声距离衰减表</w:t>
            </w:r>
          </w:p>
          <w:tbl>
            <w:tblPr>
              <w:tblStyle w:val="34"/>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153"/>
              <w:gridCol w:w="699"/>
              <w:gridCol w:w="699"/>
              <w:gridCol w:w="699"/>
              <w:gridCol w:w="699"/>
              <w:gridCol w:w="699"/>
              <w:gridCol w:w="699"/>
              <w:gridCol w:w="699"/>
              <w:gridCol w:w="699"/>
              <w:gridCol w:w="699"/>
              <w:gridCol w:w="703"/>
            </w:tblGrid>
            <w:tr w14:paraId="0929A1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53" w:type="dxa"/>
                  <w:vMerge w:val="restart"/>
                  <w:tcBorders>
                    <w:tl2br w:val="nil"/>
                    <w:tr2bl w:val="nil"/>
                  </w:tcBorders>
                  <w:vAlign w:val="center"/>
                </w:tcPr>
                <w:p w14:paraId="39A86022">
                  <w:pPr>
                    <w:jc w:val="center"/>
                    <w:rPr>
                      <w:b/>
                      <w:color w:val="auto"/>
                      <w:kern w:val="0"/>
                      <w:szCs w:val="21"/>
                    </w:rPr>
                  </w:pPr>
                  <w:r>
                    <w:rPr>
                      <w:b/>
                      <w:color w:val="auto"/>
                      <w:kern w:val="0"/>
                      <w:szCs w:val="21"/>
                    </w:rPr>
                    <w:t>机械类型</w:t>
                  </w:r>
                </w:p>
              </w:tc>
              <w:tc>
                <w:tcPr>
                  <w:tcW w:w="6994" w:type="dxa"/>
                  <w:gridSpan w:val="10"/>
                  <w:tcBorders>
                    <w:tl2br w:val="nil"/>
                    <w:tr2bl w:val="nil"/>
                  </w:tcBorders>
                  <w:vAlign w:val="center"/>
                </w:tcPr>
                <w:p w14:paraId="29877A25">
                  <w:pPr>
                    <w:jc w:val="center"/>
                    <w:rPr>
                      <w:color w:val="auto"/>
                      <w:kern w:val="0"/>
                      <w:szCs w:val="21"/>
                    </w:rPr>
                  </w:pPr>
                  <w:r>
                    <w:rPr>
                      <w:b/>
                      <w:color w:val="auto"/>
                      <w:spacing w:val="1"/>
                      <w:kern w:val="0"/>
                      <w:szCs w:val="21"/>
                    </w:rPr>
                    <w:t>噪声</w:t>
                  </w:r>
                  <w:r>
                    <w:rPr>
                      <w:b/>
                      <w:color w:val="auto"/>
                      <w:kern w:val="0"/>
                      <w:szCs w:val="21"/>
                    </w:rPr>
                    <w:t>值</w:t>
                  </w:r>
                  <w:r>
                    <w:rPr>
                      <w:color w:val="auto"/>
                      <w:spacing w:val="-51"/>
                      <w:kern w:val="0"/>
                      <w:szCs w:val="21"/>
                    </w:rPr>
                    <w:t xml:space="preserve"> </w:t>
                  </w:r>
                  <w:r>
                    <w:rPr>
                      <w:b/>
                      <w:bCs/>
                      <w:color w:val="auto"/>
                      <w:spacing w:val="-1"/>
                      <w:kern w:val="0"/>
                      <w:szCs w:val="21"/>
                    </w:rPr>
                    <w:t>L</w:t>
                  </w:r>
                  <w:r>
                    <w:rPr>
                      <w:b/>
                      <w:bCs/>
                      <w:color w:val="auto"/>
                      <w:kern w:val="0"/>
                      <w:szCs w:val="21"/>
                    </w:rPr>
                    <w:t>e</w:t>
                  </w:r>
                  <w:r>
                    <w:rPr>
                      <w:b/>
                      <w:bCs/>
                      <w:color w:val="auto"/>
                      <w:spacing w:val="-1"/>
                      <w:kern w:val="0"/>
                      <w:szCs w:val="21"/>
                    </w:rPr>
                    <w:t>q</w:t>
                  </w:r>
                  <w:r>
                    <w:rPr>
                      <w:color w:val="auto"/>
                      <w:spacing w:val="1"/>
                      <w:kern w:val="0"/>
                      <w:szCs w:val="21"/>
                    </w:rPr>
                    <w:t>（</w:t>
                  </w:r>
                  <w:r>
                    <w:rPr>
                      <w:b/>
                      <w:bCs/>
                      <w:color w:val="auto"/>
                      <w:spacing w:val="-1"/>
                      <w:kern w:val="0"/>
                      <w:szCs w:val="21"/>
                    </w:rPr>
                    <w:t>d</w:t>
                  </w:r>
                  <w:r>
                    <w:rPr>
                      <w:b/>
                      <w:bCs/>
                      <w:color w:val="auto"/>
                      <w:kern w:val="0"/>
                      <w:szCs w:val="21"/>
                    </w:rPr>
                    <w:t>B</w:t>
                  </w:r>
                  <w:r>
                    <w:rPr>
                      <w:color w:val="auto"/>
                      <w:kern w:val="0"/>
                      <w:szCs w:val="21"/>
                    </w:rPr>
                    <w:t>）</w:t>
                  </w:r>
                </w:p>
              </w:tc>
            </w:tr>
            <w:tr w14:paraId="687AD3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53" w:type="dxa"/>
                  <w:vMerge w:val="continue"/>
                  <w:tcBorders>
                    <w:tl2br w:val="nil"/>
                    <w:tr2bl w:val="nil"/>
                  </w:tcBorders>
                  <w:vAlign w:val="center"/>
                </w:tcPr>
                <w:p w14:paraId="50E08D13">
                  <w:pPr>
                    <w:jc w:val="center"/>
                    <w:rPr>
                      <w:b/>
                      <w:color w:val="auto"/>
                      <w:kern w:val="0"/>
                      <w:szCs w:val="21"/>
                    </w:rPr>
                  </w:pPr>
                </w:p>
              </w:tc>
              <w:tc>
                <w:tcPr>
                  <w:tcW w:w="699" w:type="dxa"/>
                  <w:tcBorders>
                    <w:tl2br w:val="nil"/>
                    <w:tr2bl w:val="nil"/>
                  </w:tcBorders>
                  <w:vAlign w:val="center"/>
                </w:tcPr>
                <w:p w14:paraId="658D3C9B">
                  <w:pPr>
                    <w:kinsoku w:val="0"/>
                    <w:overflowPunct w:val="0"/>
                    <w:jc w:val="center"/>
                    <w:rPr>
                      <w:rFonts w:hint="default" w:ascii="Times New Roman" w:hAnsi="Times New Roman" w:eastAsia="宋体" w:cs="Times New Roman"/>
                      <w:color w:val="auto"/>
                      <w:kern w:val="0"/>
                      <w:szCs w:val="21"/>
                      <w:lang w:val="en-US"/>
                    </w:rPr>
                  </w:pPr>
                  <w:r>
                    <w:rPr>
                      <w:rFonts w:hint="eastAsia" w:ascii="Times New Roman" w:hAnsi="Times New Roman" w:eastAsia="宋体" w:cs="Times New Roman"/>
                      <w:color w:val="auto"/>
                      <w:kern w:val="0"/>
                      <w:szCs w:val="21"/>
                      <w:lang w:val="en-US" w:eastAsia="zh-CN"/>
                    </w:rPr>
                    <w:t>10m</w:t>
                  </w:r>
                </w:p>
              </w:tc>
              <w:tc>
                <w:tcPr>
                  <w:tcW w:w="699" w:type="dxa"/>
                  <w:tcBorders>
                    <w:tl2br w:val="nil"/>
                    <w:tr2bl w:val="nil"/>
                  </w:tcBorders>
                  <w:vAlign w:val="center"/>
                </w:tcPr>
                <w:p w14:paraId="3958C03C">
                  <w:pPr>
                    <w:kinsoku w:val="0"/>
                    <w:overflowPunct w:val="0"/>
                    <w:jc w:val="center"/>
                    <w:rPr>
                      <w:rFonts w:hint="default" w:ascii="Times New Roman" w:hAnsi="Times New Roman" w:eastAsia="宋体" w:cs="Times New Roman"/>
                      <w:color w:val="auto"/>
                      <w:kern w:val="0"/>
                      <w:szCs w:val="21"/>
                      <w:lang w:val="en-US"/>
                    </w:rPr>
                  </w:pPr>
                  <w:r>
                    <w:rPr>
                      <w:rFonts w:hint="eastAsia" w:ascii="Times New Roman" w:hAnsi="Times New Roman" w:eastAsia="宋体" w:cs="Times New Roman"/>
                      <w:color w:val="auto"/>
                      <w:kern w:val="0"/>
                      <w:szCs w:val="21"/>
                      <w:lang w:val="en-US" w:eastAsia="zh-CN"/>
                    </w:rPr>
                    <w:t>20m</w:t>
                  </w:r>
                </w:p>
              </w:tc>
              <w:tc>
                <w:tcPr>
                  <w:tcW w:w="699" w:type="dxa"/>
                  <w:tcBorders>
                    <w:tl2br w:val="nil"/>
                    <w:tr2bl w:val="nil"/>
                  </w:tcBorders>
                  <w:vAlign w:val="center"/>
                </w:tcPr>
                <w:p w14:paraId="634C8CDE">
                  <w:pPr>
                    <w:kinsoku w:val="0"/>
                    <w:overflowPunct w:val="0"/>
                    <w:jc w:val="center"/>
                    <w:rPr>
                      <w:rFonts w:hint="default" w:ascii="Times New Roman" w:hAnsi="Times New Roman" w:eastAsia="宋体" w:cs="Times New Roman"/>
                      <w:color w:val="auto"/>
                      <w:kern w:val="0"/>
                      <w:szCs w:val="21"/>
                      <w:lang w:val="en-US"/>
                    </w:rPr>
                  </w:pPr>
                  <w:r>
                    <w:rPr>
                      <w:rFonts w:hint="eastAsia" w:ascii="Times New Roman" w:hAnsi="Times New Roman" w:eastAsia="宋体" w:cs="Times New Roman"/>
                      <w:color w:val="auto"/>
                      <w:kern w:val="0"/>
                      <w:szCs w:val="21"/>
                      <w:lang w:val="en-US" w:eastAsia="zh-CN"/>
                    </w:rPr>
                    <w:t>40m</w:t>
                  </w:r>
                </w:p>
              </w:tc>
              <w:tc>
                <w:tcPr>
                  <w:tcW w:w="699" w:type="dxa"/>
                  <w:tcBorders>
                    <w:tl2br w:val="nil"/>
                    <w:tr2bl w:val="nil"/>
                  </w:tcBorders>
                  <w:vAlign w:val="center"/>
                </w:tcPr>
                <w:p w14:paraId="50B7B89E">
                  <w:pPr>
                    <w:kinsoku w:val="0"/>
                    <w:overflowPunct w:val="0"/>
                    <w:jc w:val="center"/>
                    <w:rPr>
                      <w:rFonts w:hint="default" w:ascii="Times New Roman" w:hAnsi="Times New Roman" w:eastAsia="宋体" w:cs="Times New Roman"/>
                      <w:color w:val="auto"/>
                      <w:kern w:val="0"/>
                      <w:szCs w:val="21"/>
                      <w:lang w:val="en-US"/>
                    </w:rPr>
                  </w:pPr>
                  <w:r>
                    <w:rPr>
                      <w:rFonts w:hint="eastAsia" w:ascii="Times New Roman" w:hAnsi="Times New Roman" w:eastAsia="宋体" w:cs="Times New Roman"/>
                      <w:color w:val="auto"/>
                      <w:kern w:val="0"/>
                      <w:szCs w:val="21"/>
                      <w:lang w:val="en-US" w:eastAsia="zh-CN"/>
                    </w:rPr>
                    <w:t>60m</w:t>
                  </w:r>
                </w:p>
              </w:tc>
              <w:tc>
                <w:tcPr>
                  <w:tcW w:w="699" w:type="dxa"/>
                  <w:tcBorders>
                    <w:tl2br w:val="nil"/>
                    <w:tr2bl w:val="nil"/>
                  </w:tcBorders>
                  <w:vAlign w:val="center"/>
                </w:tcPr>
                <w:p w14:paraId="5E4F7CF7">
                  <w:pPr>
                    <w:kinsoku w:val="0"/>
                    <w:overflowPunct w:val="0"/>
                    <w:jc w:val="center"/>
                    <w:rPr>
                      <w:rFonts w:hint="default" w:ascii="Times New Roman" w:hAnsi="Times New Roman" w:eastAsia="宋体" w:cs="Times New Roman"/>
                      <w:color w:val="auto"/>
                      <w:kern w:val="0"/>
                      <w:szCs w:val="21"/>
                      <w:lang w:val="en-US"/>
                    </w:rPr>
                  </w:pPr>
                  <w:r>
                    <w:rPr>
                      <w:rFonts w:hint="eastAsia" w:ascii="Times New Roman" w:hAnsi="Times New Roman" w:eastAsia="宋体" w:cs="Times New Roman"/>
                      <w:color w:val="auto"/>
                      <w:kern w:val="0"/>
                      <w:szCs w:val="21"/>
                      <w:lang w:val="en-US" w:eastAsia="zh-CN"/>
                    </w:rPr>
                    <w:t>80m</w:t>
                  </w:r>
                </w:p>
              </w:tc>
              <w:tc>
                <w:tcPr>
                  <w:tcW w:w="699" w:type="dxa"/>
                  <w:tcBorders>
                    <w:tl2br w:val="nil"/>
                    <w:tr2bl w:val="nil"/>
                  </w:tcBorders>
                  <w:vAlign w:val="center"/>
                </w:tcPr>
                <w:p w14:paraId="6147CAD4">
                  <w:pPr>
                    <w:kinsoku w:val="0"/>
                    <w:overflowPunct w:val="0"/>
                    <w:jc w:val="center"/>
                    <w:rPr>
                      <w:rFonts w:hint="default" w:ascii="Times New Roman" w:hAnsi="Times New Roman" w:eastAsia="宋体" w:cs="Times New Roman"/>
                      <w:color w:val="auto"/>
                      <w:kern w:val="0"/>
                      <w:szCs w:val="21"/>
                      <w:lang w:val="en-US"/>
                    </w:rPr>
                  </w:pPr>
                  <w:r>
                    <w:rPr>
                      <w:rFonts w:hint="eastAsia" w:ascii="Times New Roman" w:hAnsi="Times New Roman" w:eastAsia="宋体" w:cs="Times New Roman"/>
                      <w:color w:val="auto"/>
                      <w:kern w:val="0"/>
                      <w:szCs w:val="21"/>
                      <w:lang w:val="en-US" w:eastAsia="zh-CN"/>
                    </w:rPr>
                    <w:t>100m</w:t>
                  </w:r>
                </w:p>
              </w:tc>
              <w:tc>
                <w:tcPr>
                  <w:tcW w:w="699" w:type="dxa"/>
                  <w:tcBorders>
                    <w:tl2br w:val="nil"/>
                    <w:tr2bl w:val="nil"/>
                  </w:tcBorders>
                  <w:vAlign w:val="center"/>
                </w:tcPr>
                <w:p w14:paraId="53FD463F">
                  <w:pPr>
                    <w:kinsoku w:val="0"/>
                    <w:overflowPunct w:val="0"/>
                    <w:jc w:val="center"/>
                    <w:rPr>
                      <w:rFonts w:hint="default" w:ascii="Times New Roman" w:hAnsi="Times New Roman" w:eastAsia="宋体" w:cs="Times New Roman"/>
                      <w:color w:val="auto"/>
                      <w:kern w:val="0"/>
                      <w:szCs w:val="21"/>
                      <w:lang w:val="en-US"/>
                    </w:rPr>
                  </w:pPr>
                  <w:r>
                    <w:rPr>
                      <w:rFonts w:hint="eastAsia" w:ascii="Times New Roman" w:hAnsi="Times New Roman" w:eastAsia="宋体" w:cs="Times New Roman"/>
                      <w:color w:val="auto"/>
                      <w:kern w:val="0"/>
                      <w:szCs w:val="21"/>
                      <w:lang w:val="en-US" w:eastAsia="zh-CN"/>
                    </w:rPr>
                    <w:t>120m</w:t>
                  </w:r>
                </w:p>
              </w:tc>
              <w:tc>
                <w:tcPr>
                  <w:tcW w:w="699" w:type="dxa"/>
                  <w:tcBorders>
                    <w:tl2br w:val="nil"/>
                    <w:tr2bl w:val="nil"/>
                  </w:tcBorders>
                  <w:vAlign w:val="center"/>
                </w:tcPr>
                <w:p w14:paraId="54D9CB70">
                  <w:pPr>
                    <w:kinsoku w:val="0"/>
                    <w:overflowPunct w:val="0"/>
                    <w:jc w:val="center"/>
                    <w:rPr>
                      <w:rFonts w:hint="default" w:ascii="Times New Roman" w:hAnsi="Times New Roman" w:eastAsia="宋体" w:cs="Times New Roman"/>
                      <w:color w:val="auto"/>
                      <w:kern w:val="0"/>
                      <w:szCs w:val="21"/>
                      <w:lang w:val="en-US"/>
                    </w:rPr>
                  </w:pPr>
                  <w:r>
                    <w:rPr>
                      <w:rFonts w:hint="eastAsia" w:ascii="Times New Roman" w:hAnsi="Times New Roman" w:eastAsia="宋体" w:cs="Times New Roman"/>
                      <w:color w:val="auto"/>
                      <w:kern w:val="0"/>
                      <w:szCs w:val="21"/>
                      <w:lang w:val="en-US" w:eastAsia="zh-CN"/>
                    </w:rPr>
                    <w:t>150m</w:t>
                  </w:r>
                </w:p>
              </w:tc>
              <w:tc>
                <w:tcPr>
                  <w:tcW w:w="699" w:type="dxa"/>
                  <w:tcBorders>
                    <w:tl2br w:val="nil"/>
                    <w:tr2bl w:val="nil"/>
                  </w:tcBorders>
                  <w:vAlign w:val="center"/>
                </w:tcPr>
                <w:p w14:paraId="03EAD9F0">
                  <w:pPr>
                    <w:kinsoku w:val="0"/>
                    <w:overflowPunct w:val="0"/>
                    <w:jc w:val="center"/>
                    <w:rPr>
                      <w:rFonts w:hint="default" w:ascii="Times New Roman" w:hAnsi="Times New Roman" w:eastAsia="宋体" w:cs="Times New Roman"/>
                      <w:color w:val="auto"/>
                      <w:kern w:val="0"/>
                      <w:szCs w:val="21"/>
                      <w:lang w:val="en-US"/>
                    </w:rPr>
                  </w:pPr>
                  <w:r>
                    <w:rPr>
                      <w:rFonts w:hint="eastAsia" w:ascii="Times New Roman" w:hAnsi="Times New Roman" w:eastAsia="宋体" w:cs="Times New Roman"/>
                      <w:color w:val="auto"/>
                      <w:kern w:val="0"/>
                      <w:szCs w:val="21"/>
                      <w:lang w:val="en-US" w:eastAsia="zh-CN"/>
                    </w:rPr>
                    <w:t>180m</w:t>
                  </w:r>
                </w:p>
              </w:tc>
              <w:tc>
                <w:tcPr>
                  <w:tcW w:w="703" w:type="dxa"/>
                  <w:tcBorders>
                    <w:tl2br w:val="nil"/>
                    <w:tr2bl w:val="nil"/>
                  </w:tcBorders>
                  <w:vAlign w:val="center"/>
                </w:tcPr>
                <w:p w14:paraId="3A41E238">
                  <w:pPr>
                    <w:kinsoku w:val="0"/>
                    <w:overflowPunct w:val="0"/>
                    <w:jc w:val="center"/>
                    <w:rPr>
                      <w:rFonts w:hint="default" w:ascii="Times New Roman" w:hAnsi="Times New Roman" w:eastAsia="宋体" w:cs="Times New Roman"/>
                      <w:color w:val="auto"/>
                      <w:kern w:val="0"/>
                      <w:szCs w:val="21"/>
                      <w:lang w:val="en-US"/>
                    </w:rPr>
                  </w:pPr>
                  <w:r>
                    <w:rPr>
                      <w:rFonts w:hint="eastAsia" w:ascii="Times New Roman" w:hAnsi="Times New Roman" w:eastAsia="宋体" w:cs="Times New Roman"/>
                      <w:color w:val="auto"/>
                      <w:kern w:val="0"/>
                      <w:szCs w:val="21"/>
                      <w:lang w:val="en-US" w:eastAsia="zh-CN"/>
                    </w:rPr>
                    <w:t>200m</w:t>
                  </w:r>
                </w:p>
              </w:tc>
            </w:tr>
            <w:tr w14:paraId="4E6211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53" w:type="dxa"/>
                  <w:tcBorders>
                    <w:tl2br w:val="nil"/>
                    <w:tr2bl w:val="nil"/>
                  </w:tcBorders>
                  <w:vAlign w:val="center"/>
                </w:tcPr>
                <w:p w14:paraId="6439EA09">
                  <w:pPr>
                    <w:kinsoku w:val="0"/>
                    <w:overflowPunct w:val="0"/>
                    <w:autoSpaceDE w:val="0"/>
                    <w:autoSpaceDN w:val="0"/>
                    <w:adjustRightInd w:val="0"/>
                    <w:jc w:val="center"/>
                    <w:rPr>
                      <w:color w:val="auto"/>
                      <w:kern w:val="0"/>
                      <w:szCs w:val="21"/>
                    </w:rPr>
                  </w:pPr>
                  <w:r>
                    <w:rPr>
                      <w:color w:val="auto"/>
                      <w:kern w:val="0"/>
                      <w:szCs w:val="21"/>
                    </w:rPr>
                    <w:t>挖掘机</w:t>
                  </w:r>
                </w:p>
              </w:tc>
              <w:tc>
                <w:tcPr>
                  <w:tcW w:w="699" w:type="dxa"/>
                  <w:tcBorders>
                    <w:tl2br w:val="nil"/>
                    <w:tr2bl w:val="nil"/>
                  </w:tcBorders>
                  <w:vAlign w:val="center"/>
                </w:tcPr>
                <w:p w14:paraId="0891982D">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78.98 </w:t>
                  </w:r>
                </w:p>
              </w:tc>
              <w:tc>
                <w:tcPr>
                  <w:tcW w:w="699" w:type="dxa"/>
                  <w:tcBorders>
                    <w:tl2br w:val="nil"/>
                    <w:tr2bl w:val="nil"/>
                  </w:tcBorders>
                  <w:vAlign w:val="center"/>
                </w:tcPr>
                <w:p w14:paraId="090E294F">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72.96 </w:t>
                  </w:r>
                </w:p>
              </w:tc>
              <w:tc>
                <w:tcPr>
                  <w:tcW w:w="699" w:type="dxa"/>
                  <w:tcBorders>
                    <w:tl2br w:val="nil"/>
                    <w:tr2bl w:val="nil"/>
                  </w:tcBorders>
                  <w:vAlign w:val="center"/>
                </w:tcPr>
                <w:p w14:paraId="3B7389B9">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66.94 </w:t>
                  </w:r>
                </w:p>
              </w:tc>
              <w:tc>
                <w:tcPr>
                  <w:tcW w:w="699" w:type="dxa"/>
                  <w:tcBorders>
                    <w:tl2br w:val="nil"/>
                    <w:tr2bl w:val="nil"/>
                  </w:tcBorders>
                  <w:vAlign w:val="center"/>
                </w:tcPr>
                <w:p w14:paraId="3C56AF3A">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63.42 </w:t>
                  </w:r>
                </w:p>
              </w:tc>
              <w:tc>
                <w:tcPr>
                  <w:tcW w:w="699" w:type="dxa"/>
                  <w:tcBorders>
                    <w:tl2br w:val="nil"/>
                    <w:tr2bl w:val="nil"/>
                  </w:tcBorders>
                  <w:vAlign w:val="center"/>
                </w:tcPr>
                <w:p w14:paraId="16D440A2">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60.92 </w:t>
                  </w:r>
                </w:p>
              </w:tc>
              <w:tc>
                <w:tcPr>
                  <w:tcW w:w="699" w:type="dxa"/>
                  <w:tcBorders>
                    <w:tl2br w:val="nil"/>
                    <w:tr2bl w:val="nil"/>
                  </w:tcBorders>
                  <w:vAlign w:val="center"/>
                </w:tcPr>
                <w:p w14:paraId="31F3CD56">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58.98 </w:t>
                  </w:r>
                </w:p>
              </w:tc>
              <w:tc>
                <w:tcPr>
                  <w:tcW w:w="699" w:type="dxa"/>
                  <w:tcBorders>
                    <w:tl2br w:val="nil"/>
                    <w:tr2bl w:val="nil"/>
                  </w:tcBorders>
                  <w:vAlign w:val="center"/>
                </w:tcPr>
                <w:p w14:paraId="660A6DB3">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57.40 </w:t>
                  </w:r>
                </w:p>
              </w:tc>
              <w:tc>
                <w:tcPr>
                  <w:tcW w:w="699" w:type="dxa"/>
                  <w:tcBorders>
                    <w:tl2br w:val="nil"/>
                    <w:tr2bl w:val="nil"/>
                  </w:tcBorders>
                  <w:vAlign w:val="center"/>
                </w:tcPr>
                <w:p w14:paraId="66F22E60">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55.46 </w:t>
                  </w:r>
                </w:p>
              </w:tc>
              <w:tc>
                <w:tcPr>
                  <w:tcW w:w="699" w:type="dxa"/>
                  <w:tcBorders>
                    <w:tl2br w:val="nil"/>
                    <w:tr2bl w:val="nil"/>
                  </w:tcBorders>
                  <w:vAlign w:val="center"/>
                </w:tcPr>
                <w:p w14:paraId="6355B8B5">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53.87 </w:t>
                  </w:r>
                </w:p>
              </w:tc>
              <w:tc>
                <w:tcPr>
                  <w:tcW w:w="703" w:type="dxa"/>
                  <w:tcBorders>
                    <w:tl2br w:val="nil"/>
                    <w:tr2bl w:val="nil"/>
                  </w:tcBorders>
                  <w:vAlign w:val="center"/>
                </w:tcPr>
                <w:p w14:paraId="5EB32DCF">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52.96 </w:t>
                  </w:r>
                </w:p>
              </w:tc>
            </w:tr>
            <w:tr w14:paraId="002844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53" w:type="dxa"/>
                  <w:tcBorders>
                    <w:tl2br w:val="nil"/>
                    <w:tr2bl w:val="nil"/>
                  </w:tcBorders>
                  <w:vAlign w:val="center"/>
                </w:tcPr>
                <w:p w14:paraId="52C04ABB">
                  <w:pPr>
                    <w:kinsoku w:val="0"/>
                    <w:overflowPunct w:val="0"/>
                    <w:autoSpaceDE w:val="0"/>
                    <w:autoSpaceDN w:val="0"/>
                    <w:adjustRightInd w:val="0"/>
                    <w:jc w:val="center"/>
                    <w:rPr>
                      <w:color w:val="auto"/>
                      <w:kern w:val="0"/>
                      <w:szCs w:val="21"/>
                    </w:rPr>
                  </w:pPr>
                  <w:r>
                    <w:rPr>
                      <w:color w:val="auto"/>
                      <w:kern w:val="0"/>
                      <w:szCs w:val="21"/>
                    </w:rPr>
                    <w:t>装载机</w:t>
                  </w:r>
                </w:p>
              </w:tc>
              <w:tc>
                <w:tcPr>
                  <w:tcW w:w="699" w:type="dxa"/>
                  <w:tcBorders>
                    <w:tl2br w:val="nil"/>
                    <w:tr2bl w:val="nil"/>
                  </w:tcBorders>
                  <w:vAlign w:val="center"/>
                </w:tcPr>
                <w:p w14:paraId="77F30166">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83.98 </w:t>
                  </w:r>
                </w:p>
              </w:tc>
              <w:tc>
                <w:tcPr>
                  <w:tcW w:w="699" w:type="dxa"/>
                  <w:tcBorders>
                    <w:tl2br w:val="nil"/>
                    <w:tr2bl w:val="nil"/>
                  </w:tcBorders>
                  <w:vAlign w:val="center"/>
                </w:tcPr>
                <w:p w14:paraId="0CF38DAC">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77.96 </w:t>
                  </w:r>
                </w:p>
              </w:tc>
              <w:tc>
                <w:tcPr>
                  <w:tcW w:w="699" w:type="dxa"/>
                  <w:tcBorders>
                    <w:tl2br w:val="nil"/>
                    <w:tr2bl w:val="nil"/>
                  </w:tcBorders>
                  <w:vAlign w:val="center"/>
                </w:tcPr>
                <w:p w14:paraId="37FC3694">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71.94 </w:t>
                  </w:r>
                </w:p>
              </w:tc>
              <w:tc>
                <w:tcPr>
                  <w:tcW w:w="699" w:type="dxa"/>
                  <w:tcBorders>
                    <w:tl2br w:val="nil"/>
                    <w:tr2bl w:val="nil"/>
                  </w:tcBorders>
                  <w:vAlign w:val="center"/>
                </w:tcPr>
                <w:p w14:paraId="6DE3B3E2">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68.42 </w:t>
                  </w:r>
                </w:p>
              </w:tc>
              <w:tc>
                <w:tcPr>
                  <w:tcW w:w="699" w:type="dxa"/>
                  <w:tcBorders>
                    <w:tl2br w:val="nil"/>
                    <w:tr2bl w:val="nil"/>
                  </w:tcBorders>
                  <w:vAlign w:val="center"/>
                </w:tcPr>
                <w:p w14:paraId="62136047">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65.92 </w:t>
                  </w:r>
                </w:p>
              </w:tc>
              <w:tc>
                <w:tcPr>
                  <w:tcW w:w="699" w:type="dxa"/>
                  <w:tcBorders>
                    <w:tl2br w:val="nil"/>
                    <w:tr2bl w:val="nil"/>
                  </w:tcBorders>
                  <w:vAlign w:val="center"/>
                </w:tcPr>
                <w:p w14:paraId="0E1BABC9">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63.98 </w:t>
                  </w:r>
                </w:p>
              </w:tc>
              <w:tc>
                <w:tcPr>
                  <w:tcW w:w="699" w:type="dxa"/>
                  <w:tcBorders>
                    <w:tl2br w:val="nil"/>
                    <w:tr2bl w:val="nil"/>
                  </w:tcBorders>
                  <w:vAlign w:val="center"/>
                </w:tcPr>
                <w:p w14:paraId="678F50F4">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62.40 </w:t>
                  </w:r>
                </w:p>
              </w:tc>
              <w:tc>
                <w:tcPr>
                  <w:tcW w:w="699" w:type="dxa"/>
                  <w:tcBorders>
                    <w:tl2br w:val="nil"/>
                    <w:tr2bl w:val="nil"/>
                  </w:tcBorders>
                  <w:vAlign w:val="center"/>
                </w:tcPr>
                <w:p w14:paraId="0A2AA692">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60.46 </w:t>
                  </w:r>
                </w:p>
              </w:tc>
              <w:tc>
                <w:tcPr>
                  <w:tcW w:w="699" w:type="dxa"/>
                  <w:tcBorders>
                    <w:tl2br w:val="nil"/>
                    <w:tr2bl w:val="nil"/>
                  </w:tcBorders>
                  <w:vAlign w:val="center"/>
                </w:tcPr>
                <w:p w14:paraId="4D35158D">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58.87 </w:t>
                  </w:r>
                </w:p>
              </w:tc>
              <w:tc>
                <w:tcPr>
                  <w:tcW w:w="703" w:type="dxa"/>
                  <w:tcBorders>
                    <w:tl2br w:val="nil"/>
                    <w:tr2bl w:val="nil"/>
                  </w:tcBorders>
                  <w:vAlign w:val="center"/>
                </w:tcPr>
                <w:p w14:paraId="5325FE18">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57.96 </w:t>
                  </w:r>
                </w:p>
              </w:tc>
            </w:tr>
            <w:tr w14:paraId="641A4F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53" w:type="dxa"/>
                  <w:tcBorders>
                    <w:tl2br w:val="nil"/>
                    <w:tr2bl w:val="nil"/>
                  </w:tcBorders>
                  <w:vAlign w:val="center"/>
                </w:tcPr>
                <w:p w14:paraId="62240FC5">
                  <w:pPr>
                    <w:kinsoku w:val="0"/>
                    <w:overflowPunct w:val="0"/>
                    <w:autoSpaceDE w:val="0"/>
                    <w:autoSpaceDN w:val="0"/>
                    <w:adjustRightInd w:val="0"/>
                    <w:jc w:val="center"/>
                    <w:rPr>
                      <w:color w:val="auto"/>
                      <w:kern w:val="0"/>
                      <w:szCs w:val="21"/>
                    </w:rPr>
                  </w:pPr>
                  <w:r>
                    <w:rPr>
                      <w:rFonts w:hint="default" w:ascii="Times New Roman"/>
                      <w:color w:val="auto"/>
                      <w:szCs w:val="21"/>
                    </w:rPr>
                    <w:t>振捣器</w:t>
                  </w:r>
                </w:p>
              </w:tc>
              <w:tc>
                <w:tcPr>
                  <w:tcW w:w="699" w:type="dxa"/>
                  <w:tcBorders>
                    <w:tl2br w:val="nil"/>
                    <w:tr2bl w:val="nil"/>
                  </w:tcBorders>
                  <w:vAlign w:val="center"/>
                </w:tcPr>
                <w:p w14:paraId="38EE9368">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78.98 </w:t>
                  </w:r>
                </w:p>
              </w:tc>
              <w:tc>
                <w:tcPr>
                  <w:tcW w:w="699" w:type="dxa"/>
                  <w:tcBorders>
                    <w:tl2br w:val="nil"/>
                    <w:tr2bl w:val="nil"/>
                  </w:tcBorders>
                  <w:vAlign w:val="center"/>
                </w:tcPr>
                <w:p w14:paraId="5CF7C1C8">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72.96 </w:t>
                  </w:r>
                </w:p>
              </w:tc>
              <w:tc>
                <w:tcPr>
                  <w:tcW w:w="699" w:type="dxa"/>
                  <w:tcBorders>
                    <w:tl2br w:val="nil"/>
                    <w:tr2bl w:val="nil"/>
                  </w:tcBorders>
                  <w:vAlign w:val="center"/>
                </w:tcPr>
                <w:p w14:paraId="2AA636AE">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66.94 </w:t>
                  </w:r>
                </w:p>
              </w:tc>
              <w:tc>
                <w:tcPr>
                  <w:tcW w:w="699" w:type="dxa"/>
                  <w:tcBorders>
                    <w:tl2br w:val="nil"/>
                    <w:tr2bl w:val="nil"/>
                  </w:tcBorders>
                  <w:vAlign w:val="center"/>
                </w:tcPr>
                <w:p w14:paraId="1D068492">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63.42 </w:t>
                  </w:r>
                </w:p>
              </w:tc>
              <w:tc>
                <w:tcPr>
                  <w:tcW w:w="699" w:type="dxa"/>
                  <w:tcBorders>
                    <w:tl2br w:val="nil"/>
                    <w:tr2bl w:val="nil"/>
                  </w:tcBorders>
                  <w:vAlign w:val="center"/>
                </w:tcPr>
                <w:p w14:paraId="508C5F51">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60.92 </w:t>
                  </w:r>
                </w:p>
              </w:tc>
              <w:tc>
                <w:tcPr>
                  <w:tcW w:w="699" w:type="dxa"/>
                  <w:tcBorders>
                    <w:tl2br w:val="nil"/>
                    <w:tr2bl w:val="nil"/>
                  </w:tcBorders>
                  <w:vAlign w:val="center"/>
                </w:tcPr>
                <w:p w14:paraId="152DC76A">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58.98 </w:t>
                  </w:r>
                </w:p>
              </w:tc>
              <w:tc>
                <w:tcPr>
                  <w:tcW w:w="699" w:type="dxa"/>
                  <w:tcBorders>
                    <w:tl2br w:val="nil"/>
                    <w:tr2bl w:val="nil"/>
                  </w:tcBorders>
                  <w:vAlign w:val="center"/>
                </w:tcPr>
                <w:p w14:paraId="12BBE119">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57.40 </w:t>
                  </w:r>
                </w:p>
              </w:tc>
              <w:tc>
                <w:tcPr>
                  <w:tcW w:w="699" w:type="dxa"/>
                  <w:tcBorders>
                    <w:tl2br w:val="nil"/>
                    <w:tr2bl w:val="nil"/>
                  </w:tcBorders>
                  <w:vAlign w:val="center"/>
                </w:tcPr>
                <w:p w14:paraId="16F5B164">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55.46 </w:t>
                  </w:r>
                </w:p>
              </w:tc>
              <w:tc>
                <w:tcPr>
                  <w:tcW w:w="699" w:type="dxa"/>
                  <w:tcBorders>
                    <w:tl2br w:val="nil"/>
                    <w:tr2bl w:val="nil"/>
                  </w:tcBorders>
                  <w:vAlign w:val="center"/>
                </w:tcPr>
                <w:p w14:paraId="5C18AA41">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53.87 </w:t>
                  </w:r>
                </w:p>
              </w:tc>
              <w:tc>
                <w:tcPr>
                  <w:tcW w:w="703" w:type="dxa"/>
                  <w:tcBorders>
                    <w:tl2br w:val="nil"/>
                    <w:tr2bl w:val="nil"/>
                  </w:tcBorders>
                  <w:vAlign w:val="center"/>
                </w:tcPr>
                <w:p w14:paraId="7D901C2E">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52.96 </w:t>
                  </w:r>
                </w:p>
              </w:tc>
            </w:tr>
            <w:tr w14:paraId="550EBC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53" w:type="dxa"/>
                  <w:tcBorders>
                    <w:tl2br w:val="nil"/>
                    <w:tr2bl w:val="nil"/>
                  </w:tcBorders>
                  <w:vAlign w:val="center"/>
                </w:tcPr>
                <w:p w14:paraId="715FAA8A">
                  <w:pPr>
                    <w:kinsoku w:val="0"/>
                    <w:overflowPunct w:val="0"/>
                    <w:jc w:val="center"/>
                    <w:rPr>
                      <w:color w:val="auto"/>
                      <w:kern w:val="0"/>
                      <w:szCs w:val="21"/>
                    </w:rPr>
                  </w:pPr>
                  <w:r>
                    <w:rPr>
                      <w:color w:val="auto"/>
                      <w:kern w:val="0"/>
                      <w:szCs w:val="21"/>
                    </w:rPr>
                    <w:t>运输车辆</w:t>
                  </w:r>
                </w:p>
              </w:tc>
              <w:tc>
                <w:tcPr>
                  <w:tcW w:w="699" w:type="dxa"/>
                  <w:tcBorders>
                    <w:tl2br w:val="nil"/>
                    <w:tr2bl w:val="nil"/>
                  </w:tcBorders>
                  <w:vAlign w:val="center"/>
                </w:tcPr>
                <w:p w14:paraId="6549F869">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78.98 </w:t>
                  </w:r>
                </w:p>
              </w:tc>
              <w:tc>
                <w:tcPr>
                  <w:tcW w:w="699" w:type="dxa"/>
                  <w:tcBorders>
                    <w:tl2br w:val="nil"/>
                    <w:tr2bl w:val="nil"/>
                  </w:tcBorders>
                  <w:vAlign w:val="center"/>
                </w:tcPr>
                <w:p w14:paraId="5467AD79">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72.96 </w:t>
                  </w:r>
                </w:p>
              </w:tc>
              <w:tc>
                <w:tcPr>
                  <w:tcW w:w="699" w:type="dxa"/>
                  <w:tcBorders>
                    <w:tl2br w:val="nil"/>
                    <w:tr2bl w:val="nil"/>
                  </w:tcBorders>
                  <w:vAlign w:val="center"/>
                </w:tcPr>
                <w:p w14:paraId="0DBED7D6">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66.94 </w:t>
                  </w:r>
                </w:p>
              </w:tc>
              <w:tc>
                <w:tcPr>
                  <w:tcW w:w="699" w:type="dxa"/>
                  <w:tcBorders>
                    <w:tl2br w:val="nil"/>
                    <w:tr2bl w:val="nil"/>
                  </w:tcBorders>
                  <w:vAlign w:val="center"/>
                </w:tcPr>
                <w:p w14:paraId="6D0A9267">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63.42 </w:t>
                  </w:r>
                </w:p>
              </w:tc>
              <w:tc>
                <w:tcPr>
                  <w:tcW w:w="699" w:type="dxa"/>
                  <w:tcBorders>
                    <w:tl2br w:val="nil"/>
                    <w:tr2bl w:val="nil"/>
                  </w:tcBorders>
                  <w:vAlign w:val="center"/>
                </w:tcPr>
                <w:p w14:paraId="54D1B97B">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60.92 </w:t>
                  </w:r>
                </w:p>
              </w:tc>
              <w:tc>
                <w:tcPr>
                  <w:tcW w:w="699" w:type="dxa"/>
                  <w:tcBorders>
                    <w:tl2br w:val="nil"/>
                    <w:tr2bl w:val="nil"/>
                  </w:tcBorders>
                  <w:vAlign w:val="center"/>
                </w:tcPr>
                <w:p w14:paraId="455B017F">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58.98 </w:t>
                  </w:r>
                </w:p>
              </w:tc>
              <w:tc>
                <w:tcPr>
                  <w:tcW w:w="699" w:type="dxa"/>
                  <w:tcBorders>
                    <w:tl2br w:val="nil"/>
                    <w:tr2bl w:val="nil"/>
                  </w:tcBorders>
                  <w:vAlign w:val="center"/>
                </w:tcPr>
                <w:p w14:paraId="6ACF0434">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57.40 </w:t>
                  </w:r>
                </w:p>
              </w:tc>
              <w:tc>
                <w:tcPr>
                  <w:tcW w:w="699" w:type="dxa"/>
                  <w:tcBorders>
                    <w:tl2br w:val="nil"/>
                    <w:tr2bl w:val="nil"/>
                  </w:tcBorders>
                  <w:vAlign w:val="center"/>
                </w:tcPr>
                <w:p w14:paraId="70788504">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55.46 </w:t>
                  </w:r>
                </w:p>
              </w:tc>
              <w:tc>
                <w:tcPr>
                  <w:tcW w:w="699" w:type="dxa"/>
                  <w:tcBorders>
                    <w:tl2br w:val="nil"/>
                    <w:tr2bl w:val="nil"/>
                  </w:tcBorders>
                  <w:vAlign w:val="center"/>
                </w:tcPr>
                <w:p w14:paraId="77B6BFEE">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53.87 </w:t>
                  </w:r>
                </w:p>
              </w:tc>
              <w:tc>
                <w:tcPr>
                  <w:tcW w:w="703" w:type="dxa"/>
                  <w:tcBorders>
                    <w:tl2br w:val="nil"/>
                    <w:tr2bl w:val="nil"/>
                  </w:tcBorders>
                  <w:vAlign w:val="center"/>
                </w:tcPr>
                <w:p w14:paraId="644A6AF3">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52.96 </w:t>
                  </w:r>
                </w:p>
              </w:tc>
            </w:tr>
            <w:tr w14:paraId="00C523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53" w:type="dxa"/>
                  <w:tcBorders>
                    <w:tl2br w:val="nil"/>
                    <w:tr2bl w:val="nil"/>
                  </w:tcBorders>
                  <w:vAlign w:val="center"/>
                </w:tcPr>
                <w:p w14:paraId="13A6820B">
                  <w:pPr>
                    <w:kinsoku w:val="0"/>
                    <w:overflowPunct w:val="0"/>
                    <w:jc w:val="center"/>
                    <w:rPr>
                      <w:color w:val="auto"/>
                      <w:kern w:val="0"/>
                      <w:szCs w:val="21"/>
                    </w:rPr>
                  </w:pPr>
                  <w:r>
                    <w:rPr>
                      <w:rFonts w:hint="eastAsia"/>
                      <w:color w:val="auto"/>
                      <w:kern w:val="0"/>
                      <w:szCs w:val="21"/>
                    </w:rPr>
                    <w:t>合计</w:t>
                  </w:r>
                </w:p>
              </w:tc>
              <w:tc>
                <w:tcPr>
                  <w:tcW w:w="699" w:type="dxa"/>
                  <w:tcBorders>
                    <w:tl2br w:val="nil"/>
                    <w:tr2bl w:val="nil"/>
                  </w:tcBorders>
                  <w:vAlign w:val="center"/>
                </w:tcPr>
                <w:p w14:paraId="41B16A7C">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 xml:space="preserve">87 </w:t>
                  </w:r>
                </w:p>
              </w:tc>
              <w:tc>
                <w:tcPr>
                  <w:tcW w:w="699" w:type="dxa"/>
                  <w:tcBorders>
                    <w:tl2br w:val="nil"/>
                    <w:tr2bl w:val="nil"/>
                  </w:tcBorders>
                  <w:vAlign w:val="center"/>
                </w:tcPr>
                <w:p w14:paraId="5B7E6F12">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 xml:space="preserve">81 </w:t>
                  </w:r>
                </w:p>
              </w:tc>
              <w:tc>
                <w:tcPr>
                  <w:tcW w:w="699" w:type="dxa"/>
                  <w:tcBorders>
                    <w:tl2br w:val="nil"/>
                    <w:tr2bl w:val="nil"/>
                  </w:tcBorders>
                  <w:vAlign w:val="center"/>
                </w:tcPr>
                <w:p w14:paraId="3650D842">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 xml:space="preserve">75 </w:t>
                  </w:r>
                </w:p>
              </w:tc>
              <w:tc>
                <w:tcPr>
                  <w:tcW w:w="699" w:type="dxa"/>
                  <w:tcBorders>
                    <w:tl2br w:val="nil"/>
                    <w:tr2bl w:val="nil"/>
                  </w:tcBorders>
                  <w:vAlign w:val="center"/>
                </w:tcPr>
                <w:p w14:paraId="05F39F1A">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 xml:space="preserve">71 </w:t>
                  </w:r>
                </w:p>
              </w:tc>
              <w:tc>
                <w:tcPr>
                  <w:tcW w:w="699" w:type="dxa"/>
                  <w:tcBorders>
                    <w:tl2br w:val="nil"/>
                    <w:tr2bl w:val="nil"/>
                  </w:tcBorders>
                  <w:vAlign w:val="center"/>
                </w:tcPr>
                <w:p w14:paraId="61C129B6">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 xml:space="preserve">69 </w:t>
                  </w:r>
                </w:p>
              </w:tc>
              <w:tc>
                <w:tcPr>
                  <w:tcW w:w="699" w:type="dxa"/>
                  <w:tcBorders>
                    <w:tl2br w:val="nil"/>
                    <w:tr2bl w:val="nil"/>
                  </w:tcBorders>
                  <w:vAlign w:val="center"/>
                </w:tcPr>
                <w:p w14:paraId="6C3FB1B5">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 xml:space="preserve">67 </w:t>
                  </w:r>
                </w:p>
              </w:tc>
              <w:tc>
                <w:tcPr>
                  <w:tcW w:w="699" w:type="dxa"/>
                  <w:tcBorders>
                    <w:tl2br w:val="nil"/>
                    <w:tr2bl w:val="nil"/>
                  </w:tcBorders>
                  <w:vAlign w:val="center"/>
                </w:tcPr>
                <w:p w14:paraId="15F1D177">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 xml:space="preserve">65 </w:t>
                  </w:r>
                </w:p>
              </w:tc>
              <w:tc>
                <w:tcPr>
                  <w:tcW w:w="699" w:type="dxa"/>
                  <w:tcBorders>
                    <w:tl2br w:val="nil"/>
                    <w:tr2bl w:val="nil"/>
                  </w:tcBorders>
                  <w:vAlign w:val="center"/>
                </w:tcPr>
                <w:p w14:paraId="4CF55B29">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 xml:space="preserve">63 </w:t>
                  </w:r>
                </w:p>
              </w:tc>
              <w:tc>
                <w:tcPr>
                  <w:tcW w:w="699" w:type="dxa"/>
                  <w:tcBorders>
                    <w:tl2br w:val="nil"/>
                    <w:tr2bl w:val="nil"/>
                  </w:tcBorders>
                  <w:vAlign w:val="center"/>
                </w:tcPr>
                <w:p w14:paraId="2103FDAC">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 xml:space="preserve">62 </w:t>
                  </w:r>
                </w:p>
              </w:tc>
              <w:tc>
                <w:tcPr>
                  <w:tcW w:w="703" w:type="dxa"/>
                  <w:tcBorders>
                    <w:tl2br w:val="nil"/>
                    <w:tr2bl w:val="nil"/>
                  </w:tcBorders>
                  <w:vAlign w:val="center"/>
                </w:tcPr>
                <w:p w14:paraId="008B4698">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 xml:space="preserve">61 </w:t>
                  </w:r>
                </w:p>
              </w:tc>
            </w:tr>
          </w:tbl>
          <w:p w14:paraId="1B9238AF">
            <w:pPr>
              <w:adjustRightInd w:val="0"/>
              <w:snapToGrid w:val="0"/>
              <w:spacing w:before="120" w:beforeLines="50" w:line="360" w:lineRule="auto"/>
              <w:ind w:firstLine="482" w:firstLineChars="200"/>
              <w:textAlignment w:val="baseline"/>
              <w:rPr>
                <w:b/>
                <w:color w:val="auto"/>
                <w:sz w:val="24"/>
              </w:rPr>
            </w:pPr>
            <w:r>
              <w:rPr>
                <w:b/>
                <w:color w:val="auto"/>
                <w:sz w:val="24"/>
              </w:rPr>
              <w:t>3、影响分析</w:t>
            </w:r>
          </w:p>
          <w:p w14:paraId="4FF34B1C">
            <w:pPr>
              <w:adjustRightInd w:val="0"/>
              <w:snapToGrid w:val="0"/>
              <w:spacing w:line="360" w:lineRule="auto"/>
              <w:ind w:firstLine="480" w:firstLineChars="200"/>
              <w:textAlignment w:val="baseline"/>
              <w:rPr>
                <w:color w:val="auto"/>
                <w:sz w:val="24"/>
              </w:rPr>
            </w:pPr>
            <w:r>
              <w:rPr>
                <w:color w:val="auto"/>
                <w:sz w:val="24"/>
              </w:rPr>
              <w:t>从上表可见，施工期噪声昼间最大影响距离为</w:t>
            </w:r>
            <w:r>
              <w:rPr>
                <w:rFonts w:hint="eastAsia"/>
                <w:color w:val="auto"/>
                <w:sz w:val="24"/>
                <w:lang w:val="en-US" w:eastAsia="zh-CN"/>
              </w:rPr>
              <w:t>80</w:t>
            </w:r>
            <w:r>
              <w:rPr>
                <w:color w:val="auto"/>
                <w:sz w:val="24"/>
              </w:rPr>
              <w:t>m，</w:t>
            </w:r>
            <w:r>
              <w:rPr>
                <w:rFonts w:hint="eastAsia"/>
                <w:color w:val="auto"/>
                <w:sz w:val="24"/>
                <w:lang w:val="en-US" w:eastAsia="zh-CN"/>
              </w:rPr>
              <w:t>80</w:t>
            </w:r>
            <w:r>
              <w:rPr>
                <w:color w:val="auto"/>
                <w:sz w:val="24"/>
              </w:rPr>
              <w:t>m外可符合《建筑施工噪声排放标准》</w:t>
            </w:r>
            <w:r>
              <w:rPr>
                <w:rFonts w:hint="eastAsia"/>
                <w:color w:val="auto"/>
                <w:sz w:val="24"/>
              </w:rPr>
              <w:t>（</w:t>
            </w:r>
            <w:r>
              <w:rPr>
                <w:color w:val="auto"/>
                <w:sz w:val="24"/>
              </w:rPr>
              <w:t>GB 12523-20</w:t>
            </w:r>
            <w:r>
              <w:rPr>
                <w:rFonts w:hint="eastAsia"/>
                <w:color w:val="auto"/>
                <w:sz w:val="24"/>
                <w:lang w:val="en-US" w:eastAsia="zh-CN"/>
              </w:rPr>
              <w:t>25</w:t>
            </w:r>
            <w:r>
              <w:rPr>
                <w:rFonts w:hint="eastAsia"/>
                <w:color w:val="auto"/>
                <w:sz w:val="24"/>
              </w:rPr>
              <w:t>）</w:t>
            </w:r>
            <w:r>
              <w:rPr>
                <w:color w:val="auto"/>
                <w:sz w:val="24"/>
              </w:rPr>
              <w:t>标准限值。</w:t>
            </w:r>
          </w:p>
          <w:p w14:paraId="6E483E8B">
            <w:pPr>
              <w:spacing w:line="360" w:lineRule="auto"/>
              <w:ind w:firstLine="480" w:firstLineChars="200"/>
              <w:rPr>
                <w:snapToGrid w:val="0"/>
                <w:color w:val="auto"/>
                <w:sz w:val="24"/>
              </w:rPr>
            </w:pPr>
            <w:r>
              <w:rPr>
                <w:rFonts w:hint="eastAsia"/>
                <w:snapToGrid w:val="0"/>
                <w:color w:val="auto"/>
                <w:sz w:val="24"/>
              </w:rPr>
              <w:t>整体来看，施工时产生的噪声均不可避免会对附近居民点</w:t>
            </w:r>
            <w:r>
              <w:rPr>
                <w:rFonts w:hint="eastAsia"/>
                <w:snapToGrid w:val="0"/>
                <w:color w:val="auto"/>
                <w:sz w:val="24"/>
                <w:lang w:eastAsia="zh-CN"/>
              </w:rPr>
              <w:t>、关坝镇小学</w:t>
            </w:r>
            <w:r>
              <w:rPr>
                <w:rFonts w:hint="eastAsia"/>
                <w:snapToGrid w:val="0"/>
                <w:color w:val="auto"/>
                <w:sz w:val="24"/>
              </w:rPr>
              <w:t>产生一定的影响</w:t>
            </w:r>
            <w:r>
              <w:rPr>
                <w:rFonts w:hint="eastAsia"/>
                <w:snapToGrid w:val="0"/>
                <w:color w:val="auto"/>
                <w:sz w:val="24"/>
                <w:lang w:eastAsia="zh-CN"/>
              </w:rPr>
              <w:t>。</w:t>
            </w:r>
            <w:r>
              <w:rPr>
                <w:rFonts w:hint="eastAsia" w:ascii="Times New Roman" w:hAnsi="Times New Roman" w:eastAsia="宋体" w:cs="Times New Roman"/>
                <w:snapToGrid w:val="0"/>
                <w:color w:val="auto"/>
                <w:sz w:val="24"/>
                <w:lang w:eastAsia="zh-CN"/>
              </w:rPr>
              <w:t>附近</w:t>
            </w:r>
            <w:r>
              <w:rPr>
                <w:rFonts w:hint="eastAsia" w:cs="Times New Roman"/>
                <w:snapToGrid w:val="0"/>
                <w:color w:val="auto"/>
                <w:sz w:val="24"/>
                <w:lang w:eastAsia="zh-CN"/>
              </w:rPr>
              <w:t>关坝居民</w:t>
            </w:r>
            <w:r>
              <w:rPr>
                <w:rFonts w:hint="eastAsia" w:ascii="Times New Roman" w:hAnsi="Times New Roman" w:eastAsia="宋体" w:cs="Times New Roman"/>
                <w:snapToGrid w:val="0"/>
                <w:color w:val="auto"/>
                <w:sz w:val="24"/>
                <w:lang w:eastAsia="zh-CN"/>
              </w:rPr>
              <w:t>点</w:t>
            </w:r>
            <w:r>
              <w:rPr>
                <w:rFonts w:hint="eastAsia" w:cs="Times New Roman"/>
                <w:snapToGrid w:val="0"/>
                <w:color w:val="auto"/>
                <w:sz w:val="24"/>
                <w:lang w:eastAsia="zh-CN"/>
              </w:rPr>
              <w:t>距本项目</w:t>
            </w:r>
            <w:r>
              <w:rPr>
                <w:rFonts w:hint="eastAsia" w:cs="Times New Roman"/>
                <w:snapToGrid w:val="0"/>
                <w:color w:val="auto"/>
                <w:sz w:val="24"/>
                <w:lang w:val="en-US" w:eastAsia="zh-CN"/>
              </w:rPr>
              <w:t>6m</w:t>
            </w:r>
            <w:r>
              <w:rPr>
                <w:rFonts w:hint="eastAsia"/>
                <w:snapToGrid w:val="0"/>
                <w:color w:val="auto"/>
                <w:sz w:val="24"/>
                <w:lang w:eastAsia="zh-CN"/>
              </w:rPr>
              <w:t>，关坝镇小学距本项目</w:t>
            </w:r>
            <w:r>
              <w:rPr>
                <w:rFonts w:hint="eastAsia"/>
                <w:snapToGrid w:val="0"/>
                <w:color w:val="auto"/>
                <w:sz w:val="24"/>
                <w:lang w:val="en-US" w:eastAsia="zh-CN"/>
              </w:rPr>
              <w:t>28m，</w:t>
            </w:r>
            <w:r>
              <w:rPr>
                <w:rFonts w:hint="eastAsia"/>
                <w:snapToGrid w:val="0"/>
                <w:color w:val="auto"/>
                <w:sz w:val="24"/>
                <w:lang w:eastAsia="zh-CN"/>
              </w:rPr>
              <w:t>施工期间噪声均不达标。</w:t>
            </w:r>
            <w:r>
              <w:rPr>
                <w:rFonts w:hint="eastAsia"/>
                <w:snapToGrid w:val="0"/>
                <w:color w:val="auto"/>
                <w:sz w:val="24"/>
              </w:rPr>
              <w:t>但是由于施工全部在昼间进行，夜间不施工，故夜间不会对附近住户</w:t>
            </w:r>
            <w:r>
              <w:rPr>
                <w:rFonts w:hint="eastAsia"/>
                <w:snapToGrid w:val="0"/>
                <w:color w:val="auto"/>
                <w:sz w:val="24"/>
                <w:lang w:eastAsia="zh-CN"/>
              </w:rPr>
              <w:t>、学校</w:t>
            </w:r>
            <w:r>
              <w:rPr>
                <w:rFonts w:hint="eastAsia"/>
                <w:snapToGrid w:val="0"/>
                <w:color w:val="auto"/>
                <w:sz w:val="24"/>
              </w:rPr>
              <w:t>产生影响。在施工过程中，应尽量选择合理的施工时间，高噪声设备作业可尽量避开周边住户</w:t>
            </w:r>
            <w:r>
              <w:rPr>
                <w:rFonts w:hint="eastAsia"/>
                <w:snapToGrid w:val="0"/>
                <w:color w:val="auto"/>
                <w:sz w:val="24"/>
                <w:lang w:eastAsia="zh-CN"/>
              </w:rPr>
              <w:t>、学生</w:t>
            </w:r>
            <w:r>
              <w:rPr>
                <w:rFonts w:hint="eastAsia"/>
                <w:snapToGrid w:val="0"/>
                <w:color w:val="auto"/>
                <w:sz w:val="24"/>
              </w:rPr>
              <w:t>午间休息时间，最大程度避免噪声扰民</w:t>
            </w:r>
            <w:r>
              <w:rPr>
                <w:rFonts w:hint="eastAsia"/>
                <w:snapToGrid w:val="0"/>
                <w:color w:val="auto"/>
                <w:sz w:val="24"/>
                <w:lang w:eastAsia="zh-CN"/>
              </w:rPr>
              <w:t>；项目区周围均设置围挡进行降噪。</w:t>
            </w:r>
            <w:r>
              <w:rPr>
                <w:rFonts w:hint="eastAsia"/>
                <w:bCs/>
                <w:color w:val="auto"/>
                <w:sz w:val="24"/>
              </w:rPr>
              <w:t>项目高噪声施工器具等临时工程均设置于项目区中部位置，远离项目区</w:t>
            </w:r>
            <w:r>
              <w:rPr>
                <w:rFonts w:hint="eastAsia"/>
                <w:bCs/>
                <w:color w:val="auto"/>
                <w:sz w:val="24"/>
                <w:lang w:eastAsia="zh-CN"/>
              </w:rPr>
              <w:t>西</w:t>
            </w:r>
            <w:r>
              <w:rPr>
                <w:rFonts w:hint="eastAsia"/>
                <w:bCs/>
                <w:color w:val="auto"/>
                <w:sz w:val="24"/>
              </w:rPr>
              <w:t>侧关坝镇居民、学校</w:t>
            </w:r>
            <w:r>
              <w:rPr>
                <w:rFonts w:hint="eastAsia"/>
                <w:bCs/>
                <w:color w:val="auto"/>
                <w:sz w:val="24"/>
                <w:lang w:eastAsia="zh-CN"/>
              </w:rPr>
              <w:t>布置，最大程度降低施工噪声对其影响</w:t>
            </w:r>
            <w:r>
              <w:rPr>
                <w:rFonts w:hint="eastAsia"/>
                <w:bCs/>
                <w:color w:val="auto"/>
                <w:sz w:val="24"/>
              </w:rPr>
              <w:t>。</w:t>
            </w:r>
            <w:r>
              <w:rPr>
                <w:rFonts w:hint="eastAsia"/>
                <w:snapToGrid w:val="0"/>
                <w:color w:val="auto"/>
                <w:sz w:val="24"/>
              </w:rPr>
              <w:t>本项目施工噪声影响随施工的结束而消失，不会形成施工噪声的长期声环境影响，其环境影响可控制在当地环境可接受范围内。</w:t>
            </w:r>
          </w:p>
          <w:p w14:paraId="3030572F">
            <w:pPr>
              <w:adjustRightInd w:val="0"/>
              <w:snapToGrid w:val="0"/>
              <w:spacing w:line="360" w:lineRule="auto"/>
              <w:ind w:firstLine="482" w:firstLineChars="200"/>
              <w:textAlignment w:val="baseline"/>
              <w:rPr>
                <w:b/>
                <w:color w:val="auto"/>
                <w:sz w:val="24"/>
              </w:rPr>
            </w:pPr>
            <w:r>
              <w:rPr>
                <w:b/>
                <w:color w:val="auto"/>
                <w:sz w:val="24"/>
              </w:rPr>
              <w:t>综上所述，</w:t>
            </w:r>
            <w:r>
              <w:rPr>
                <w:rFonts w:hint="eastAsia"/>
                <w:b/>
                <w:color w:val="auto"/>
                <w:sz w:val="24"/>
                <w:lang w:eastAsia="zh-CN"/>
              </w:rPr>
              <w:t>项目施工过程中不可避免会对周边居民及学校造成影响，在</w:t>
            </w:r>
            <w:r>
              <w:rPr>
                <w:b/>
                <w:color w:val="auto"/>
                <w:sz w:val="24"/>
              </w:rPr>
              <w:t>采取</w:t>
            </w:r>
            <w:r>
              <w:rPr>
                <w:rFonts w:hint="eastAsia"/>
                <w:b/>
                <w:color w:val="auto"/>
                <w:sz w:val="24"/>
                <w:lang w:eastAsia="zh-CN"/>
              </w:rPr>
              <w:t>合理布局、设置声屏障等</w:t>
            </w:r>
            <w:r>
              <w:rPr>
                <w:b/>
                <w:color w:val="auto"/>
                <w:sz w:val="24"/>
              </w:rPr>
              <w:t>措施后，可有效减缓施工期噪声对敏感点的影响，降低施工期噪声污染。</w:t>
            </w:r>
          </w:p>
          <w:p w14:paraId="3405668C">
            <w:pPr>
              <w:spacing w:line="360" w:lineRule="auto"/>
              <w:ind w:firstLine="482" w:firstLineChars="200"/>
              <w:textAlignment w:val="baseline"/>
              <w:rPr>
                <w:b/>
                <w:color w:val="auto"/>
                <w:sz w:val="24"/>
              </w:rPr>
            </w:pPr>
            <w:r>
              <w:rPr>
                <w:b/>
                <w:color w:val="auto"/>
                <w:sz w:val="24"/>
              </w:rPr>
              <w:t>五、固废环境影响分析</w:t>
            </w:r>
          </w:p>
          <w:p w14:paraId="49C5AC48">
            <w:pPr>
              <w:spacing w:line="360" w:lineRule="auto"/>
              <w:ind w:firstLine="480" w:firstLineChars="200"/>
              <w:textAlignment w:val="baseline"/>
              <w:rPr>
                <w:color w:val="auto"/>
                <w:sz w:val="24"/>
              </w:rPr>
            </w:pPr>
            <w:r>
              <w:rPr>
                <w:color w:val="auto"/>
                <w:sz w:val="24"/>
              </w:rPr>
              <w:t>本项目施工期固体废物主要包括弃土、建筑垃圾、生活垃圾。</w:t>
            </w:r>
          </w:p>
          <w:p w14:paraId="16F52F64">
            <w:pPr>
              <w:spacing w:line="360" w:lineRule="auto"/>
              <w:ind w:firstLine="482" w:firstLineChars="200"/>
              <w:textAlignment w:val="baseline"/>
              <w:rPr>
                <w:rFonts w:hint="eastAsia" w:eastAsia="宋体"/>
                <w:b/>
                <w:color w:val="auto"/>
                <w:sz w:val="24"/>
                <w:lang w:eastAsia="zh-CN"/>
              </w:rPr>
            </w:pPr>
            <w:r>
              <w:rPr>
                <w:b/>
                <w:color w:val="auto"/>
                <w:sz w:val="24"/>
              </w:rPr>
              <w:t>1、</w:t>
            </w:r>
            <w:r>
              <w:rPr>
                <w:rFonts w:hint="eastAsia"/>
                <w:b/>
                <w:color w:val="auto"/>
                <w:sz w:val="24"/>
                <w:lang w:eastAsia="zh-CN"/>
              </w:rPr>
              <w:t>废弃土石方</w:t>
            </w:r>
          </w:p>
          <w:p w14:paraId="5BBA2504">
            <w:pPr>
              <w:snapToGrid w:val="0"/>
              <w:spacing w:line="360" w:lineRule="auto"/>
              <w:ind w:firstLine="480" w:firstLineChars="200"/>
              <w:rPr>
                <w:rFonts w:hint="eastAsia"/>
                <w:color w:val="auto"/>
                <w:sz w:val="24"/>
                <w:highlight w:val="none"/>
                <w:shd w:val="clear" w:color="auto" w:fill="FFFFFF"/>
              </w:rPr>
            </w:pPr>
            <w:r>
              <w:rPr>
                <w:rFonts w:hint="eastAsia"/>
                <w:color w:val="auto"/>
                <w:sz w:val="24"/>
                <w:shd w:val="clear" w:color="auto" w:fill="FFFFFF"/>
                <w:lang w:eastAsia="zh-CN"/>
              </w:rPr>
              <w:t>根据前文土石方平衡分析，</w:t>
            </w:r>
            <w:r>
              <w:rPr>
                <w:rFonts w:hint="eastAsia"/>
                <w:color w:val="auto"/>
                <w:sz w:val="24"/>
                <w:shd w:val="clear" w:color="auto" w:fill="FFFFFF"/>
              </w:rPr>
              <w:t>本工程土石方开挖总量</w:t>
            </w:r>
            <w:r>
              <w:rPr>
                <w:rFonts w:hint="eastAsia"/>
                <w:color w:val="auto"/>
                <w:sz w:val="24"/>
                <w:shd w:val="clear" w:color="auto" w:fill="FFFFFF"/>
                <w:lang w:val="en-US" w:eastAsia="zh-CN"/>
              </w:rPr>
              <w:t>1.95</w:t>
            </w:r>
            <w:r>
              <w:rPr>
                <w:rFonts w:hint="eastAsia"/>
                <w:color w:val="auto"/>
                <w:sz w:val="24"/>
                <w:shd w:val="clear" w:color="auto" w:fill="FFFFFF"/>
              </w:rPr>
              <w:t>万m³（含表土0.</w:t>
            </w:r>
            <w:r>
              <w:rPr>
                <w:rFonts w:hint="eastAsia"/>
                <w:color w:val="auto"/>
                <w:sz w:val="24"/>
                <w:shd w:val="clear" w:color="auto" w:fill="FFFFFF"/>
                <w:lang w:val="en-US" w:eastAsia="zh-CN"/>
              </w:rPr>
              <w:t>29</w:t>
            </w:r>
            <w:r>
              <w:rPr>
                <w:rFonts w:hint="eastAsia"/>
                <w:color w:val="auto"/>
                <w:sz w:val="24"/>
                <w:shd w:val="clear" w:color="auto" w:fill="FFFFFF"/>
              </w:rPr>
              <w:t>万m</w:t>
            </w:r>
            <w:r>
              <w:rPr>
                <w:rFonts w:hint="eastAsia"/>
                <w:color w:val="auto"/>
                <w:sz w:val="24"/>
                <w:shd w:val="clear" w:color="auto" w:fill="FFFFFF"/>
                <w:vertAlign w:val="superscript"/>
              </w:rPr>
              <w:t>3</w:t>
            </w:r>
            <w:r>
              <w:rPr>
                <w:rFonts w:hint="eastAsia"/>
                <w:color w:val="auto"/>
                <w:sz w:val="24"/>
                <w:shd w:val="clear" w:color="auto" w:fill="FFFFFF"/>
              </w:rPr>
              <w:t>），土石方回填总量</w:t>
            </w:r>
            <w:r>
              <w:rPr>
                <w:rFonts w:hint="eastAsia"/>
                <w:color w:val="auto"/>
                <w:sz w:val="24"/>
                <w:shd w:val="clear" w:color="auto" w:fill="FFFFFF"/>
                <w:lang w:val="en-US" w:eastAsia="zh-CN"/>
              </w:rPr>
              <w:t>0.8</w:t>
            </w:r>
            <w:r>
              <w:rPr>
                <w:rFonts w:hint="eastAsia"/>
                <w:color w:val="auto"/>
                <w:sz w:val="24"/>
                <w:shd w:val="clear" w:color="auto" w:fill="FFFFFF"/>
              </w:rPr>
              <w:t>万m³（含绿化覆土0.</w:t>
            </w:r>
            <w:r>
              <w:rPr>
                <w:rFonts w:hint="eastAsia"/>
                <w:color w:val="auto"/>
                <w:sz w:val="24"/>
                <w:shd w:val="clear" w:color="auto" w:fill="FFFFFF"/>
                <w:lang w:val="en-US" w:eastAsia="zh-CN"/>
              </w:rPr>
              <w:t>29</w:t>
            </w:r>
            <w:r>
              <w:rPr>
                <w:rFonts w:hint="eastAsia"/>
                <w:color w:val="auto"/>
                <w:sz w:val="24"/>
                <w:shd w:val="clear" w:color="auto" w:fill="FFFFFF"/>
              </w:rPr>
              <w:t>万m³），无借方，</w:t>
            </w:r>
            <w:r>
              <w:rPr>
                <w:rFonts w:hint="eastAsia"/>
                <w:color w:val="auto"/>
                <w:sz w:val="24"/>
                <w:highlight w:val="none"/>
                <w:shd w:val="clear" w:color="auto" w:fill="FFFFFF"/>
                <w:lang w:val="en-US" w:eastAsia="zh-CN"/>
              </w:rPr>
              <w:t>弃方1.15万m</w:t>
            </w:r>
            <w:r>
              <w:rPr>
                <w:rFonts w:hint="eastAsia"/>
                <w:color w:val="auto"/>
                <w:sz w:val="24"/>
                <w:highlight w:val="none"/>
                <w:shd w:val="clear" w:color="auto" w:fill="FFFFFF"/>
                <w:vertAlign w:val="superscript"/>
                <w:lang w:val="en-US" w:eastAsia="zh-CN"/>
              </w:rPr>
              <w:t>3</w:t>
            </w:r>
            <w:r>
              <w:rPr>
                <w:rFonts w:hint="eastAsia"/>
                <w:color w:val="auto"/>
                <w:sz w:val="24"/>
                <w:highlight w:val="none"/>
                <w:shd w:val="clear" w:color="auto" w:fill="FFFFFF"/>
                <w:lang w:val="en-US" w:eastAsia="zh-CN"/>
              </w:rPr>
              <w:t>，运至政府指定场所堆放处置</w:t>
            </w:r>
            <w:r>
              <w:rPr>
                <w:rFonts w:hint="eastAsia"/>
                <w:color w:val="auto"/>
                <w:sz w:val="24"/>
                <w:highlight w:val="none"/>
                <w:shd w:val="clear" w:color="auto" w:fill="FFFFFF"/>
              </w:rPr>
              <w:t>。</w:t>
            </w:r>
          </w:p>
          <w:p w14:paraId="00B4F056">
            <w:pPr>
              <w:snapToGrid w:val="0"/>
              <w:spacing w:line="360" w:lineRule="auto"/>
              <w:ind w:firstLine="480" w:firstLineChars="200"/>
              <w:rPr>
                <w:color w:val="auto"/>
                <w:sz w:val="24"/>
              </w:rPr>
            </w:pPr>
            <w:r>
              <w:rPr>
                <w:rFonts w:hint="eastAsia"/>
                <w:color w:val="auto"/>
                <w:sz w:val="24"/>
                <w:lang w:eastAsia="zh-CN"/>
              </w:rPr>
              <w:t>项目</w:t>
            </w:r>
            <w:r>
              <w:rPr>
                <w:rFonts w:hint="eastAsia"/>
                <w:color w:val="auto"/>
                <w:sz w:val="24"/>
              </w:rPr>
              <w:t>设计</w:t>
            </w:r>
            <w:r>
              <w:rPr>
                <w:rFonts w:hint="eastAsia"/>
                <w:color w:val="auto"/>
                <w:sz w:val="24"/>
                <w:lang w:val="en-US" w:eastAsia="zh-CN"/>
              </w:rPr>
              <w:t>1</w:t>
            </w:r>
            <w:r>
              <w:rPr>
                <w:rFonts w:hint="eastAsia"/>
                <w:color w:val="auto"/>
                <w:sz w:val="24"/>
              </w:rPr>
              <w:t>个临时表土堆场，主要临时堆放工程剥离表土</w:t>
            </w:r>
            <w:r>
              <w:rPr>
                <w:rFonts w:hint="eastAsia"/>
                <w:color w:val="auto"/>
                <w:sz w:val="24"/>
                <w:lang w:eastAsia="zh-CN"/>
              </w:rPr>
              <w:t>，</w:t>
            </w:r>
            <w:r>
              <w:rPr>
                <w:rFonts w:hint="eastAsia"/>
                <w:color w:val="auto"/>
                <w:sz w:val="24"/>
              </w:rPr>
              <w:t>堆存点位于项目区内，堆高约2.0~3.0m，占地面积约为</w:t>
            </w:r>
            <w:r>
              <w:rPr>
                <w:rFonts w:hint="eastAsia"/>
                <w:color w:val="auto"/>
                <w:sz w:val="24"/>
                <w:lang w:val="en-US" w:eastAsia="zh-CN"/>
              </w:rPr>
              <w:t>100</w:t>
            </w:r>
            <w:r>
              <w:rPr>
                <w:rFonts w:hint="eastAsia"/>
                <w:color w:val="auto"/>
                <w:sz w:val="24"/>
              </w:rPr>
              <w:t>m</w:t>
            </w:r>
            <w:r>
              <w:rPr>
                <w:rFonts w:hint="eastAsia"/>
                <w:color w:val="auto"/>
                <w:sz w:val="24"/>
                <w:vertAlign w:val="superscript"/>
              </w:rPr>
              <w:t>2</w:t>
            </w:r>
            <w:r>
              <w:rPr>
                <w:rFonts w:hint="eastAsia"/>
                <w:color w:val="auto"/>
                <w:sz w:val="24"/>
                <w:lang w:eastAsia="zh-CN"/>
              </w:rPr>
              <w:t>；</w:t>
            </w:r>
            <w:r>
              <w:rPr>
                <w:rFonts w:hint="eastAsia"/>
                <w:color w:val="auto"/>
                <w:sz w:val="24"/>
                <w:lang w:val="en-US" w:eastAsia="zh-CN"/>
              </w:rPr>
              <w:t>1</w:t>
            </w:r>
            <w:r>
              <w:rPr>
                <w:rFonts w:hint="eastAsia"/>
                <w:color w:val="auto"/>
                <w:sz w:val="24"/>
              </w:rPr>
              <w:t>个临时</w:t>
            </w:r>
            <w:r>
              <w:rPr>
                <w:rFonts w:hint="eastAsia"/>
                <w:color w:val="auto"/>
                <w:sz w:val="24"/>
                <w:lang w:eastAsia="zh-CN"/>
              </w:rPr>
              <w:t>一般土石方</w:t>
            </w:r>
            <w:r>
              <w:rPr>
                <w:rFonts w:hint="eastAsia"/>
                <w:color w:val="auto"/>
                <w:sz w:val="24"/>
              </w:rPr>
              <w:t>堆场，主要临时堆放工程</w:t>
            </w:r>
            <w:r>
              <w:rPr>
                <w:rFonts w:hint="eastAsia"/>
                <w:color w:val="auto"/>
                <w:sz w:val="24"/>
                <w:lang w:eastAsia="zh-CN"/>
              </w:rPr>
              <w:t>开挖的一般土石方，</w:t>
            </w:r>
            <w:r>
              <w:rPr>
                <w:rFonts w:hint="eastAsia"/>
                <w:color w:val="auto"/>
                <w:sz w:val="24"/>
              </w:rPr>
              <w:t>堆存点位于项目区内，堆高约2.0~3.0m，占地面积约为</w:t>
            </w:r>
            <w:r>
              <w:rPr>
                <w:rFonts w:hint="eastAsia"/>
                <w:color w:val="auto"/>
                <w:sz w:val="24"/>
                <w:lang w:val="en-US" w:eastAsia="zh-CN"/>
              </w:rPr>
              <w:t>400</w:t>
            </w:r>
            <w:r>
              <w:rPr>
                <w:rFonts w:hint="eastAsia"/>
                <w:color w:val="auto"/>
                <w:sz w:val="24"/>
              </w:rPr>
              <w:t>m</w:t>
            </w:r>
            <w:r>
              <w:rPr>
                <w:rFonts w:hint="eastAsia"/>
                <w:color w:val="auto"/>
                <w:sz w:val="24"/>
                <w:vertAlign w:val="superscript"/>
              </w:rPr>
              <w:t>2</w:t>
            </w:r>
            <w:r>
              <w:rPr>
                <w:rFonts w:hint="eastAsia"/>
                <w:bCs/>
                <w:color w:val="auto"/>
                <w:sz w:val="24"/>
              </w:rPr>
              <w:t>。</w:t>
            </w:r>
            <w:r>
              <w:rPr>
                <w:rFonts w:hint="eastAsia"/>
                <w:bCs/>
                <w:color w:val="auto"/>
                <w:sz w:val="24"/>
                <w:lang w:eastAsia="zh-CN"/>
              </w:rPr>
              <w:t>表土、</w:t>
            </w:r>
            <w:r>
              <w:rPr>
                <w:rFonts w:hint="eastAsia"/>
                <w:bCs/>
                <w:color w:val="auto"/>
                <w:sz w:val="24"/>
              </w:rPr>
              <w:t>土石方严格堆放于堆场内，周围设置</w:t>
            </w:r>
            <w:r>
              <w:rPr>
                <w:rFonts w:hint="eastAsia"/>
                <w:bCs/>
                <w:color w:val="auto"/>
                <w:sz w:val="24"/>
                <w:lang w:eastAsia="zh-CN"/>
              </w:rPr>
              <w:t>土袋拦挡</w:t>
            </w:r>
            <w:r>
              <w:rPr>
                <w:rFonts w:hint="eastAsia"/>
                <w:color w:val="auto"/>
                <w:sz w:val="24"/>
              </w:rPr>
              <w:t>及截排水沟，防止发生水土流失</w:t>
            </w:r>
            <w:r>
              <w:rPr>
                <w:rFonts w:hint="eastAsia"/>
                <w:bCs/>
                <w:color w:val="auto"/>
                <w:sz w:val="24"/>
              </w:rPr>
              <w:t>。</w:t>
            </w:r>
          </w:p>
          <w:p w14:paraId="55340202">
            <w:pPr>
              <w:spacing w:line="360" w:lineRule="auto"/>
              <w:ind w:firstLine="482" w:firstLineChars="200"/>
              <w:textAlignment w:val="baseline"/>
              <w:rPr>
                <w:b/>
                <w:color w:val="auto"/>
                <w:sz w:val="24"/>
              </w:rPr>
            </w:pPr>
            <w:r>
              <w:rPr>
                <w:b/>
                <w:color w:val="auto"/>
                <w:sz w:val="24"/>
              </w:rPr>
              <w:t>2、建筑垃圾</w:t>
            </w:r>
          </w:p>
          <w:p w14:paraId="7251ED26">
            <w:pPr>
              <w:spacing w:line="360" w:lineRule="auto"/>
              <w:ind w:firstLine="480" w:firstLineChars="200"/>
              <w:textAlignment w:val="baseline"/>
              <w:rPr>
                <w:color w:val="auto"/>
                <w:sz w:val="24"/>
              </w:rPr>
            </w:pPr>
            <w:r>
              <w:rPr>
                <w:color w:val="auto"/>
                <w:sz w:val="24"/>
              </w:rPr>
              <w:t>项目施工过程中产生废弃的建材、包装材料等建筑垃圾及废渣产生总量约</w:t>
            </w:r>
            <w:r>
              <w:rPr>
                <w:rFonts w:hint="eastAsia"/>
                <w:color w:val="auto"/>
                <w:sz w:val="24"/>
                <w:lang w:val="en-US" w:eastAsia="zh-CN"/>
              </w:rPr>
              <w:t>8</w:t>
            </w:r>
            <w:r>
              <w:rPr>
                <w:color w:val="auto"/>
                <w:sz w:val="24"/>
              </w:rPr>
              <w:t>00m</w:t>
            </w:r>
            <w:r>
              <w:rPr>
                <w:color w:val="auto"/>
                <w:sz w:val="24"/>
                <w:vertAlign w:val="superscript"/>
              </w:rPr>
              <w:t>3</w:t>
            </w:r>
            <w:r>
              <w:rPr>
                <w:color w:val="auto"/>
                <w:sz w:val="24"/>
              </w:rPr>
              <w:t>，若堆放、处置不当，将直接破坏项目周围的植被。建筑垃圾部分回收利用，不能综合利用的运至指定的弃渣场堆放。</w:t>
            </w:r>
          </w:p>
          <w:p w14:paraId="4412A409">
            <w:pPr>
              <w:spacing w:line="360" w:lineRule="auto"/>
              <w:ind w:firstLine="482" w:firstLineChars="200"/>
              <w:textAlignment w:val="baseline"/>
              <w:rPr>
                <w:bCs/>
                <w:color w:val="auto"/>
                <w:sz w:val="24"/>
              </w:rPr>
            </w:pPr>
            <w:r>
              <w:rPr>
                <w:b/>
                <w:color w:val="auto"/>
                <w:sz w:val="24"/>
              </w:rPr>
              <w:t>环评要求：</w:t>
            </w:r>
            <w:r>
              <w:rPr>
                <w:bCs/>
                <w:color w:val="auto"/>
                <w:sz w:val="24"/>
              </w:rPr>
              <w:t>建设单位对于施工期间产生的可回收利用的废料（如钢筋、钢板、木材等下角料）通过分类收集后交废物收购站处理；对不能回收的建筑垃圾（如混凝土废料、含砖、石、砂的杂土等）应在施工完成后及时清运至政府指定的场地。本项目不设置渣场。</w:t>
            </w:r>
            <w:r>
              <w:rPr>
                <w:color w:val="auto"/>
                <w:sz w:val="24"/>
              </w:rPr>
              <w:t>项目产生的建筑垃圾施工单位应按照《中华人民共和国固体废物污染环境防治法》（2020年9月1日起施行）等要求，及时清运到环卫部门指定或核准建筑垃圾场处理，严禁随意倾倒。</w:t>
            </w:r>
            <w:r>
              <w:rPr>
                <w:bCs/>
                <w:color w:val="auto"/>
                <w:sz w:val="24"/>
              </w:rPr>
              <w:t>同时，为确保建筑垃圾处置措施落实，建设单位或施工总承包单位在与建筑垃圾清运公司签订运输合同时，应要求承包公司提供废弃物去向的证明材料，严禁随意倾倒、填埋，不得出现超载、撒漏、不到指定地点卸货等现象。</w:t>
            </w:r>
            <w:r>
              <w:rPr>
                <w:b/>
                <w:color w:val="auto"/>
                <w:sz w:val="24"/>
                <w:u w:val="single"/>
              </w:rPr>
              <w:t>严禁</w:t>
            </w:r>
            <w:r>
              <w:rPr>
                <w:b/>
                <w:color w:val="auto"/>
                <w:kern w:val="0"/>
                <w:sz w:val="24"/>
                <w:u w:val="single"/>
              </w:rPr>
              <w:t>建筑垃圾倾倒至</w:t>
            </w:r>
            <w:r>
              <w:rPr>
                <w:b/>
                <w:color w:val="auto"/>
                <w:sz w:val="24"/>
                <w:u w:val="single"/>
              </w:rPr>
              <w:t>项目周边地表水体</w:t>
            </w:r>
            <w:r>
              <w:rPr>
                <w:rFonts w:hint="eastAsia"/>
                <w:b/>
                <w:color w:val="auto"/>
                <w:sz w:val="24"/>
                <w:u w:val="single"/>
                <w:lang w:eastAsia="zh-CN"/>
              </w:rPr>
              <w:t>南江河</w:t>
            </w:r>
            <w:r>
              <w:rPr>
                <w:b/>
                <w:color w:val="auto"/>
                <w:sz w:val="24"/>
                <w:u w:val="single"/>
              </w:rPr>
              <w:t>内。</w:t>
            </w:r>
          </w:p>
          <w:p w14:paraId="79069FC8">
            <w:pPr>
              <w:spacing w:line="360" w:lineRule="auto"/>
              <w:ind w:firstLine="482" w:firstLineChars="200"/>
              <w:textAlignment w:val="baseline"/>
              <w:rPr>
                <w:b/>
                <w:color w:val="auto"/>
                <w:sz w:val="24"/>
              </w:rPr>
            </w:pPr>
            <w:r>
              <w:rPr>
                <w:b/>
                <w:color w:val="auto"/>
                <w:sz w:val="24"/>
              </w:rPr>
              <w:t>3、生活垃圾</w:t>
            </w:r>
          </w:p>
          <w:p w14:paraId="0D42468D">
            <w:pPr>
              <w:spacing w:line="360" w:lineRule="auto"/>
              <w:ind w:firstLine="480" w:firstLineChars="200"/>
              <w:textAlignment w:val="baseline"/>
              <w:rPr>
                <w:color w:val="auto"/>
                <w:sz w:val="24"/>
              </w:rPr>
            </w:pPr>
            <w:r>
              <w:rPr>
                <w:color w:val="auto"/>
                <w:sz w:val="24"/>
              </w:rPr>
              <w:t>本项目施工期生活垃圾产生量约为</w:t>
            </w:r>
            <w:r>
              <w:rPr>
                <w:rFonts w:hint="eastAsia"/>
                <w:color w:val="auto"/>
                <w:sz w:val="24"/>
              </w:rPr>
              <w:t>15</w:t>
            </w:r>
            <w:r>
              <w:rPr>
                <w:color w:val="auto"/>
                <w:sz w:val="24"/>
              </w:rPr>
              <w:t>kg/d，施工期需对生产垃圾妥善处理，生活垃圾经袋装收集后，由市政环卫部门统一清运，并严格做到日产日清。工程施工期间配置垃圾桶，对每个垃圾桶存放处经常喷洒灭害灵等药水，保持工区环境的清洁卫生</w:t>
            </w:r>
            <w:r>
              <w:rPr>
                <w:rFonts w:hint="eastAsia"/>
                <w:color w:val="auto"/>
                <w:sz w:val="24"/>
              </w:rPr>
              <w:t>，</w:t>
            </w:r>
            <w:r>
              <w:rPr>
                <w:color w:val="auto"/>
                <w:sz w:val="24"/>
              </w:rPr>
              <w:t>以防止蚊蝇孳生，减免对施工区环境卫生产生不利影响。</w:t>
            </w:r>
          </w:p>
          <w:p w14:paraId="4540B9E9">
            <w:pPr>
              <w:spacing w:line="360" w:lineRule="auto"/>
              <w:ind w:firstLine="482" w:firstLineChars="200"/>
              <w:textAlignment w:val="baseline"/>
              <w:rPr>
                <w:b/>
                <w:color w:val="auto"/>
                <w:sz w:val="24"/>
              </w:rPr>
            </w:pPr>
            <w:r>
              <w:rPr>
                <w:b/>
                <w:color w:val="auto"/>
                <w:sz w:val="24"/>
              </w:rPr>
              <w:t>综上所述，本项目施工期在严格落实本环评提出的上述防治要求后，施工期产生的固体废物可实现资源化利用或无害化处置，不会对环境造成二次污染。</w:t>
            </w:r>
          </w:p>
          <w:p w14:paraId="0C359F29">
            <w:pPr>
              <w:spacing w:line="360" w:lineRule="auto"/>
              <w:ind w:firstLine="482" w:firstLineChars="200"/>
              <w:textAlignment w:val="baseline"/>
              <w:rPr>
                <w:b/>
                <w:color w:val="auto"/>
                <w:sz w:val="24"/>
              </w:rPr>
            </w:pPr>
            <w:r>
              <w:rPr>
                <w:b/>
                <w:color w:val="auto"/>
                <w:sz w:val="24"/>
              </w:rPr>
              <w:t>六、社会环境影响分析</w:t>
            </w:r>
          </w:p>
          <w:p w14:paraId="2D6D3576">
            <w:pPr>
              <w:spacing w:line="360" w:lineRule="auto"/>
              <w:ind w:firstLine="480" w:firstLineChars="200"/>
              <w:textAlignment w:val="baseline"/>
              <w:rPr>
                <w:b/>
                <w:color w:val="auto"/>
                <w:sz w:val="24"/>
              </w:rPr>
            </w:pPr>
            <w:r>
              <w:rPr>
                <w:color w:val="auto"/>
                <w:sz w:val="24"/>
              </w:rPr>
              <w:t>1、对</w:t>
            </w:r>
            <w:r>
              <w:rPr>
                <w:rFonts w:hint="eastAsia"/>
                <w:color w:val="auto"/>
                <w:sz w:val="24"/>
              </w:rPr>
              <w:t>周边</w:t>
            </w:r>
            <w:r>
              <w:rPr>
                <w:color w:val="auto"/>
                <w:sz w:val="24"/>
              </w:rPr>
              <w:t>群众出行和车辆通行的影响</w:t>
            </w:r>
          </w:p>
          <w:p w14:paraId="428C28F5">
            <w:pPr>
              <w:spacing w:line="360" w:lineRule="auto"/>
              <w:ind w:firstLine="480" w:firstLineChars="200"/>
              <w:textAlignment w:val="baseline"/>
              <w:rPr>
                <w:color w:val="auto"/>
                <w:sz w:val="24"/>
              </w:rPr>
            </w:pPr>
            <w:r>
              <w:rPr>
                <w:color w:val="auto"/>
                <w:sz w:val="24"/>
              </w:rPr>
              <w:t>施工对</w:t>
            </w:r>
            <w:r>
              <w:rPr>
                <w:rFonts w:hint="eastAsia"/>
                <w:color w:val="auto"/>
                <w:sz w:val="24"/>
              </w:rPr>
              <w:t>周边</w:t>
            </w:r>
            <w:r>
              <w:rPr>
                <w:color w:val="auto"/>
                <w:sz w:val="24"/>
              </w:rPr>
              <w:t>群众出行的影响主要体现在施工中的弃土、弃渣、材料等的堆放和运输沿路洒落，遇雨天道路泥泞不堪影响居民出行不便及过往车辆通行等。施工单位施工时应合理组织，尽可能减少对</w:t>
            </w:r>
            <w:r>
              <w:rPr>
                <w:rFonts w:hint="eastAsia"/>
                <w:color w:val="auto"/>
                <w:sz w:val="24"/>
              </w:rPr>
              <w:t>周边</w:t>
            </w:r>
            <w:r>
              <w:rPr>
                <w:color w:val="auto"/>
                <w:sz w:val="24"/>
              </w:rPr>
              <w:t>居民的影响，同时设计时设置合理的平交道口，以方便</w:t>
            </w:r>
            <w:r>
              <w:rPr>
                <w:rFonts w:hint="eastAsia"/>
                <w:color w:val="auto"/>
                <w:sz w:val="24"/>
              </w:rPr>
              <w:t>周边</w:t>
            </w:r>
            <w:r>
              <w:rPr>
                <w:color w:val="auto"/>
                <w:sz w:val="24"/>
              </w:rPr>
              <w:t>居民的出行。项目对</w:t>
            </w:r>
            <w:r>
              <w:rPr>
                <w:rFonts w:hint="eastAsia"/>
                <w:color w:val="auto"/>
                <w:sz w:val="24"/>
              </w:rPr>
              <w:t>周边</w:t>
            </w:r>
            <w:r>
              <w:rPr>
                <w:color w:val="auto"/>
                <w:sz w:val="24"/>
              </w:rPr>
              <w:t>交通影响是短期的，并且随着施工的结束影响也会消失。</w:t>
            </w:r>
          </w:p>
          <w:p w14:paraId="7B5E3CA6">
            <w:pPr>
              <w:spacing w:line="360" w:lineRule="auto"/>
              <w:ind w:firstLine="480" w:firstLineChars="200"/>
              <w:textAlignment w:val="baseline"/>
              <w:rPr>
                <w:color w:val="auto"/>
                <w:sz w:val="24"/>
              </w:rPr>
            </w:pPr>
            <w:r>
              <w:rPr>
                <w:color w:val="auto"/>
                <w:sz w:val="24"/>
              </w:rPr>
              <w:t>2、对</w:t>
            </w:r>
            <w:r>
              <w:rPr>
                <w:rFonts w:hint="eastAsia"/>
                <w:color w:val="auto"/>
                <w:sz w:val="24"/>
              </w:rPr>
              <w:t>周边</w:t>
            </w:r>
            <w:r>
              <w:rPr>
                <w:color w:val="auto"/>
                <w:sz w:val="24"/>
              </w:rPr>
              <w:t>交通组织的影响分析</w:t>
            </w:r>
          </w:p>
          <w:p w14:paraId="067EE36D">
            <w:pPr>
              <w:spacing w:line="360" w:lineRule="auto"/>
              <w:ind w:firstLine="480" w:firstLineChars="200"/>
              <w:textAlignment w:val="baseline"/>
              <w:rPr>
                <w:color w:val="auto"/>
                <w:sz w:val="24"/>
              </w:rPr>
            </w:pPr>
            <w:r>
              <w:rPr>
                <w:color w:val="auto"/>
                <w:sz w:val="24"/>
              </w:rPr>
              <w:t>为保证区域内道路的正常运行，拟采取如下措施：为了保证现状车辆的正常通行，在施工过程中，禁止</w:t>
            </w:r>
            <w:r>
              <w:rPr>
                <w:rFonts w:hint="eastAsia"/>
                <w:color w:val="auto"/>
                <w:sz w:val="24"/>
              </w:rPr>
              <w:t>占用道路</w:t>
            </w:r>
            <w:r>
              <w:rPr>
                <w:color w:val="auto"/>
                <w:sz w:val="24"/>
              </w:rPr>
              <w:t>设置临时施工场地、禁止堆放建筑材料和弃渣。</w:t>
            </w:r>
          </w:p>
          <w:p w14:paraId="11ADDD80">
            <w:pPr>
              <w:spacing w:line="360" w:lineRule="auto"/>
              <w:ind w:firstLine="482" w:firstLineChars="200"/>
              <w:textAlignment w:val="baseline"/>
              <w:rPr>
                <w:b/>
                <w:color w:val="auto"/>
                <w:sz w:val="24"/>
              </w:rPr>
            </w:pPr>
            <w:r>
              <w:rPr>
                <w:b/>
                <w:color w:val="auto"/>
                <w:sz w:val="24"/>
              </w:rPr>
              <w:t>七、施工期环境管理</w:t>
            </w:r>
          </w:p>
          <w:p w14:paraId="6922113F">
            <w:pPr>
              <w:spacing w:line="360" w:lineRule="auto"/>
              <w:ind w:firstLine="480" w:firstLineChars="200"/>
              <w:textAlignment w:val="baseline"/>
              <w:rPr>
                <w:color w:val="auto"/>
                <w:sz w:val="24"/>
              </w:rPr>
            </w:pPr>
            <w:r>
              <w:rPr>
                <w:color w:val="auto"/>
                <w:sz w:val="24"/>
              </w:rPr>
              <w:t>本项目建设工程部应至少由一名熟悉环保政策和法规的专业技术人员负责落实环保措施，同时应组成一个由指挥长为组长的环境管理小组，以协调各施工单位的环保工作。监理公司须配置环保专业人员，负责施工过程中的环保工程监理，并检查“三同时”的落实情况。各合同段的施工单位至少配备一名环保技术人员从事环保工程施工的技术负责。施工中环境监理人员可根据情况，对重要地段或敏感点提出环境监测计划，掌握施工期的环境状况，确保不发生重大的环境事故。考虑到施工期间，项目两侧还有居民生活，施工期应加强施工管理，合理制定施工计划。</w:t>
            </w:r>
          </w:p>
          <w:p w14:paraId="64BF2CAB">
            <w:pPr>
              <w:spacing w:line="360" w:lineRule="auto"/>
              <w:ind w:firstLine="480" w:firstLineChars="200"/>
              <w:textAlignment w:val="baseline"/>
              <w:rPr>
                <w:color w:val="auto"/>
                <w:sz w:val="24"/>
              </w:rPr>
            </w:pPr>
            <w:r>
              <w:rPr>
                <w:color w:val="auto"/>
                <w:sz w:val="24"/>
              </w:rPr>
              <w:t>（1）监理单位做好监理工作，配备一定数量的简易噪声测量仪器，随时对施工噪声进行监测。</w:t>
            </w:r>
          </w:p>
          <w:p w14:paraId="41F1F9D8">
            <w:pPr>
              <w:adjustRightInd w:val="0"/>
              <w:snapToGrid w:val="0"/>
              <w:spacing w:line="360" w:lineRule="auto"/>
              <w:ind w:firstLine="480" w:firstLineChars="200"/>
              <w:rPr>
                <w:color w:val="auto"/>
              </w:rPr>
            </w:pPr>
            <w:r>
              <w:rPr>
                <w:color w:val="auto"/>
                <w:sz w:val="24"/>
              </w:rPr>
              <w:t>（2）严格控制建设施工扬尘，组织制定、完善和严格执行建设施工管理制度，全面推行现场标准化管理，加强对建设工地的监督检查，督促责任单位落实降尘、压尘和抑尘措施。</w:t>
            </w:r>
          </w:p>
        </w:tc>
      </w:tr>
      <w:tr w14:paraId="35A565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9" w:type="dxa"/>
            <w:tcMar>
              <w:left w:w="28" w:type="dxa"/>
              <w:right w:w="28" w:type="dxa"/>
            </w:tcMar>
            <w:vAlign w:val="center"/>
          </w:tcPr>
          <w:p w14:paraId="49FBA70E">
            <w:pPr>
              <w:pStyle w:val="30"/>
              <w:adjustRightInd w:val="0"/>
              <w:snapToGrid w:val="0"/>
              <w:spacing w:before="0" w:beforeAutospacing="0" w:after="0" w:afterAutospacing="0"/>
              <w:jc w:val="center"/>
              <w:rPr>
                <w:rFonts w:ascii="Times New Roman" w:hAnsi="Times New Roman"/>
                <w:bCs/>
                <w:color w:val="auto"/>
                <w:kern w:val="2"/>
                <w:sz w:val="21"/>
                <w:szCs w:val="21"/>
              </w:rPr>
            </w:pPr>
            <w:r>
              <w:rPr>
                <w:rFonts w:ascii="Times New Roman" w:hAnsi="Times New Roman"/>
                <w:bCs/>
                <w:color w:val="auto"/>
                <w:kern w:val="2"/>
              </w:rPr>
              <w:t>运营期生态环境影响分析</w:t>
            </w:r>
          </w:p>
        </w:tc>
        <w:tc>
          <w:tcPr>
            <w:tcW w:w="8363" w:type="dxa"/>
          </w:tcPr>
          <w:p w14:paraId="01C3906B">
            <w:pPr>
              <w:snapToGrid w:val="0"/>
              <w:spacing w:before="120" w:beforeLines="50" w:line="360" w:lineRule="auto"/>
              <w:ind w:firstLine="482" w:firstLineChars="200"/>
              <w:rPr>
                <w:b/>
                <w:color w:val="auto"/>
                <w:sz w:val="24"/>
              </w:rPr>
            </w:pPr>
            <w:r>
              <w:rPr>
                <w:rFonts w:hint="eastAsia"/>
                <w:b/>
                <w:color w:val="auto"/>
                <w:sz w:val="24"/>
              </w:rPr>
              <w:t>一</w:t>
            </w:r>
            <w:r>
              <w:rPr>
                <w:b/>
                <w:color w:val="auto"/>
                <w:sz w:val="24"/>
              </w:rPr>
              <w:t>、对生态影响分析</w:t>
            </w:r>
          </w:p>
          <w:p w14:paraId="4001AC65">
            <w:pPr>
              <w:adjustRightInd w:val="0"/>
              <w:snapToGrid w:val="0"/>
              <w:spacing w:line="360" w:lineRule="auto"/>
              <w:ind w:firstLine="482" w:firstLineChars="200"/>
              <w:rPr>
                <w:b/>
                <w:color w:val="auto"/>
                <w:sz w:val="24"/>
              </w:rPr>
            </w:pPr>
            <w:r>
              <w:rPr>
                <w:rFonts w:hint="eastAsia"/>
                <w:b/>
                <w:color w:val="auto"/>
                <w:sz w:val="24"/>
              </w:rPr>
              <w:t>（一）</w:t>
            </w:r>
            <w:r>
              <w:rPr>
                <w:b/>
                <w:color w:val="auto"/>
                <w:sz w:val="24"/>
              </w:rPr>
              <w:t>运营期对野生植物的影响</w:t>
            </w:r>
          </w:p>
          <w:p w14:paraId="1CDE4EC9">
            <w:pPr>
              <w:adjustRightInd w:val="0"/>
              <w:snapToGrid w:val="0"/>
              <w:spacing w:line="360" w:lineRule="auto"/>
              <w:ind w:firstLine="480" w:firstLineChars="200"/>
              <w:rPr>
                <w:bCs/>
                <w:color w:val="auto"/>
                <w:sz w:val="24"/>
              </w:rPr>
            </w:pPr>
            <w:r>
              <w:rPr>
                <w:bCs/>
                <w:color w:val="auto"/>
                <w:sz w:val="24"/>
              </w:rPr>
              <w:t>运营期，各项施工活动结束，建设期对野生植物的影响因素随之减退并消失。本项目主要为</w:t>
            </w:r>
            <w:r>
              <w:rPr>
                <w:rFonts w:hint="eastAsia"/>
                <w:bCs/>
                <w:color w:val="auto"/>
                <w:sz w:val="24"/>
                <w:lang w:eastAsia="zh-CN"/>
              </w:rPr>
              <w:t>保障性住房</w:t>
            </w:r>
            <w:r>
              <w:rPr>
                <w:rFonts w:hint="eastAsia"/>
                <w:bCs/>
                <w:color w:val="auto"/>
                <w:sz w:val="24"/>
              </w:rPr>
              <w:t>建设</w:t>
            </w:r>
            <w:r>
              <w:rPr>
                <w:bCs/>
                <w:color w:val="auto"/>
                <w:sz w:val="24"/>
              </w:rPr>
              <w:t>，运营期将带来更多的人为活动和车辆，会导致污水排放增加、固体废弃物增多，可能会产生人为污损评价区的植物，或因固废的随意丢弃污染土壤影响植物的生长。但人为活动不会导致评价区的植物种类的减少或植株个体被采伐，这些行为通过有效的管理措施是可以避免和消减的。因此，运营期通过有效管理，对野生植物的影响</w:t>
            </w:r>
            <w:r>
              <w:rPr>
                <w:rFonts w:hint="eastAsia"/>
                <w:bCs/>
                <w:color w:val="auto"/>
                <w:sz w:val="24"/>
              </w:rPr>
              <w:t>较小</w:t>
            </w:r>
            <w:r>
              <w:rPr>
                <w:bCs/>
                <w:color w:val="auto"/>
                <w:sz w:val="24"/>
              </w:rPr>
              <w:t>。</w:t>
            </w:r>
          </w:p>
          <w:p w14:paraId="581EE6F6">
            <w:pPr>
              <w:adjustRightInd w:val="0"/>
              <w:snapToGrid w:val="0"/>
              <w:spacing w:line="360" w:lineRule="auto"/>
              <w:ind w:firstLine="482" w:firstLineChars="200"/>
              <w:rPr>
                <w:b/>
                <w:color w:val="auto"/>
                <w:sz w:val="24"/>
              </w:rPr>
            </w:pPr>
            <w:r>
              <w:rPr>
                <w:rFonts w:hint="eastAsia"/>
                <w:b/>
                <w:color w:val="auto"/>
                <w:sz w:val="24"/>
              </w:rPr>
              <w:t>（二）</w:t>
            </w:r>
            <w:r>
              <w:rPr>
                <w:b/>
                <w:color w:val="auto"/>
                <w:sz w:val="24"/>
              </w:rPr>
              <w:t>运营期对野生动物的影响</w:t>
            </w:r>
          </w:p>
          <w:p w14:paraId="483CC5B9">
            <w:pPr>
              <w:adjustRightInd w:val="0"/>
              <w:snapToGrid w:val="0"/>
              <w:spacing w:line="360" w:lineRule="auto"/>
              <w:ind w:firstLine="480" w:firstLineChars="200"/>
              <w:rPr>
                <w:bCs/>
                <w:color w:val="auto"/>
                <w:sz w:val="24"/>
              </w:rPr>
            </w:pPr>
            <w:r>
              <w:rPr>
                <w:bCs/>
                <w:color w:val="auto"/>
                <w:sz w:val="24"/>
              </w:rPr>
              <w:t>施工结束后，各施工点人员、机械设备均撤出现场，对动物个体的干扰强度大大降低。项目运营期对野生动物的影响如下。</w:t>
            </w:r>
          </w:p>
          <w:p w14:paraId="1EEE7C71">
            <w:pPr>
              <w:adjustRightInd w:val="0"/>
              <w:snapToGrid w:val="0"/>
              <w:spacing w:line="360" w:lineRule="auto"/>
              <w:ind w:firstLine="480" w:firstLineChars="200"/>
              <w:rPr>
                <w:bCs/>
                <w:color w:val="auto"/>
                <w:sz w:val="24"/>
              </w:rPr>
            </w:pPr>
            <w:r>
              <w:rPr>
                <w:bCs/>
                <w:color w:val="auto"/>
                <w:sz w:val="24"/>
              </w:rPr>
              <w:t>（1）对两栖</w:t>
            </w:r>
            <w:r>
              <w:rPr>
                <w:rFonts w:hint="eastAsia"/>
                <w:bCs/>
                <w:color w:val="auto"/>
                <w:sz w:val="24"/>
              </w:rPr>
              <w:t>、爬行</w:t>
            </w:r>
            <w:r>
              <w:rPr>
                <w:bCs/>
                <w:color w:val="auto"/>
                <w:sz w:val="24"/>
              </w:rPr>
              <w:t>类的影响</w:t>
            </w:r>
          </w:p>
          <w:p w14:paraId="10174DF4">
            <w:pPr>
              <w:widowControl/>
              <w:spacing w:line="360" w:lineRule="auto"/>
              <w:ind w:firstLine="480" w:firstLineChars="200"/>
              <w:rPr>
                <w:color w:val="auto"/>
                <w:kern w:val="0"/>
                <w:sz w:val="24"/>
              </w:rPr>
            </w:pPr>
            <w:r>
              <w:rPr>
                <w:color w:val="auto"/>
                <w:kern w:val="0"/>
                <w:sz w:val="24"/>
              </w:rPr>
              <w:t>运营期对两栖</w:t>
            </w:r>
            <w:r>
              <w:rPr>
                <w:bCs/>
                <w:color w:val="auto"/>
                <w:kern w:val="0"/>
                <w:sz w:val="24"/>
              </w:rPr>
              <w:t>爬行</w:t>
            </w:r>
            <w:r>
              <w:rPr>
                <w:color w:val="auto"/>
                <w:kern w:val="0"/>
                <w:sz w:val="24"/>
              </w:rPr>
              <w:t>类的影响主要包括两个方面：一是</w:t>
            </w:r>
            <w:r>
              <w:rPr>
                <w:rFonts w:hint="eastAsia"/>
                <w:color w:val="auto"/>
                <w:kern w:val="0"/>
                <w:sz w:val="24"/>
              </w:rPr>
              <w:t>人类活动</w:t>
            </w:r>
            <w:r>
              <w:rPr>
                <w:color w:val="auto"/>
                <w:kern w:val="0"/>
                <w:sz w:val="24"/>
              </w:rPr>
              <w:t>影响两栖类的往来交流，二是</w:t>
            </w:r>
            <w:r>
              <w:rPr>
                <w:rFonts w:hint="eastAsia"/>
                <w:color w:val="auto"/>
                <w:kern w:val="0"/>
                <w:sz w:val="24"/>
              </w:rPr>
              <w:t>来往</w:t>
            </w:r>
            <w:r>
              <w:rPr>
                <w:color w:val="auto"/>
                <w:kern w:val="0"/>
                <w:sz w:val="24"/>
              </w:rPr>
              <w:t>车辆行驶可能碾压两栖类。尤其在两栖类变态时期，两栖类变态一般都有迁徙的过程，这时车辆对它们的影响较大。</w:t>
            </w:r>
          </w:p>
          <w:p w14:paraId="024A5E60">
            <w:pPr>
              <w:adjustRightInd w:val="0"/>
              <w:snapToGrid w:val="0"/>
              <w:spacing w:line="360" w:lineRule="auto"/>
              <w:ind w:firstLine="480" w:firstLineChars="200"/>
              <w:rPr>
                <w:bCs/>
                <w:color w:val="auto"/>
                <w:sz w:val="24"/>
              </w:rPr>
            </w:pPr>
            <w:r>
              <w:rPr>
                <w:color w:val="auto"/>
                <w:kern w:val="0"/>
                <w:sz w:val="24"/>
              </w:rPr>
              <w:t>但随着</w:t>
            </w:r>
            <w:r>
              <w:rPr>
                <w:rFonts w:hint="eastAsia"/>
                <w:color w:val="auto"/>
                <w:kern w:val="0"/>
                <w:sz w:val="24"/>
              </w:rPr>
              <w:t>项目运行住户增加以及车辆</w:t>
            </w:r>
            <w:r>
              <w:rPr>
                <w:color w:val="auto"/>
                <w:kern w:val="0"/>
                <w:sz w:val="24"/>
              </w:rPr>
              <w:t>的增多，道路两侧的两栖爬行类逐渐对道路的熟悉、记忆，到</w:t>
            </w:r>
            <w:r>
              <w:rPr>
                <w:rFonts w:hint="eastAsia"/>
                <w:color w:val="auto"/>
                <w:kern w:val="0"/>
                <w:sz w:val="24"/>
              </w:rPr>
              <w:t>项目周边</w:t>
            </w:r>
            <w:r>
              <w:rPr>
                <w:color w:val="auto"/>
                <w:kern w:val="0"/>
                <w:sz w:val="24"/>
              </w:rPr>
              <w:t>活动的几率逐渐减小，其迁徙受到伤害的几率降低，影响减小。由于两栖爬行类活动较迅速，因此</w:t>
            </w:r>
            <w:r>
              <w:rPr>
                <w:rFonts w:hint="eastAsia"/>
                <w:color w:val="auto"/>
                <w:kern w:val="0"/>
                <w:sz w:val="24"/>
              </w:rPr>
              <w:t>项目</w:t>
            </w:r>
            <w:r>
              <w:rPr>
                <w:color w:val="auto"/>
                <w:kern w:val="0"/>
                <w:sz w:val="24"/>
              </w:rPr>
              <w:t>运营期对</w:t>
            </w:r>
            <w:r>
              <w:rPr>
                <w:rFonts w:hint="eastAsia"/>
                <w:color w:val="auto"/>
                <w:kern w:val="0"/>
                <w:sz w:val="24"/>
              </w:rPr>
              <w:t>周边</w:t>
            </w:r>
            <w:r>
              <w:rPr>
                <w:color w:val="auto"/>
                <w:kern w:val="0"/>
                <w:sz w:val="24"/>
              </w:rPr>
              <w:t>的爬行类影响较小。</w:t>
            </w:r>
          </w:p>
          <w:p w14:paraId="4AA1200F">
            <w:pPr>
              <w:adjustRightInd w:val="0"/>
              <w:snapToGrid w:val="0"/>
              <w:spacing w:line="360" w:lineRule="auto"/>
              <w:ind w:firstLine="480" w:firstLineChars="200"/>
              <w:rPr>
                <w:bCs/>
                <w:color w:val="auto"/>
                <w:sz w:val="24"/>
              </w:rPr>
            </w:pPr>
            <w:r>
              <w:rPr>
                <w:bCs/>
                <w:color w:val="auto"/>
                <w:sz w:val="24"/>
              </w:rPr>
              <w:t>（</w:t>
            </w:r>
            <w:r>
              <w:rPr>
                <w:rFonts w:hint="eastAsia"/>
                <w:bCs/>
                <w:color w:val="auto"/>
                <w:sz w:val="24"/>
              </w:rPr>
              <w:t>2</w:t>
            </w:r>
            <w:r>
              <w:rPr>
                <w:bCs/>
                <w:color w:val="auto"/>
                <w:sz w:val="24"/>
              </w:rPr>
              <w:t>）对鸟类的影响</w:t>
            </w:r>
          </w:p>
          <w:p w14:paraId="3B5FDC79">
            <w:pPr>
              <w:widowControl/>
              <w:spacing w:line="360" w:lineRule="auto"/>
              <w:ind w:firstLine="480" w:firstLineChars="200"/>
              <w:rPr>
                <w:color w:val="auto"/>
                <w:kern w:val="0"/>
                <w:sz w:val="24"/>
              </w:rPr>
            </w:pPr>
            <w:r>
              <w:rPr>
                <w:color w:val="auto"/>
                <w:kern w:val="0"/>
                <w:sz w:val="24"/>
              </w:rPr>
              <w:t>运营期对鸟类的影响体现在噪声、灯光以及</w:t>
            </w:r>
            <w:r>
              <w:rPr>
                <w:rFonts w:hint="eastAsia"/>
                <w:color w:val="auto"/>
                <w:kern w:val="0"/>
                <w:sz w:val="24"/>
              </w:rPr>
              <w:t>车辆来往</w:t>
            </w:r>
            <w:r>
              <w:rPr>
                <w:color w:val="auto"/>
                <w:kern w:val="0"/>
                <w:sz w:val="24"/>
              </w:rPr>
              <w:t>影响，但鸟类飞翔能力强，受惊扰后迅速躲避，影响较小。车辆速度快容易造成鸟撞事件。在规范运营的前提下，运营期对鸟类的影响很小。</w:t>
            </w:r>
          </w:p>
          <w:p w14:paraId="5B2C9454">
            <w:pPr>
              <w:adjustRightInd w:val="0"/>
              <w:snapToGrid w:val="0"/>
              <w:spacing w:line="360" w:lineRule="auto"/>
              <w:ind w:firstLine="480" w:firstLineChars="200"/>
              <w:rPr>
                <w:bCs/>
                <w:color w:val="auto"/>
                <w:sz w:val="24"/>
              </w:rPr>
            </w:pPr>
            <w:r>
              <w:rPr>
                <w:color w:val="auto"/>
                <w:kern w:val="0"/>
                <w:sz w:val="24"/>
              </w:rPr>
              <w:t>由于工程周边人为活动频繁，鸟类数量相对较少，即便是在本区域活动的鸟类，已基本适应新的环境。因此，项目进入运营期后对鸟类的栖息活动基本无影响。</w:t>
            </w:r>
          </w:p>
          <w:p w14:paraId="3BAD40D8">
            <w:pPr>
              <w:adjustRightInd w:val="0"/>
              <w:snapToGrid w:val="0"/>
              <w:spacing w:line="360" w:lineRule="auto"/>
              <w:ind w:firstLine="480" w:firstLineChars="200"/>
              <w:rPr>
                <w:bCs/>
                <w:color w:val="auto"/>
                <w:sz w:val="24"/>
              </w:rPr>
            </w:pPr>
            <w:r>
              <w:rPr>
                <w:bCs/>
                <w:color w:val="auto"/>
                <w:sz w:val="24"/>
              </w:rPr>
              <w:t>（</w:t>
            </w:r>
            <w:r>
              <w:rPr>
                <w:rFonts w:hint="eastAsia"/>
                <w:bCs/>
                <w:color w:val="auto"/>
                <w:sz w:val="24"/>
              </w:rPr>
              <w:t>3</w:t>
            </w:r>
            <w:r>
              <w:rPr>
                <w:bCs/>
                <w:color w:val="auto"/>
                <w:sz w:val="24"/>
              </w:rPr>
              <w:t>）对兽类的影响</w:t>
            </w:r>
          </w:p>
          <w:p w14:paraId="4DCCA5D6">
            <w:pPr>
              <w:widowControl/>
              <w:spacing w:line="360" w:lineRule="auto"/>
              <w:ind w:firstLine="480"/>
              <w:rPr>
                <w:color w:val="auto"/>
                <w:kern w:val="0"/>
                <w:sz w:val="24"/>
              </w:rPr>
            </w:pPr>
            <w:r>
              <w:rPr>
                <w:color w:val="auto"/>
                <w:kern w:val="0"/>
                <w:sz w:val="24"/>
              </w:rPr>
              <w:t>运营初期的噪音、人为干扰等会使野生动物远离道路影响区域，随着干扰的常态化，野生动物适应干扰后，在人类活动较少的区域会逐步活动到</w:t>
            </w:r>
            <w:r>
              <w:rPr>
                <w:rFonts w:hint="eastAsia"/>
                <w:color w:val="auto"/>
                <w:kern w:val="0"/>
                <w:sz w:val="24"/>
                <w:lang w:eastAsia="zh-CN"/>
              </w:rPr>
              <w:t>安置房</w:t>
            </w:r>
            <w:r>
              <w:rPr>
                <w:rFonts w:hint="eastAsia"/>
                <w:color w:val="auto"/>
                <w:kern w:val="0"/>
                <w:sz w:val="24"/>
              </w:rPr>
              <w:t>周边</w:t>
            </w:r>
            <w:r>
              <w:rPr>
                <w:color w:val="auto"/>
                <w:kern w:val="0"/>
                <w:sz w:val="24"/>
              </w:rPr>
              <w:t>；小型兽类受到噪声和震动的影响，</w:t>
            </w:r>
            <w:r>
              <w:rPr>
                <w:rFonts w:hint="eastAsia"/>
                <w:color w:val="auto"/>
                <w:kern w:val="0"/>
                <w:sz w:val="24"/>
              </w:rPr>
              <w:t>周边</w:t>
            </w:r>
            <w:r>
              <w:rPr>
                <w:color w:val="auto"/>
                <w:kern w:val="0"/>
                <w:sz w:val="24"/>
              </w:rPr>
              <w:t>的种群密度有所减小，但隔离一段距离后数量又会逐渐恢复正常。</w:t>
            </w:r>
          </w:p>
          <w:p w14:paraId="57924D67">
            <w:pPr>
              <w:widowControl/>
              <w:spacing w:line="360" w:lineRule="auto"/>
              <w:ind w:firstLine="480"/>
              <w:rPr>
                <w:bCs/>
                <w:color w:val="auto"/>
                <w:sz w:val="24"/>
              </w:rPr>
            </w:pPr>
            <w:r>
              <w:rPr>
                <w:rFonts w:hint="eastAsia"/>
                <w:color w:val="auto"/>
                <w:kern w:val="0"/>
                <w:sz w:val="24"/>
              </w:rPr>
              <w:t>综</w:t>
            </w:r>
            <w:r>
              <w:rPr>
                <w:color w:val="auto"/>
                <w:kern w:val="0"/>
                <w:sz w:val="24"/>
              </w:rPr>
              <w:t>上</w:t>
            </w:r>
            <w:r>
              <w:rPr>
                <w:rFonts w:hint="eastAsia"/>
                <w:color w:val="auto"/>
                <w:kern w:val="0"/>
                <w:sz w:val="24"/>
              </w:rPr>
              <w:t>所述</w:t>
            </w:r>
            <w:r>
              <w:rPr>
                <w:color w:val="auto"/>
                <w:kern w:val="0"/>
                <w:sz w:val="24"/>
              </w:rPr>
              <w:t>，运营期对评价区动物的影响总体上较小。</w:t>
            </w:r>
          </w:p>
          <w:p w14:paraId="12471635">
            <w:pPr>
              <w:adjustRightInd w:val="0"/>
              <w:snapToGrid w:val="0"/>
              <w:spacing w:line="360" w:lineRule="auto"/>
              <w:ind w:firstLine="482" w:firstLineChars="200"/>
              <w:rPr>
                <w:b/>
                <w:color w:val="auto"/>
                <w:sz w:val="24"/>
              </w:rPr>
            </w:pPr>
            <w:r>
              <w:rPr>
                <w:rFonts w:hint="eastAsia"/>
                <w:b/>
                <w:color w:val="auto"/>
                <w:sz w:val="24"/>
              </w:rPr>
              <w:t>（</w:t>
            </w:r>
            <w:r>
              <w:rPr>
                <w:rFonts w:hint="eastAsia"/>
                <w:b/>
                <w:color w:val="auto"/>
                <w:sz w:val="24"/>
                <w:lang w:eastAsia="zh-CN"/>
              </w:rPr>
              <w:t>三</w:t>
            </w:r>
            <w:r>
              <w:rPr>
                <w:rFonts w:hint="eastAsia"/>
                <w:b/>
                <w:color w:val="auto"/>
                <w:sz w:val="24"/>
              </w:rPr>
              <w:t>）</w:t>
            </w:r>
            <w:r>
              <w:rPr>
                <w:b/>
                <w:color w:val="auto"/>
                <w:sz w:val="24"/>
              </w:rPr>
              <w:t>对景观影响分析</w:t>
            </w:r>
          </w:p>
          <w:p w14:paraId="5C9214EE">
            <w:pPr>
              <w:adjustRightInd w:val="0"/>
              <w:snapToGrid w:val="0"/>
              <w:spacing w:line="360" w:lineRule="auto"/>
              <w:ind w:firstLine="480" w:firstLineChars="200"/>
              <w:rPr>
                <w:bCs/>
                <w:color w:val="auto"/>
                <w:sz w:val="24"/>
              </w:rPr>
            </w:pPr>
            <w:r>
              <w:rPr>
                <w:color w:val="auto"/>
                <w:kern w:val="0"/>
                <w:sz w:val="24"/>
                <w:lang w:bidi="ar"/>
              </w:rPr>
              <w:t>由于本项目的建成，使该区域的生态景观出现了镶嵌类型，一定程度上破坏了该区域的生态景观的连续性。本项目在绿化上合理配置植物种类及其不同需要的生态位植物类型，并在空间上加以优化，可弥补由于人工景观的镶嵌作用在景观上出现的斑块，</w:t>
            </w:r>
            <w:r>
              <w:rPr>
                <w:rFonts w:hint="eastAsia"/>
                <w:color w:val="auto"/>
                <w:kern w:val="0"/>
                <w:sz w:val="24"/>
                <w:lang w:bidi="ar"/>
              </w:rPr>
              <w:t>从现状调查结果来分析，评价范围</w:t>
            </w:r>
            <w:r>
              <w:rPr>
                <w:rFonts w:ascii="Times New Roman" w:hAnsi="Times New Roman" w:eastAsia="宋体" w:cs="Times New Roman"/>
                <w:color w:val="auto"/>
                <w:kern w:val="0"/>
                <w:sz w:val="24"/>
                <w:szCs w:val="24"/>
                <w:lang w:bidi="ar"/>
              </w:rPr>
              <w:t>森林作为评价区域景观基质的地位不会受到影响。各个景观斑块的功能地位没有变化。</w:t>
            </w:r>
          </w:p>
          <w:p w14:paraId="1859F915">
            <w:pPr>
              <w:spacing w:line="360" w:lineRule="auto"/>
              <w:ind w:firstLine="482" w:firstLineChars="200"/>
              <w:textAlignment w:val="baseline"/>
              <w:rPr>
                <w:b/>
                <w:color w:val="auto"/>
                <w:sz w:val="24"/>
              </w:rPr>
            </w:pPr>
            <w:r>
              <w:rPr>
                <w:rFonts w:hint="eastAsia"/>
                <w:b/>
                <w:color w:val="auto"/>
                <w:sz w:val="24"/>
              </w:rPr>
              <w:t>（</w:t>
            </w:r>
            <w:r>
              <w:rPr>
                <w:rFonts w:hint="eastAsia"/>
                <w:b/>
                <w:color w:val="auto"/>
                <w:sz w:val="24"/>
                <w:lang w:eastAsia="zh-CN"/>
              </w:rPr>
              <w:t>四</w:t>
            </w:r>
            <w:r>
              <w:rPr>
                <w:rFonts w:hint="eastAsia"/>
                <w:b/>
                <w:color w:val="auto"/>
                <w:sz w:val="24"/>
              </w:rPr>
              <w:t>）对光雾山-诺水河世界地质公园影响分析</w:t>
            </w:r>
          </w:p>
          <w:p w14:paraId="3A87683A">
            <w:pPr>
              <w:spacing w:line="360" w:lineRule="auto"/>
              <w:ind w:firstLine="480" w:firstLineChars="200"/>
              <w:textAlignment w:val="baseline"/>
              <w:rPr>
                <w:b/>
                <w:color w:val="auto"/>
                <w:sz w:val="24"/>
              </w:rPr>
            </w:pPr>
            <w:r>
              <w:rPr>
                <w:bCs/>
                <w:color w:val="auto"/>
                <w:sz w:val="24"/>
              </w:rPr>
              <w:t>项目位于四川光雾山-诺水河世界地质公园范围内，但不涉及四川光雾山-诺水河世界地质公园特级、一级、二级、三级保护区，不涉及地质遗迹景观。</w:t>
            </w:r>
            <w:r>
              <w:rPr>
                <w:rFonts w:hint="eastAsia"/>
                <w:bCs/>
                <w:color w:val="auto"/>
                <w:sz w:val="24"/>
              </w:rPr>
              <w:t>本项目建设不对四川光雾山-诺水河世界地质</w:t>
            </w:r>
            <w:r>
              <w:rPr>
                <w:rFonts w:hint="eastAsia" w:ascii="宋体" w:hAnsi="宋体" w:cs="宋体"/>
                <w:color w:val="auto"/>
                <w:kern w:val="0"/>
                <w:sz w:val="24"/>
                <w:lang w:bidi="ar"/>
              </w:rPr>
              <w:t>公园造成实质影响。</w:t>
            </w:r>
          </w:p>
          <w:p w14:paraId="21BD3160">
            <w:pPr>
              <w:snapToGrid w:val="0"/>
              <w:spacing w:line="360" w:lineRule="auto"/>
              <w:ind w:firstLine="482" w:firstLineChars="200"/>
              <w:rPr>
                <w:b/>
                <w:color w:val="auto"/>
                <w:sz w:val="24"/>
              </w:rPr>
            </w:pPr>
            <w:r>
              <w:rPr>
                <w:rFonts w:hint="eastAsia"/>
                <w:b/>
                <w:color w:val="auto"/>
                <w:sz w:val="24"/>
              </w:rPr>
              <w:t>二</w:t>
            </w:r>
            <w:r>
              <w:rPr>
                <w:b/>
                <w:color w:val="auto"/>
                <w:sz w:val="24"/>
              </w:rPr>
              <w:t>、地表水</w:t>
            </w:r>
          </w:p>
          <w:p w14:paraId="17831AE6">
            <w:pPr>
              <w:autoSpaceDE w:val="0"/>
              <w:autoSpaceDN w:val="0"/>
              <w:spacing w:line="360" w:lineRule="auto"/>
              <w:ind w:firstLine="480" w:firstLineChars="200"/>
              <w:rPr>
                <w:snapToGrid w:val="0"/>
                <w:color w:val="auto"/>
                <w:kern w:val="0"/>
                <w:sz w:val="24"/>
              </w:rPr>
            </w:pPr>
            <w:r>
              <w:rPr>
                <w:rFonts w:hint="eastAsia"/>
                <w:snapToGrid w:val="0"/>
                <w:color w:val="auto"/>
                <w:kern w:val="0"/>
                <w:sz w:val="24"/>
              </w:rPr>
              <w:t>根据前文水平衡分析，本项目运营期主要废水种类为：</w:t>
            </w:r>
            <w:r>
              <w:rPr>
                <w:rFonts w:hint="eastAsia"/>
                <w:color w:val="auto"/>
                <w:sz w:val="24"/>
                <w:lang w:bidi="ar"/>
              </w:rPr>
              <w:t>住户</w:t>
            </w:r>
            <w:r>
              <w:rPr>
                <w:color w:val="auto"/>
                <w:sz w:val="24"/>
                <w:lang w:bidi="ar"/>
              </w:rPr>
              <w:t>生活污水</w:t>
            </w:r>
            <w:r>
              <w:rPr>
                <w:rFonts w:hint="eastAsia"/>
                <w:color w:val="auto"/>
                <w:sz w:val="24"/>
                <w:lang w:bidi="ar"/>
              </w:rPr>
              <w:t>。生活污水产生量为</w:t>
            </w:r>
            <w:r>
              <w:rPr>
                <w:rFonts w:hint="eastAsia"/>
                <w:snapToGrid w:val="0"/>
                <w:color w:val="auto"/>
                <w:kern w:val="0"/>
                <w:sz w:val="24"/>
                <w:lang w:val="en-US" w:eastAsia="zh-CN"/>
              </w:rPr>
              <w:t>68</w:t>
            </w:r>
            <w:r>
              <w:rPr>
                <w:snapToGrid w:val="0"/>
                <w:color w:val="auto"/>
                <w:kern w:val="0"/>
                <w:sz w:val="24"/>
              </w:rPr>
              <w:t>m</w:t>
            </w:r>
            <w:r>
              <w:rPr>
                <w:snapToGrid w:val="0"/>
                <w:color w:val="auto"/>
                <w:kern w:val="0"/>
                <w:sz w:val="24"/>
                <w:vertAlign w:val="superscript"/>
              </w:rPr>
              <w:t>3</w:t>
            </w:r>
            <w:r>
              <w:rPr>
                <w:snapToGrid w:val="0"/>
                <w:color w:val="auto"/>
                <w:kern w:val="0"/>
                <w:sz w:val="24"/>
              </w:rPr>
              <w:t>/d，</w:t>
            </w:r>
            <w:r>
              <w:rPr>
                <w:rFonts w:hint="eastAsia"/>
                <w:snapToGrid w:val="0"/>
                <w:color w:val="auto"/>
                <w:kern w:val="0"/>
                <w:sz w:val="24"/>
                <w:lang w:eastAsia="zh-CN"/>
              </w:rPr>
              <w:t>24820</w:t>
            </w:r>
            <w:r>
              <w:rPr>
                <w:snapToGrid w:val="0"/>
                <w:color w:val="auto"/>
                <w:kern w:val="0"/>
                <w:sz w:val="24"/>
              </w:rPr>
              <w:t>m</w:t>
            </w:r>
            <w:r>
              <w:rPr>
                <w:snapToGrid w:val="0"/>
                <w:color w:val="auto"/>
                <w:kern w:val="0"/>
                <w:sz w:val="24"/>
                <w:vertAlign w:val="superscript"/>
              </w:rPr>
              <w:t>3</w:t>
            </w:r>
            <w:r>
              <w:rPr>
                <w:snapToGrid w:val="0"/>
                <w:color w:val="auto"/>
                <w:kern w:val="0"/>
                <w:sz w:val="24"/>
              </w:rPr>
              <w:t>/a</w:t>
            </w:r>
            <w:r>
              <w:rPr>
                <w:rFonts w:hint="eastAsia"/>
                <w:bCs/>
                <w:color w:val="auto"/>
                <w:sz w:val="24"/>
              </w:rPr>
              <w:t>。</w:t>
            </w:r>
          </w:p>
          <w:p w14:paraId="36B9D809">
            <w:pPr>
              <w:autoSpaceDE w:val="0"/>
              <w:autoSpaceDN w:val="0"/>
              <w:spacing w:line="360" w:lineRule="auto"/>
              <w:ind w:firstLine="480" w:firstLineChars="200"/>
              <w:rPr>
                <w:color w:val="auto"/>
                <w:sz w:val="24"/>
              </w:rPr>
            </w:pPr>
            <w:r>
              <w:rPr>
                <w:rFonts w:hint="eastAsia"/>
                <w:color w:val="auto"/>
                <w:sz w:val="24"/>
              </w:rPr>
              <w:t>项目在南侧设置1座预处理池（</w:t>
            </w:r>
            <w:r>
              <w:rPr>
                <w:rFonts w:hint="eastAsia"/>
                <w:color w:val="auto"/>
                <w:sz w:val="24"/>
                <w:lang w:eastAsia="zh-CN"/>
              </w:rPr>
              <w:t>处理能力为</w:t>
            </w:r>
            <w:r>
              <w:rPr>
                <w:rFonts w:hint="eastAsia"/>
                <w:color w:val="auto"/>
                <w:sz w:val="24"/>
              </w:rPr>
              <w:t>1</w:t>
            </w:r>
            <w:r>
              <w:rPr>
                <w:rFonts w:hint="eastAsia"/>
                <w:color w:val="auto"/>
                <w:sz w:val="24"/>
                <w:lang w:val="en-US" w:eastAsia="zh-CN"/>
              </w:rPr>
              <w:t>0</w:t>
            </w:r>
            <w:r>
              <w:rPr>
                <w:rFonts w:hint="eastAsia"/>
                <w:color w:val="auto"/>
                <w:sz w:val="24"/>
              </w:rPr>
              <w:t>0m</w:t>
            </w:r>
            <w:r>
              <w:rPr>
                <w:rFonts w:hint="eastAsia"/>
                <w:color w:val="auto"/>
                <w:sz w:val="24"/>
                <w:vertAlign w:val="superscript"/>
              </w:rPr>
              <w:t>3</w:t>
            </w:r>
            <w:r>
              <w:rPr>
                <w:rFonts w:hint="eastAsia"/>
                <w:color w:val="auto"/>
                <w:sz w:val="24"/>
                <w:vertAlign w:val="baseline"/>
                <w:lang w:val="en-US" w:eastAsia="zh-CN"/>
              </w:rPr>
              <w:t>/d</w:t>
            </w:r>
            <w:r>
              <w:rPr>
                <w:rFonts w:hint="eastAsia"/>
                <w:color w:val="auto"/>
                <w:sz w:val="24"/>
              </w:rPr>
              <w:t>），项目废水经预处理池处理达标</w:t>
            </w:r>
            <w:r>
              <w:rPr>
                <w:color w:val="auto"/>
                <w:sz w:val="24"/>
              </w:rPr>
              <w:t>后</w:t>
            </w:r>
            <w:r>
              <w:rPr>
                <w:rFonts w:hint="eastAsia"/>
                <w:color w:val="auto"/>
                <w:sz w:val="24"/>
              </w:rPr>
              <w:t>通过市政污水管网排入</w:t>
            </w:r>
            <w:r>
              <w:rPr>
                <w:color w:val="auto"/>
                <w:sz w:val="24"/>
              </w:rPr>
              <w:t>南江县</w:t>
            </w:r>
            <w:r>
              <w:rPr>
                <w:rFonts w:hint="eastAsia"/>
                <w:color w:val="auto"/>
                <w:sz w:val="24"/>
              </w:rPr>
              <w:t>关坝镇</w:t>
            </w:r>
            <w:r>
              <w:rPr>
                <w:color w:val="auto"/>
                <w:sz w:val="24"/>
              </w:rPr>
              <w:t>污水处理站处理达标后排放</w:t>
            </w:r>
            <w:r>
              <w:rPr>
                <w:rFonts w:hint="eastAsia"/>
                <w:color w:val="auto"/>
                <w:sz w:val="24"/>
              </w:rPr>
              <w:t>至南江河</w:t>
            </w:r>
            <w:r>
              <w:rPr>
                <w:color w:val="auto"/>
                <w:sz w:val="24"/>
              </w:rPr>
              <w:t>。</w:t>
            </w:r>
          </w:p>
          <w:p w14:paraId="752C9FF5">
            <w:pPr>
              <w:autoSpaceDE w:val="0"/>
              <w:autoSpaceDN w:val="0"/>
              <w:spacing w:line="360" w:lineRule="auto"/>
              <w:ind w:firstLine="480" w:firstLineChars="200"/>
              <w:rPr>
                <w:bCs/>
                <w:color w:val="auto"/>
                <w:sz w:val="32"/>
                <w:szCs w:val="32"/>
              </w:rPr>
            </w:pPr>
            <w:r>
              <w:rPr>
                <w:rFonts w:hint="eastAsia"/>
                <w:bCs/>
                <w:color w:val="auto"/>
                <w:sz w:val="24"/>
              </w:rPr>
              <w:t>本项目污水受纳水体属于南江河。</w:t>
            </w:r>
            <w:r>
              <w:rPr>
                <w:rStyle w:val="89"/>
                <w:color w:val="auto"/>
              </w:rPr>
              <w:t>根据</w:t>
            </w:r>
            <w:r>
              <w:rPr>
                <w:color w:val="auto"/>
                <w:sz w:val="24"/>
              </w:rPr>
              <w:t>巴中市南江生态环境局公布的《南江县二0二</w:t>
            </w:r>
            <w:r>
              <w:rPr>
                <w:rFonts w:hint="eastAsia"/>
                <w:color w:val="auto"/>
                <w:sz w:val="24"/>
                <w:lang w:eastAsia="zh-CN"/>
              </w:rPr>
              <w:t>五</w:t>
            </w:r>
            <w:r>
              <w:rPr>
                <w:color w:val="auto"/>
                <w:sz w:val="24"/>
              </w:rPr>
              <w:t>年环境质量公告》</w:t>
            </w:r>
            <w:r>
              <w:rPr>
                <w:bCs/>
                <w:color w:val="auto"/>
                <w:sz w:val="24"/>
              </w:rPr>
              <w:t>中公布的数据</w:t>
            </w:r>
            <w:r>
              <w:rPr>
                <w:rFonts w:hint="eastAsia"/>
                <w:bCs/>
                <w:color w:val="auto"/>
                <w:sz w:val="24"/>
              </w:rPr>
              <w:t>，</w:t>
            </w:r>
            <w:r>
              <w:rPr>
                <w:rFonts w:hint="eastAsia"/>
                <w:color w:val="auto"/>
                <w:sz w:val="24"/>
              </w:rPr>
              <w:t>南江河各</w:t>
            </w:r>
            <w:r>
              <w:rPr>
                <w:color w:val="auto"/>
                <w:sz w:val="24"/>
              </w:rPr>
              <w:t>断面水质</w:t>
            </w:r>
            <w:r>
              <w:rPr>
                <w:rFonts w:hint="eastAsia"/>
                <w:color w:val="auto"/>
                <w:sz w:val="24"/>
              </w:rPr>
              <w:t>为</w:t>
            </w:r>
            <w:r>
              <w:rPr>
                <w:rFonts w:hint="eastAsia" w:ascii="宋体" w:hAnsi="宋体" w:cs="宋体"/>
                <w:color w:val="auto"/>
                <w:sz w:val="24"/>
              </w:rPr>
              <w:t>Ⅱ</w:t>
            </w:r>
            <w:r>
              <w:rPr>
                <w:rFonts w:hint="eastAsia"/>
                <w:color w:val="auto"/>
                <w:sz w:val="24"/>
              </w:rPr>
              <w:t>类、</w:t>
            </w:r>
            <w:r>
              <w:rPr>
                <w:color w:val="auto"/>
                <w:sz w:val="24"/>
              </w:rPr>
              <w:t>Ⅲ类标准，</w:t>
            </w:r>
            <w:r>
              <w:rPr>
                <w:rFonts w:hint="eastAsia"/>
                <w:color w:val="auto"/>
                <w:kern w:val="0"/>
                <w:sz w:val="24"/>
                <w:lang w:bidi="ar"/>
              </w:rPr>
              <w:t>受纳水体水环境质量较好</w:t>
            </w:r>
            <w:r>
              <w:rPr>
                <w:color w:val="auto"/>
                <w:kern w:val="0"/>
                <w:sz w:val="24"/>
                <w:lang w:bidi="ar"/>
              </w:rPr>
              <w:t>。</w:t>
            </w:r>
            <w:r>
              <w:rPr>
                <w:color w:val="auto"/>
                <w:sz w:val="24"/>
              </w:rPr>
              <w:t>由以上分析可知，项目运营期所产生的污水对地表水不会造成明显影响。</w:t>
            </w:r>
            <w:r>
              <w:rPr>
                <w:rFonts w:hint="eastAsia"/>
                <w:color w:val="auto"/>
                <w:sz w:val="24"/>
              </w:rPr>
              <w:t>因此，项目运营期</w:t>
            </w:r>
            <w:r>
              <w:rPr>
                <w:color w:val="auto"/>
                <w:sz w:val="24"/>
              </w:rPr>
              <w:t>产生的污水对地表水不会造成明显影响。</w:t>
            </w:r>
          </w:p>
          <w:p w14:paraId="0878E7DD">
            <w:pPr>
              <w:snapToGrid w:val="0"/>
              <w:spacing w:line="360" w:lineRule="auto"/>
              <w:ind w:firstLine="482" w:firstLineChars="200"/>
              <w:rPr>
                <w:b/>
                <w:color w:val="auto"/>
                <w:sz w:val="24"/>
              </w:rPr>
            </w:pPr>
            <w:r>
              <w:rPr>
                <w:rFonts w:hint="eastAsia"/>
                <w:b/>
                <w:color w:val="auto"/>
                <w:sz w:val="24"/>
              </w:rPr>
              <w:t>三、地下水</w:t>
            </w:r>
          </w:p>
          <w:p w14:paraId="4CE2199B">
            <w:pPr>
              <w:widowControl/>
              <w:adjustRightInd w:val="0"/>
              <w:snapToGrid w:val="0"/>
              <w:spacing w:line="360" w:lineRule="auto"/>
              <w:ind w:firstLine="480" w:firstLineChars="200"/>
              <w:rPr>
                <w:color w:val="auto"/>
                <w:sz w:val="24"/>
              </w:rPr>
            </w:pPr>
            <w:r>
              <w:rPr>
                <w:color w:val="auto"/>
                <w:sz w:val="24"/>
              </w:rPr>
              <w:t>（1）防止地下水污染控制措施的原则</w:t>
            </w:r>
          </w:p>
          <w:p w14:paraId="63752923">
            <w:pPr>
              <w:widowControl/>
              <w:adjustRightInd w:val="0"/>
              <w:snapToGrid w:val="0"/>
              <w:spacing w:line="360" w:lineRule="auto"/>
              <w:ind w:firstLine="480" w:firstLineChars="200"/>
              <w:rPr>
                <w:color w:val="auto"/>
                <w:sz w:val="24"/>
              </w:rPr>
            </w:pPr>
            <w:r>
              <w:rPr>
                <w:color w:val="auto"/>
                <w:sz w:val="24"/>
              </w:rPr>
              <w:t>为降低本项目对地下水环境造成的影响，项目应严格按照《环境影响评价技术导则-地下水环境》（HJ610-2016）以及《中华人民共和国水污染防治法》的相关规定，按照“源头控制、分区防治、污染监控、应急响应”的原则进行地下水污染防治控制，本环评提出以下几点措施：</w:t>
            </w:r>
          </w:p>
          <w:p w14:paraId="10B2FDB2">
            <w:pPr>
              <w:widowControl/>
              <w:adjustRightInd w:val="0"/>
              <w:snapToGrid w:val="0"/>
              <w:spacing w:line="360" w:lineRule="auto"/>
              <w:ind w:firstLine="480" w:firstLineChars="200"/>
              <w:rPr>
                <w:color w:val="auto"/>
                <w:sz w:val="24"/>
              </w:rPr>
            </w:pPr>
            <w:r>
              <w:rPr>
                <w:color w:val="auto"/>
                <w:sz w:val="24"/>
              </w:rPr>
              <w:t>①源头防控措施</w:t>
            </w:r>
          </w:p>
          <w:p w14:paraId="76520A35">
            <w:pPr>
              <w:widowControl/>
              <w:adjustRightInd w:val="0"/>
              <w:snapToGrid w:val="0"/>
              <w:spacing w:line="360" w:lineRule="auto"/>
              <w:ind w:firstLine="480" w:firstLineChars="200"/>
              <w:rPr>
                <w:color w:val="auto"/>
                <w:sz w:val="24"/>
              </w:rPr>
            </w:pPr>
            <w:r>
              <w:rPr>
                <w:color w:val="auto"/>
                <w:sz w:val="24"/>
              </w:rPr>
              <w:t>项目应根据国家现行相关规范加强环境管理，采取防止和降低污染物跑、冒、滴、漏的措施。正常运营过程中应加强控制及处理跑、冒、滴、漏，同时应加强对防渗工程的检查，若发现防渗密封材料老化或损坏，应及时维修更换。</w:t>
            </w:r>
          </w:p>
          <w:p w14:paraId="5DEA2FA2">
            <w:pPr>
              <w:widowControl/>
              <w:adjustRightInd w:val="0"/>
              <w:snapToGrid w:val="0"/>
              <w:spacing w:line="360" w:lineRule="auto"/>
              <w:ind w:firstLine="480" w:firstLineChars="200"/>
              <w:rPr>
                <w:color w:val="auto"/>
                <w:sz w:val="24"/>
              </w:rPr>
            </w:pPr>
            <w:r>
              <w:rPr>
                <w:color w:val="auto"/>
                <w:sz w:val="24"/>
              </w:rPr>
              <w:t>②分区防治措施</w:t>
            </w:r>
          </w:p>
          <w:p w14:paraId="1745D3CB">
            <w:pPr>
              <w:widowControl/>
              <w:adjustRightInd w:val="0"/>
              <w:snapToGrid w:val="0"/>
              <w:spacing w:line="360" w:lineRule="auto"/>
              <w:ind w:firstLine="480" w:firstLineChars="200"/>
              <w:rPr>
                <w:color w:val="auto"/>
                <w:sz w:val="24"/>
              </w:rPr>
            </w:pPr>
            <w:r>
              <w:rPr>
                <w:color w:val="auto"/>
                <w:sz w:val="24"/>
              </w:rPr>
              <w:t>环评要求建设单位将本项目按各功能单元所处的位置划分为</w:t>
            </w:r>
            <w:r>
              <w:rPr>
                <w:rFonts w:hint="eastAsia"/>
                <w:color w:val="auto"/>
                <w:sz w:val="24"/>
              </w:rPr>
              <w:t>重点防渗区、</w:t>
            </w:r>
            <w:r>
              <w:rPr>
                <w:color w:val="auto"/>
                <w:sz w:val="24"/>
              </w:rPr>
              <w:t>一般防渗区以及简单防渗区。</w:t>
            </w:r>
          </w:p>
          <w:p w14:paraId="5CEF2351">
            <w:pPr>
              <w:adjustRightInd w:val="0"/>
              <w:snapToGrid w:val="0"/>
              <w:spacing w:line="360" w:lineRule="auto"/>
              <w:ind w:firstLine="480" w:firstLineChars="200"/>
              <w:rPr>
                <w:color w:val="auto"/>
                <w:sz w:val="24"/>
              </w:rPr>
            </w:pPr>
            <w:r>
              <w:rPr>
                <w:color w:val="auto"/>
                <w:sz w:val="24"/>
              </w:rPr>
              <w:t>（2）防渗措施</w:t>
            </w:r>
          </w:p>
          <w:p w14:paraId="4EFE32DD">
            <w:pPr>
              <w:adjustRightInd w:val="0"/>
              <w:snapToGrid w:val="0"/>
              <w:spacing w:line="360" w:lineRule="auto"/>
              <w:ind w:firstLine="480" w:firstLineChars="200"/>
              <w:rPr>
                <w:color w:val="auto"/>
                <w:sz w:val="24"/>
              </w:rPr>
            </w:pPr>
            <w:r>
              <w:rPr>
                <w:rFonts w:hint="eastAsia"/>
                <w:color w:val="auto"/>
                <w:sz w:val="24"/>
              </w:rPr>
              <w:t>重点防渗区：负一层停车场。</w:t>
            </w:r>
          </w:p>
          <w:p w14:paraId="5BC82EDD">
            <w:pPr>
              <w:adjustRightInd w:val="0"/>
              <w:snapToGrid w:val="0"/>
              <w:spacing w:line="360" w:lineRule="auto"/>
              <w:ind w:firstLine="480" w:firstLineChars="200"/>
              <w:rPr>
                <w:color w:val="auto"/>
                <w:sz w:val="24"/>
              </w:rPr>
            </w:pPr>
            <w:r>
              <w:rPr>
                <w:color w:val="auto"/>
                <w:sz w:val="24"/>
              </w:rPr>
              <w:t>一般防渗区：预处理池。</w:t>
            </w:r>
          </w:p>
          <w:p w14:paraId="7DB4001F">
            <w:pPr>
              <w:adjustRightInd w:val="0"/>
              <w:snapToGrid w:val="0"/>
              <w:spacing w:line="360" w:lineRule="auto"/>
              <w:ind w:firstLine="480" w:firstLineChars="200"/>
              <w:rPr>
                <w:color w:val="auto"/>
                <w:sz w:val="24"/>
              </w:rPr>
            </w:pPr>
            <w:r>
              <w:rPr>
                <w:color w:val="auto"/>
                <w:sz w:val="24"/>
              </w:rPr>
              <w:t>简单防渗区：其余区域采用一般地面硬化。</w:t>
            </w:r>
          </w:p>
          <w:p w14:paraId="3306F957">
            <w:pPr>
              <w:adjustRightInd w:val="0"/>
              <w:snapToGrid w:val="0"/>
              <w:spacing w:line="360" w:lineRule="auto"/>
              <w:ind w:firstLine="480" w:firstLineChars="200"/>
              <w:rPr>
                <w:b/>
                <w:color w:val="auto"/>
                <w:sz w:val="24"/>
              </w:rPr>
            </w:pPr>
            <w:r>
              <w:rPr>
                <w:color w:val="auto"/>
                <w:sz w:val="24"/>
              </w:rPr>
              <w:t>综上所述，在采取上述防渗、防腐措施后，项目对地下水基本不会造成明显影响。</w:t>
            </w:r>
          </w:p>
          <w:p w14:paraId="6515C985">
            <w:pPr>
              <w:snapToGrid w:val="0"/>
              <w:spacing w:line="360" w:lineRule="auto"/>
              <w:ind w:firstLine="482" w:firstLineChars="200"/>
              <w:rPr>
                <w:bCs/>
                <w:color w:val="auto"/>
                <w:sz w:val="24"/>
              </w:rPr>
            </w:pPr>
            <w:r>
              <w:rPr>
                <w:b/>
                <w:color w:val="auto"/>
                <w:sz w:val="24"/>
              </w:rPr>
              <w:t>四、噪声</w:t>
            </w:r>
          </w:p>
          <w:p w14:paraId="59F6EDFD">
            <w:pPr>
              <w:snapToGrid w:val="0"/>
              <w:spacing w:line="360" w:lineRule="auto"/>
              <w:ind w:firstLine="480" w:firstLineChars="200"/>
              <w:rPr>
                <w:bCs/>
                <w:color w:val="auto"/>
                <w:sz w:val="24"/>
              </w:rPr>
            </w:pPr>
            <w:r>
              <w:rPr>
                <w:rFonts w:hint="eastAsia"/>
                <w:color w:val="auto"/>
                <w:sz w:val="24"/>
                <w:szCs w:val="32"/>
              </w:rPr>
              <w:t>本项目所有水泵机组设置橡胶隔振垫或减震器等，泵进、出水管设可曲绕橡胶接头、起到隔振、消声作用；通风系统风机均选用低噪音型，进出口采用柔性连接，并设消声器、软接头隔振消声，风机房设隔声密闭门。水泵房、电机房等房间的墙面、天棚采用矿棉隔音，运营期噪声排放对周边影响较小。</w:t>
            </w:r>
          </w:p>
          <w:p w14:paraId="1EF932BD">
            <w:pPr>
              <w:snapToGrid w:val="0"/>
              <w:spacing w:line="360" w:lineRule="auto"/>
              <w:ind w:firstLine="480" w:firstLineChars="200"/>
              <w:rPr>
                <w:bCs/>
                <w:color w:val="auto"/>
                <w:sz w:val="24"/>
              </w:rPr>
            </w:pPr>
            <w:r>
              <w:rPr>
                <w:bCs/>
                <w:color w:val="auto"/>
                <w:sz w:val="24"/>
              </w:rPr>
              <w:t>本项目运营期噪声</w:t>
            </w:r>
            <w:r>
              <w:rPr>
                <w:rFonts w:hint="eastAsia"/>
                <w:bCs/>
                <w:color w:val="auto"/>
                <w:sz w:val="24"/>
              </w:rPr>
              <w:t>源还包括居民</w:t>
            </w:r>
            <w:r>
              <w:rPr>
                <w:bCs/>
                <w:color w:val="auto"/>
                <w:sz w:val="24"/>
              </w:rPr>
              <w:t>人群活动噪声，该噪声对外环境有一定影响，但噪声级较小，管理单位</w:t>
            </w:r>
            <w:r>
              <w:rPr>
                <w:rFonts w:hint="eastAsia"/>
                <w:bCs/>
                <w:color w:val="auto"/>
                <w:sz w:val="24"/>
              </w:rPr>
              <w:t>经</w:t>
            </w:r>
            <w:r>
              <w:rPr>
                <w:bCs/>
                <w:color w:val="auto"/>
                <w:sz w:val="24"/>
              </w:rPr>
              <w:t>制定完善的噪声管理制度，禁止大声喧哗，杜绝人为噪声对周边产生影响</w:t>
            </w:r>
            <w:r>
              <w:rPr>
                <w:rFonts w:hint="eastAsia"/>
                <w:bCs/>
                <w:color w:val="auto"/>
                <w:sz w:val="24"/>
              </w:rPr>
              <w:t>。</w:t>
            </w:r>
          </w:p>
          <w:p w14:paraId="57D8A7C9">
            <w:pPr>
              <w:snapToGrid w:val="0"/>
              <w:spacing w:line="360" w:lineRule="auto"/>
              <w:ind w:firstLine="480" w:firstLineChars="200"/>
              <w:rPr>
                <w:bCs/>
                <w:color w:val="auto"/>
                <w:sz w:val="24"/>
              </w:rPr>
            </w:pPr>
            <w:r>
              <w:rPr>
                <w:rFonts w:hint="eastAsia"/>
                <w:bCs/>
                <w:color w:val="auto"/>
                <w:sz w:val="24"/>
              </w:rPr>
              <w:t>项目区汽车进出将产生汽车噪声，汽车噪声分为汽车喇叭声、发动机辐射的噪声、进气噪声、排气噪声、冷却系统噪声、传动系统噪声、车体震动噪声等。该类噪声源强的特点为瞬时发生、持续时间较短且时段性明显：白天车辆出入较多，噪声源强较大，也有较大波动；其它时段源强较小。夜间车辆进出停车场较少，噪声源强较小。项目建成营运后，汽车运行噪声在加强管理，禁止鸣喇叭，尽量减少机动车频繁启动和怠速，规范停车场的秩序，再进一步加强绿化，可以有效降低车辆噪声实现达标排放。</w:t>
            </w:r>
          </w:p>
          <w:p w14:paraId="2755791E">
            <w:pPr>
              <w:snapToGrid w:val="0"/>
              <w:spacing w:line="360" w:lineRule="auto"/>
              <w:ind w:firstLine="480" w:firstLineChars="200"/>
              <w:rPr>
                <w:bCs/>
                <w:color w:val="auto"/>
                <w:sz w:val="24"/>
              </w:rPr>
            </w:pPr>
            <w:r>
              <w:rPr>
                <w:rFonts w:hint="eastAsia"/>
                <w:bCs/>
                <w:color w:val="auto"/>
                <w:sz w:val="24"/>
              </w:rPr>
              <w:t>同时，本项目</w:t>
            </w:r>
            <w:r>
              <w:rPr>
                <w:bCs/>
                <w:color w:val="auto"/>
                <w:sz w:val="24"/>
              </w:rPr>
              <w:t>周边均种植绿植进行绿化，绿植具有衰减噪声的作用，噪声经过绿植衰减以及距离衰减后，对周边环境影响小</w:t>
            </w:r>
            <w:r>
              <w:rPr>
                <w:rFonts w:hint="eastAsia"/>
                <w:bCs/>
                <w:color w:val="auto"/>
                <w:sz w:val="24"/>
              </w:rPr>
              <w:t>。</w:t>
            </w:r>
          </w:p>
          <w:p w14:paraId="7F28F787">
            <w:pPr>
              <w:snapToGrid w:val="0"/>
              <w:spacing w:line="360" w:lineRule="auto"/>
              <w:ind w:firstLine="482" w:firstLineChars="200"/>
              <w:rPr>
                <w:b/>
                <w:color w:val="auto"/>
                <w:sz w:val="24"/>
              </w:rPr>
            </w:pPr>
            <w:r>
              <w:rPr>
                <w:b/>
                <w:color w:val="auto"/>
                <w:sz w:val="24"/>
              </w:rPr>
              <w:t>五、固废</w:t>
            </w:r>
          </w:p>
          <w:p w14:paraId="75ABCFA2">
            <w:pPr>
              <w:snapToGrid w:val="0"/>
              <w:spacing w:line="360" w:lineRule="auto"/>
              <w:ind w:firstLine="480" w:firstLineChars="200"/>
              <w:rPr>
                <w:bCs/>
                <w:color w:val="auto"/>
                <w:sz w:val="24"/>
              </w:rPr>
            </w:pPr>
            <w:r>
              <w:rPr>
                <w:bCs/>
                <w:color w:val="auto"/>
                <w:sz w:val="24"/>
              </w:rPr>
              <w:t>本项目产生的固废主要为生活垃圾。</w:t>
            </w:r>
          </w:p>
          <w:p w14:paraId="794FAE59">
            <w:pPr>
              <w:snapToGrid w:val="0"/>
              <w:spacing w:line="360" w:lineRule="auto"/>
              <w:ind w:firstLine="482" w:firstLineChars="200"/>
              <w:rPr>
                <w:bCs/>
                <w:color w:val="auto"/>
                <w:sz w:val="24"/>
                <w:highlight w:val="yellow"/>
              </w:rPr>
            </w:pPr>
            <w:r>
              <w:rPr>
                <w:rFonts w:hint="eastAsia"/>
                <w:b/>
                <w:color w:val="auto"/>
                <w:sz w:val="24"/>
              </w:rPr>
              <w:t>生活垃圾：</w:t>
            </w:r>
            <w:r>
              <w:rPr>
                <w:rFonts w:hint="eastAsia"/>
                <w:bCs/>
                <w:color w:val="auto"/>
                <w:sz w:val="24"/>
              </w:rPr>
              <w:t>本项目运营期住户最高约为</w:t>
            </w:r>
            <w:r>
              <w:rPr>
                <w:rFonts w:hint="eastAsia"/>
                <w:bCs/>
                <w:color w:val="auto"/>
                <w:sz w:val="24"/>
                <w:lang w:val="en-US" w:eastAsia="zh-CN"/>
              </w:rPr>
              <w:t>500</w:t>
            </w:r>
            <w:r>
              <w:rPr>
                <w:rFonts w:hint="eastAsia"/>
                <w:bCs/>
                <w:color w:val="auto"/>
                <w:sz w:val="24"/>
              </w:rPr>
              <w:t>人，</w:t>
            </w:r>
            <w:r>
              <w:rPr>
                <w:rFonts w:hint="eastAsia"/>
                <w:color w:val="auto"/>
                <w:sz w:val="24"/>
                <w:lang w:eastAsia="zh-CN"/>
              </w:rPr>
              <w:t>生活</w:t>
            </w:r>
            <w:r>
              <w:rPr>
                <w:color w:val="auto"/>
                <w:sz w:val="24"/>
              </w:rPr>
              <w:t>垃圾产生量为0.5kg/人·天，则生活垃圾产生量为</w:t>
            </w:r>
            <w:r>
              <w:rPr>
                <w:rFonts w:hint="eastAsia"/>
                <w:color w:val="auto"/>
                <w:sz w:val="24"/>
                <w:lang w:val="en-US" w:eastAsia="zh-CN"/>
              </w:rPr>
              <w:t>250</w:t>
            </w:r>
            <w:r>
              <w:rPr>
                <w:color w:val="auto"/>
                <w:sz w:val="24"/>
              </w:rPr>
              <w:t>kg/d，</w:t>
            </w:r>
            <w:r>
              <w:rPr>
                <w:rFonts w:hint="eastAsia"/>
                <w:color w:val="auto"/>
                <w:sz w:val="24"/>
                <w:lang w:val="en-US" w:eastAsia="zh-CN"/>
              </w:rPr>
              <w:t>91.25</w:t>
            </w:r>
            <w:r>
              <w:rPr>
                <w:color w:val="auto"/>
                <w:sz w:val="24"/>
              </w:rPr>
              <w:t>t/a。</w:t>
            </w:r>
            <w:r>
              <w:rPr>
                <w:bCs/>
                <w:color w:val="auto"/>
                <w:sz w:val="24"/>
              </w:rPr>
              <w:t>项目</w:t>
            </w:r>
            <w:r>
              <w:rPr>
                <w:rFonts w:hint="eastAsia"/>
                <w:bCs/>
                <w:color w:val="auto"/>
                <w:sz w:val="24"/>
              </w:rPr>
              <w:t>各楼下设置分类垃圾桶，</w:t>
            </w:r>
            <w:r>
              <w:rPr>
                <w:bCs/>
                <w:color w:val="auto"/>
                <w:sz w:val="24"/>
              </w:rPr>
              <w:t>对生活垃圾进行收集，</w:t>
            </w:r>
            <w:r>
              <w:rPr>
                <w:rFonts w:hint="eastAsia"/>
                <w:bCs/>
                <w:color w:val="auto"/>
                <w:sz w:val="24"/>
              </w:rPr>
              <w:t>生活</w:t>
            </w:r>
            <w:r>
              <w:rPr>
                <w:bCs/>
                <w:color w:val="auto"/>
                <w:sz w:val="24"/>
              </w:rPr>
              <w:t>垃圾全部由环卫</w:t>
            </w:r>
            <w:r>
              <w:rPr>
                <w:rFonts w:hint="eastAsia"/>
                <w:bCs/>
                <w:color w:val="auto"/>
                <w:sz w:val="24"/>
              </w:rPr>
              <w:t>部门</w:t>
            </w:r>
            <w:r>
              <w:rPr>
                <w:bCs/>
                <w:color w:val="auto"/>
                <w:sz w:val="24"/>
              </w:rPr>
              <w:t>统一清运，日产日清。</w:t>
            </w:r>
          </w:p>
          <w:p w14:paraId="5919EA65">
            <w:pPr>
              <w:snapToGrid w:val="0"/>
              <w:spacing w:line="360" w:lineRule="auto"/>
              <w:ind w:firstLine="480" w:firstLineChars="200"/>
              <w:rPr>
                <w:bCs/>
                <w:color w:val="auto"/>
                <w:sz w:val="24"/>
              </w:rPr>
            </w:pPr>
            <w:r>
              <w:rPr>
                <w:bCs/>
                <w:color w:val="auto"/>
                <w:sz w:val="24"/>
              </w:rPr>
              <w:t>综上所述，在采取以上措施后，项目营运期产生的固体废弃物均能得到妥善处置，营运期产生的固废对项目周围环境无明显影响。</w:t>
            </w:r>
          </w:p>
          <w:p w14:paraId="37BFBCE6">
            <w:pPr>
              <w:snapToGrid w:val="0"/>
              <w:spacing w:line="360" w:lineRule="auto"/>
              <w:ind w:firstLine="482" w:firstLineChars="200"/>
              <w:rPr>
                <w:b/>
                <w:color w:val="auto"/>
                <w:sz w:val="24"/>
              </w:rPr>
            </w:pPr>
            <w:r>
              <w:rPr>
                <w:b/>
                <w:color w:val="auto"/>
                <w:sz w:val="24"/>
              </w:rPr>
              <w:t>六、废气</w:t>
            </w:r>
          </w:p>
          <w:p w14:paraId="6AFD6D57">
            <w:pPr>
              <w:snapToGrid w:val="0"/>
              <w:spacing w:line="360" w:lineRule="auto"/>
              <w:ind w:firstLine="482" w:firstLineChars="200"/>
              <w:rPr>
                <w:b/>
                <w:bCs/>
                <w:color w:val="auto"/>
                <w:sz w:val="24"/>
              </w:rPr>
            </w:pPr>
            <w:r>
              <w:rPr>
                <w:rFonts w:hint="eastAsia"/>
                <w:b/>
                <w:bCs/>
                <w:color w:val="auto"/>
                <w:sz w:val="24"/>
              </w:rPr>
              <w:t>（1）油烟</w:t>
            </w:r>
          </w:p>
          <w:p w14:paraId="360653B1">
            <w:pPr>
              <w:snapToGrid w:val="0"/>
              <w:spacing w:line="360" w:lineRule="auto"/>
              <w:ind w:firstLine="480" w:firstLineChars="200"/>
              <w:rPr>
                <w:rFonts w:hint="eastAsia" w:ascii="serif" w:hAnsi="serif" w:cs="serif"/>
                <w:color w:val="auto"/>
                <w:sz w:val="24"/>
                <w:shd w:val="clear" w:color="auto" w:fill="FFFFFF"/>
              </w:rPr>
            </w:pPr>
            <w:r>
              <w:rPr>
                <w:rFonts w:hint="eastAsia"/>
                <w:color w:val="auto"/>
                <w:sz w:val="24"/>
              </w:rPr>
              <w:t>项目每栋住宅设置</w:t>
            </w:r>
            <w:r>
              <w:rPr>
                <w:rFonts w:ascii="serif" w:hAnsi="serif" w:eastAsia="serif" w:cs="serif"/>
                <w:color w:val="auto"/>
                <w:sz w:val="24"/>
                <w:shd w:val="clear" w:color="auto" w:fill="FFFFFF"/>
              </w:rPr>
              <w:t>专用居民油烟排烟竖井</w:t>
            </w:r>
            <w:r>
              <w:rPr>
                <w:rFonts w:hint="eastAsia" w:ascii="serif" w:hAnsi="serif" w:eastAsia="宋体" w:cs="serif"/>
                <w:color w:val="auto"/>
                <w:sz w:val="24"/>
                <w:shd w:val="clear" w:color="auto" w:fill="FFFFFF"/>
                <w:lang w:eastAsia="zh-CN"/>
              </w:rPr>
              <w:t>，</w:t>
            </w:r>
            <w:r>
              <w:rPr>
                <w:rFonts w:hint="eastAsia" w:ascii="serif" w:hAnsi="serif" w:eastAsia="宋体" w:cs="serif"/>
                <w:color w:val="auto"/>
                <w:sz w:val="24"/>
                <w:shd w:val="clear" w:color="auto" w:fill="FFFFFF"/>
                <w:lang w:val="en-US" w:eastAsia="zh-CN"/>
              </w:rPr>
              <w:t>由居民自行安装油烟净化器处理后经专用烟道排放，排放量较小，对周边环境影响较小。</w:t>
            </w:r>
          </w:p>
          <w:p w14:paraId="0DA653E1">
            <w:pPr>
              <w:snapToGrid w:val="0"/>
              <w:spacing w:line="360" w:lineRule="auto"/>
              <w:ind w:firstLine="482" w:firstLineChars="200"/>
              <w:rPr>
                <w:rFonts w:hint="eastAsia" w:ascii="serif" w:hAnsi="serif" w:cs="serif"/>
                <w:color w:val="auto"/>
                <w:sz w:val="24"/>
                <w:shd w:val="clear" w:color="auto" w:fill="FFFFFF"/>
              </w:rPr>
            </w:pPr>
            <w:r>
              <w:rPr>
                <w:b/>
                <w:bCs/>
                <w:color w:val="auto"/>
                <w:sz w:val="24"/>
                <w:shd w:val="clear" w:color="auto" w:fill="FFFFFF"/>
              </w:rPr>
              <w:t>（2）柴油发电机废气</w:t>
            </w:r>
          </w:p>
          <w:p w14:paraId="3C58C867">
            <w:pPr>
              <w:adjustRightInd w:val="0"/>
              <w:snapToGrid w:val="0"/>
              <w:spacing w:line="360" w:lineRule="auto"/>
              <w:ind w:firstLine="480" w:firstLineChars="200"/>
              <w:rPr>
                <w:color w:val="auto"/>
                <w:sz w:val="24"/>
              </w:rPr>
            </w:pPr>
            <w:r>
              <w:rPr>
                <w:rFonts w:hint="eastAsia"/>
                <w:color w:val="auto"/>
                <w:sz w:val="24"/>
              </w:rPr>
              <w:t>本项目设置应急柴油发电机，</w:t>
            </w:r>
            <w:r>
              <w:rPr>
                <w:color w:val="auto"/>
                <w:sz w:val="24"/>
              </w:rPr>
              <w:t>发电机采用0#柴油作为燃料，燃料燃烧会产生少量燃烧废气，主要污染物烟尘、NO</w:t>
            </w:r>
            <w:r>
              <w:rPr>
                <w:color w:val="auto"/>
                <w:sz w:val="24"/>
                <w:vertAlign w:val="subscript"/>
              </w:rPr>
              <w:t>X</w:t>
            </w:r>
            <w:r>
              <w:rPr>
                <w:color w:val="auto"/>
                <w:sz w:val="24"/>
              </w:rPr>
              <w:t>、SO</w:t>
            </w:r>
            <w:r>
              <w:rPr>
                <w:color w:val="auto"/>
                <w:sz w:val="24"/>
                <w:vertAlign w:val="subscript"/>
              </w:rPr>
              <w:t>2</w:t>
            </w:r>
            <w:r>
              <w:rPr>
                <w:color w:val="auto"/>
                <w:sz w:val="24"/>
              </w:rPr>
              <w:t>，使用频次较低，产生量较少。</w:t>
            </w:r>
          </w:p>
          <w:p w14:paraId="36E59300">
            <w:pPr>
              <w:snapToGrid w:val="0"/>
              <w:spacing w:line="360" w:lineRule="auto"/>
              <w:ind w:firstLine="480" w:firstLineChars="200"/>
              <w:rPr>
                <w:color w:val="auto"/>
                <w:sz w:val="24"/>
              </w:rPr>
            </w:pPr>
            <w:r>
              <w:rPr>
                <w:color w:val="auto"/>
                <w:sz w:val="24"/>
              </w:rPr>
              <w:t>柴油发电机房设有独立的排风系统，自然补风。发电机采用0#柴油作为燃料，燃烧尾气经自带消烟除尘处理后经排风系统由通风管道引至屋顶达标排放。由于城市供电系统完善，电力供应得到保障，备用柴油发电机使用时间很少，废气排放量少，燃烧废气排放量对环境影响较小。</w:t>
            </w:r>
          </w:p>
          <w:p w14:paraId="6492EEE7">
            <w:pPr>
              <w:snapToGrid w:val="0"/>
              <w:spacing w:line="360" w:lineRule="auto"/>
              <w:ind w:firstLine="482" w:firstLineChars="200"/>
              <w:rPr>
                <w:b/>
                <w:bCs/>
                <w:color w:val="auto"/>
                <w:sz w:val="24"/>
              </w:rPr>
            </w:pPr>
            <w:r>
              <w:rPr>
                <w:rFonts w:hint="eastAsia"/>
                <w:b/>
                <w:bCs/>
                <w:color w:val="auto"/>
                <w:sz w:val="24"/>
              </w:rPr>
              <w:t>（3）汽车尾气</w:t>
            </w:r>
          </w:p>
          <w:p w14:paraId="5EEC1CEE">
            <w:pPr>
              <w:snapToGrid w:val="0"/>
              <w:spacing w:line="360" w:lineRule="auto"/>
              <w:ind w:firstLine="480" w:firstLineChars="200"/>
              <w:rPr>
                <w:bCs/>
                <w:color w:val="auto"/>
                <w:sz w:val="24"/>
              </w:rPr>
            </w:pPr>
            <w:r>
              <w:rPr>
                <w:rFonts w:hint="eastAsia"/>
                <w:color w:val="auto"/>
                <w:sz w:val="24"/>
              </w:rPr>
              <w:t>项目运营期间，车辆行驶，有一定的尾气产生。汽车以汽油为燃料，主要污染物为CO、NOx以及未完全燃烧的碳氢化合物HC等。</w:t>
            </w:r>
            <w:r>
              <w:rPr>
                <w:color w:val="auto"/>
                <w:sz w:val="24"/>
              </w:rPr>
              <w:t>产生量较少，本次环评不做定量核算。</w:t>
            </w:r>
            <w:r>
              <w:rPr>
                <w:rFonts w:hint="eastAsia"/>
                <w:bCs/>
                <w:color w:val="auto"/>
                <w:sz w:val="24"/>
              </w:rPr>
              <w:t>运营期建设单位安排专人进行车辆管理，并合理安排车流，尤其是停车高峰时段、避免停车时车流拥堵怠速的情况发生，减少停车时产生的废气及相应污染。同时，边界种植绿化，可对汽车尾气起到一定稀释净化作用，汽车尾气经空气稀释扩散后无组织达标排放</w:t>
            </w:r>
            <w:r>
              <w:rPr>
                <w:rFonts w:hint="eastAsia"/>
                <w:color w:val="auto"/>
                <w:sz w:val="24"/>
              </w:rPr>
              <w:t>，不会对区域大气造成不良影响。</w:t>
            </w:r>
          </w:p>
          <w:p w14:paraId="353C4579">
            <w:pPr>
              <w:snapToGrid w:val="0"/>
              <w:spacing w:line="360" w:lineRule="auto"/>
              <w:ind w:firstLine="480" w:firstLineChars="200"/>
              <w:rPr>
                <w:bCs/>
                <w:color w:val="auto"/>
                <w:szCs w:val="21"/>
              </w:rPr>
            </w:pPr>
            <w:r>
              <w:rPr>
                <w:bCs/>
                <w:color w:val="auto"/>
                <w:sz w:val="24"/>
              </w:rPr>
              <w:t>综上所述，本项目营运期各污染物不会对区域大气环境造成明显影响。</w:t>
            </w:r>
          </w:p>
        </w:tc>
      </w:tr>
      <w:tr w14:paraId="15F6D5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9" w:type="dxa"/>
            <w:vAlign w:val="center"/>
          </w:tcPr>
          <w:p w14:paraId="0394EC69">
            <w:pPr>
              <w:pStyle w:val="30"/>
              <w:adjustRightInd w:val="0"/>
              <w:snapToGrid w:val="0"/>
              <w:spacing w:before="0" w:beforeAutospacing="0" w:after="0" w:afterAutospacing="0"/>
              <w:jc w:val="center"/>
              <w:rPr>
                <w:rFonts w:ascii="Times New Roman" w:hAnsi="Times New Roman"/>
                <w:bCs/>
                <w:color w:val="auto"/>
                <w:kern w:val="2"/>
              </w:rPr>
            </w:pPr>
            <w:r>
              <w:rPr>
                <w:rFonts w:ascii="Times New Roman" w:hAnsi="Times New Roman"/>
                <w:bCs/>
                <w:color w:val="auto"/>
                <w:kern w:val="2"/>
              </w:rPr>
              <w:t>选址环境合理性分析</w:t>
            </w:r>
          </w:p>
        </w:tc>
        <w:tc>
          <w:tcPr>
            <w:tcW w:w="8363" w:type="dxa"/>
          </w:tcPr>
          <w:p w14:paraId="149CD16C">
            <w:pPr>
              <w:adjustRightInd w:val="0"/>
              <w:snapToGrid w:val="0"/>
              <w:spacing w:before="120" w:beforeLines="50" w:line="360" w:lineRule="auto"/>
              <w:ind w:firstLine="480" w:firstLineChars="200"/>
              <w:rPr>
                <w:color w:val="auto"/>
                <w:sz w:val="24"/>
              </w:rPr>
            </w:pPr>
            <w:r>
              <w:rPr>
                <w:rFonts w:hint="eastAsia"/>
                <w:color w:val="auto"/>
                <w:sz w:val="24"/>
              </w:rPr>
              <w:t>本项目位于南江县关坝镇，根据南江县关坝镇总体规划，本项目永久占地土地利用规划为二类居住用地，符合用地规划。</w:t>
            </w:r>
            <w:r>
              <w:rPr>
                <w:color w:val="auto"/>
                <w:sz w:val="24"/>
              </w:rPr>
              <w:t>因此，本项目的实施</w:t>
            </w:r>
            <w:r>
              <w:rPr>
                <w:rFonts w:hint="eastAsia"/>
                <w:color w:val="auto"/>
                <w:sz w:val="24"/>
              </w:rPr>
              <w:t>符合区域用地规划</w:t>
            </w:r>
            <w:r>
              <w:rPr>
                <w:color w:val="auto"/>
                <w:sz w:val="24"/>
              </w:rPr>
              <w:t>。</w:t>
            </w:r>
          </w:p>
          <w:p w14:paraId="60118090">
            <w:pPr>
              <w:adjustRightInd w:val="0"/>
              <w:snapToGrid w:val="0"/>
              <w:spacing w:line="360" w:lineRule="auto"/>
              <w:ind w:firstLine="482" w:firstLineChars="200"/>
              <w:jc w:val="left"/>
              <w:rPr>
                <w:color w:val="auto"/>
                <w:sz w:val="24"/>
              </w:rPr>
            </w:pPr>
            <w:r>
              <w:rPr>
                <w:rFonts w:hint="eastAsia"/>
                <w:b/>
                <w:bCs/>
                <w:color w:val="auto"/>
                <w:sz w:val="24"/>
              </w:rPr>
              <w:t>综上，本项目选址合理，符合当地规划。</w:t>
            </w:r>
          </w:p>
          <w:p w14:paraId="4FFE351B">
            <w:pPr>
              <w:adjustRightInd w:val="0"/>
              <w:snapToGrid w:val="0"/>
              <w:spacing w:line="360" w:lineRule="auto"/>
              <w:ind w:firstLine="480" w:firstLineChars="200"/>
              <w:rPr>
                <w:color w:val="auto"/>
                <w:sz w:val="24"/>
                <w:szCs w:val="32"/>
              </w:rPr>
            </w:pPr>
            <w:r>
              <w:rPr>
                <w:color w:val="auto"/>
                <w:sz w:val="24"/>
                <w:szCs w:val="32"/>
              </w:rPr>
              <w:t>本项目</w:t>
            </w:r>
            <w:r>
              <w:rPr>
                <w:rFonts w:hint="eastAsia"/>
                <w:color w:val="auto"/>
                <w:sz w:val="24"/>
              </w:rPr>
              <w:t>运营期仅少量厨房油烟经油烟净化器处理后经专用烟道于屋顶达标排放</w:t>
            </w:r>
            <w:r>
              <w:rPr>
                <w:color w:val="auto"/>
                <w:sz w:val="24"/>
                <w:szCs w:val="32"/>
              </w:rPr>
              <w:t>。</w:t>
            </w:r>
            <w:r>
              <w:rPr>
                <w:rFonts w:hint="eastAsia"/>
                <w:color w:val="auto"/>
                <w:sz w:val="24"/>
                <w:szCs w:val="32"/>
              </w:rPr>
              <w:t>本项目所有水泵机组设置橡胶隔振垫或减震器等，泵进、出水管设可曲绕橡胶接头、起到隔振、消声作用；通风系统风机均选用低噪音型，进出口采用柔性连接，并设消声器、软接头隔振消声，风机房设隔声密闭门。水泵房、电机房等房间的墙面、天棚采用矿棉隔音，运营期噪声排放对周边居住区影响较小。</w:t>
            </w:r>
            <w:r>
              <w:rPr>
                <w:rFonts w:hint="eastAsia"/>
                <w:color w:val="auto"/>
                <w:sz w:val="24"/>
              </w:rPr>
              <w:t>本项目属于生态类项目，废水通过市政污水管网排放至南江县关坝镇污水处理站，无废水直排，本项目建设对地表水环境影响较小。</w:t>
            </w:r>
          </w:p>
          <w:p w14:paraId="03087DA6">
            <w:pPr>
              <w:adjustRightInd w:val="0"/>
              <w:snapToGrid w:val="0"/>
              <w:spacing w:line="360" w:lineRule="auto"/>
              <w:ind w:firstLine="480" w:firstLineChars="200"/>
              <w:rPr>
                <w:rFonts w:hint="eastAsia"/>
                <w:color w:val="auto"/>
                <w:sz w:val="24"/>
                <w:szCs w:val="32"/>
              </w:rPr>
            </w:pPr>
            <w:r>
              <w:rPr>
                <w:rFonts w:hint="eastAsia"/>
                <w:color w:val="auto"/>
                <w:sz w:val="24"/>
                <w:szCs w:val="32"/>
              </w:rPr>
              <w:t>综上，本项目</w:t>
            </w:r>
            <w:r>
              <w:rPr>
                <w:color w:val="auto"/>
                <w:kern w:val="0"/>
                <w:sz w:val="24"/>
              </w:rPr>
              <w:t>建设单位在严格执行本报告提出的相关治理措施后，项目营运期产生的废水、废气</w:t>
            </w:r>
            <w:r>
              <w:rPr>
                <w:rFonts w:hint="eastAsia"/>
                <w:color w:val="auto"/>
                <w:kern w:val="0"/>
                <w:sz w:val="24"/>
              </w:rPr>
              <w:t>、噪声</w:t>
            </w:r>
            <w:r>
              <w:rPr>
                <w:color w:val="auto"/>
                <w:kern w:val="0"/>
                <w:sz w:val="24"/>
              </w:rPr>
              <w:t>对</w:t>
            </w:r>
            <w:r>
              <w:rPr>
                <w:rFonts w:hint="eastAsia"/>
                <w:color w:val="auto"/>
                <w:kern w:val="0"/>
                <w:sz w:val="24"/>
              </w:rPr>
              <w:t>外环境</w:t>
            </w:r>
            <w:r>
              <w:rPr>
                <w:color w:val="auto"/>
                <w:kern w:val="0"/>
                <w:sz w:val="24"/>
              </w:rPr>
              <w:t>产生的影响</w:t>
            </w:r>
            <w:r>
              <w:rPr>
                <w:rFonts w:hint="eastAsia"/>
                <w:color w:val="auto"/>
                <w:kern w:val="0"/>
                <w:sz w:val="24"/>
              </w:rPr>
              <w:t>均</w:t>
            </w:r>
            <w:r>
              <w:rPr>
                <w:rStyle w:val="42"/>
                <w:color w:val="auto"/>
                <w:kern w:val="0"/>
                <w:sz w:val="24"/>
              </w:rPr>
              <w:t>在可接受范围内</w:t>
            </w:r>
            <w:r>
              <w:rPr>
                <w:color w:val="auto"/>
                <w:kern w:val="0"/>
                <w:sz w:val="24"/>
              </w:rPr>
              <w:t>。</w:t>
            </w:r>
            <w:r>
              <w:rPr>
                <w:rFonts w:hint="eastAsia"/>
                <w:color w:val="auto"/>
                <w:sz w:val="24"/>
                <w:szCs w:val="32"/>
              </w:rPr>
              <w:t>本项目选址合理。</w:t>
            </w:r>
          </w:p>
          <w:p w14:paraId="7A3A5B7A">
            <w:pPr>
              <w:adjustRightInd w:val="0"/>
              <w:snapToGrid w:val="0"/>
              <w:spacing w:line="360" w:lineRule="auto"/>
              <w:ind w:firstLine="480" w:firstLineChars="200"/>
              <w:rPr>
                <w:rFonts w:hint="eastAsia"/>
                <w:color w:val="auto"/>
                <w:sz w:val="24"/>
                <w:szCs w:val="32"/>
              </w:rPr>
            </w:pPr>
          </w:p>
          <w:p w14:paraId="768B4FEC">
            <w:pPr>
              <w:adjustRightInd w:val="0"/>
              <w:snapToGrid w:val="0"/>
              <w:spacing w:line="360" w:lineRule="auto"/>
              <w:ind w:firstLine="480" w:firstLineChars="200"/>
              <w:rPr>
                <w:rFonts w:hint="eastAsia"/>
                <w:color w:val="auto"/>
                <w:sz w:val="24"/>
                <w:szCs w:val="32"/>
              </w:rPr>
            </w:pPr>
          </w:p>
          <w:p w14:paraId="15A42A28">
            <w:pPr>
              <w:adjustRightInd w:val="0"/>
              <w:snapToGrid w:val="0"/>
              <w:spacing w:line="360" w:lineRule="auto"/>
              <w:ind w:firstLine="480" w:firstLineChars="200"/>
              <w:rPr>
                <w:rFonts w:hint="eastAsia"/>
                <w:color w:val="auto"/>
                <w:sz w:val="24"/>
                <w:lang w:eastAsia="zh-CN"/>
              </w:rPr>
            </w:pPr>
          </w:p>
          <w:p w14:paraId="162513F4">
            <w:pPr>
              <w:adjustRightInd w:val="0"/>
              <w:snapToGrid w:val="0"/>
              <w:spacing w:line="360" w:lineRule="auto"/>
              <w:ind w:firstLine="480" w:firstLineChars="200"/>
              <w:rPr>
                <w:rFonts w:hint="eastAsia"/>
                <w:color w:val="auto"/>
                <w:sz w:val="24"/>
                <w:lang w:eastAsia="zh-CN"/>
              </w:rPr>
            </w:pPr>
          </w:p>
          <w:p w14:paraId="50D487ED">
            <w:pPr>
              <w:adjustRightInd w:val="0"/>
              <w:snapToGrid w:val="0"/>
              <w:spacing w:line="360" w:lineRule="auto"/>
              <w:ind w:firstLine="480" w:firstLineChars="200"/>
              <w:rPr>
                <w:rFonts w:hint="eastAsia"/>
                <w:color w:val="auto"/>
                <w:sz w:val="24"/>
                <w:lang w:eastAsia="zh-CN"/>
              </w:rPr>
            </w:pPr>
          </w:p>
          <w:p w14:paraId="2E0A02DB">
            <w:pPr>
              <w:adjustRightInd w:val="0"/>
              <w:snapToGrid w:val="0"/>
              <w:spacing w:line="360" w:lineRule="auto"/>
              <w:ind w:firstLine="480" w:firstLineChars="200"/>
              <w:rPr>
                <w:rFonts w:hint="eastAsia"/>
                <w:color w:val="auto"/>
                <w:sz w:val="24"/>
                <w:lang w:eastAsia="zh-CN"/>
              </w:rPr>
            </w:pPr>
          </w:p>
          <w:p w14:paraId="30373A4A">
            <w:pPr>
              <w:adjustRightInd w:val="0"/>
              <w:snapToGrid w:val="0"/>
              <w:spacing w:line="360" w:lineRule="auto"/>
              <w:ind w:firstLine="480" w:firstLineChars="200"/>
              <w:rPr>
                <w:rFonts w:hint="eastAsia"/>
                <w:color w:val="auto"/>
                <w:sz w:val="24"/>
                <w:lang w:eastAsia="zh-CN"/>
              </w:rPr>
            </w:pPr>
          </w:p>
          <w:p w14:paraId="298D92B2">
            <w:pPr>
              <w:adjustRightInd w:val="0"/>
              <w:snapToGrid w:val="0"/>
              <w:spacing w:line="360" w:lineRule="auto"/>
              <w:ind w:firstLine="480" w:firstLineChars="200"/>
              <w:rPr>
                <w:rFonts w:hint="eastAsia"/>
                <w:color w:val="auto"/>
                <w:sz w:val="24"/>
                <w:lang w:eastAsia="zh-CN"/>
              </w:rPr>
            </w:pPr>
          </w:p>
          <w:p w14:paraId="59DAB7C4">
            <w:pPr>
              <w:adjustRightInd w:val="0"/>
              <w:snapToGrid w:val="0"/>
              <w:spacing w:line="360" w:lineRule="auto"/>
              <w:ind w:firstLine="480" w:firstLineChars="200"/>
              <w:rPr>
                <w:rFonts w:hint="eastAsia"/>
                <w:color w:val="auto"/>
                <w:sz w:val="24"/>
                <w:lang w:eastAsia="zh-CN"/>
              </w:rPr>
            </w:pPr>
          </w:p>
          <w:p w14:paraId="2B7E1183">
            <w:pPr>
              <w:adjustRightInd w:val="0"/>
              <w:snapToGrid w:val="0"/>
              <w:spacing w:line="360" w:lineRule="auto"/>
              <w:ind w:firstLine="480" w:firstLineChars="200"/>
              <w:rPr>
                <w:rFonts w:hint="eastAsia" w:eastAsia="宋体"/>
                <w:color w:val="auto"/>
                <w:sz w:val="24"/>
                <w:lang w:eastAsia="zh-CN"/>
              </w:rPr>
            </w:pPr>
          </w:p>
        </w:tc>
      </w:tr>
    </w:tbl>
    <w:p w14:paraId="6B8FCD83">
      <w:pPr>
        <w:pStyle w:val="30"/>
        <w:jc w:val="center"/>
        <w:rPr>
          <w:rFonts w:ascii="Times New Roman" w:hAnsi="Times New Roman" w:eastAsia="黑体"/>
          <w:snapToGrid w:val="0"/>
          <w:color w:val="auto"/>
          <w:sz w:val="36"/>
          <w:szCs w:val="36"/>
        </w:rPr>
        <w:sectPr>
          <w:pgSz w:w="11906" w:h="16838"/>
          <w:pgMar w:top="1440" w:right="1800" w:bottom="1440" w:left="1800" w:header="851" w:footer="1077" w:gutter="0"/>
          <w:pgBorders>
            <w:top w:val="none" w:sz="0" w:space="0"/>
            <w:left w:val="none" w:sz="0" w:space="0"/>
            <w:bottom w:val="none" w:sz="0" w:space="0"/>
            <w:right w:val="none" w:sz="0" w:space="0"/>
          </w:pgBorders>
          <w:cols w:space="720" w:num="1"/>
          <w:docGrid w:linePitch="312" w:charSpace="0"/>
        </w:sectPr>
      </w:pPr>
    </w:p>
    <w:p w14:paraId="72DC8D29">
      <w:pPr>
        <w:pStyle w:val="30"/>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sz w:val="30"/>
          <w:szCs w:val="30"/>
        </w:rPr>
        <w:t>五、主要生态环境保护措施</w:t>
      </w:r>
    </w:p>
    <w:tbl>
      <w:tblPr>
        <w:tblStyle w:val="34"/>
        <w:tblW w:w="92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8457"/>
      </w:tblGrid>
      <w:tr w14:paraId="0481FC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753" w:type="dxa"/>
            <w:tcMar>
              <w:left w:w="28" w:type="dxa"/>
              <w:right w:w="28" w:type="dxa"/>
            </w:tcMar>
            <w:vAlign w:val="center"/>
          </w:tcPr>
          <w:p w14:paraId="5F18FE92">
            <w:pPr>
              <w:adjustRightInd w:val="0"/>
              <w:snapToGrid w:val="0"/>
              <w:jc w:val="center"/>
              <w:rPr>
                <w:bCs/>
                <w:color w:val="auto"/>
                <w:szCs w:val="21"/>
              </w:rPr>
            </w:pPr>
            <w:r>
              <w:rPr>
                <w:bCs/>
                <w:color w:val="auto"/>
                <w:sz w:val="24"/>
              </w:rPr>
              <w:t>施工期生态环境保护措施</w:t>
            </w:r>
          </w:p>
        </w:tc>
        <w:tc>
          <w:tcPr>
            <w:tcW w:w="8457" w:type="dxa"/>
          </w:tcPr>
          <w:p w14:paraId="61F04F0C">
            <w:pPr>
              <w:adjustRightInd w:val="0"/>
              <w:snapToGrid w:val="0"/>
              <w:spacing w:before="120" w:beforeLines="50" w:line="360" w:lineRule="auto"/>
              <w:ind w:firstLine="482" w:firstLineChars="200"/>
              <w:rPr>
                <w:b/>
                <w:color w:val="auto"/>
                <w:sz w:val="24"/>
              </w:rPr>
            </w:pPr>
            <w:r>
              <w:rPr>
                <w:rFonts w:hint="eastAsia"/>
                <w:b/>
                <w:color w:val="auto"/>
                <w:sz w:val="24"/>
              </w:rPr>
              <w:t>一、生态保护措施</w:t>
            </w:r>
          </w:p>
          <w:p w14:paraId="4B0F3529">
            <w:pPr>
              <w:spacing w:line="360" w:lineRule="auto"/>
              <w:ind w:firstLine="480"/>
              <w:rPr>
                <w:b/>
                <w:color w:val="auto"/>
                <w:sz w:val="24"/>
              </w:rPr>
            </w:pPr>
            <w:r>
              <w:rPr>
                <w:rFonts w:hint="eastAsia"/>
                <w:b/>
                <w:color w:val="auto"/>
                <w:sz w:val="24"/>
              </w:rPr>
              <w:t>1、</w:t>
            </w:r>
            <w:r>
              <w:rPr>
                <w:b/>
                <w:color w:val="auto"/>
                <w:sz w:val="24"/>
              </w:rPr>
              <w:t>陆生植物保护措施</w:t>
            </w:r>
          </w:p>
          <w:p w14:paraId="6C1FC36B">
            <w:pPr>
              <w:widowControl/>
              <w:spacing w:line="360" w:lineRule="auto"/>
              <w:ind w:firstLine="480" w:firstLineChars="200"/>
              <w:rPr>
                <w:color w:val="auto"/>
                <w:sz w:val="24"/>
              </w:rPr>
            </w:pPr>
            <w:r>
              <w:rPr>
                <w:color w:val="auto"/>
                <w:sz w:val="24"/>
              </w:rPr>
              <w:t>在项目</w:t>
            </w:r>
            <w:r>
              <w:rPr>
                <w:rFonts w:hint="eastAsia"/>
                <w:color w:val="auto"/>
                <w:sz w:val="24"/>
                <w:lang w:eastAsia="zh-CN"/>
              </w:rPr>
              <w:t>绿化工程</w:t>
            </w:r>
            <w:r>
              <w:rPr>
                <w:color w:val="auto"/>
                <w:sz w:val="24"/>
              </w:rPr>
              <w:t>中除考虑选择适合当地适生速成树种外，在布局上还应考虑多种树种的交错分布，增加抗病害能力，并增强自身的稳定性。另外树种种苗的选择应经过严格检疫，防止引入病害。对于森林防火应采取有效措施。针对工程</w:t>
            </w:r>
            <w:r>
              <w:rPr>
                <w:rFonts w:hint="eastAsia"/>
                <w:color w:val="auto"/>
                <w:sz w:val="24"/>
              </w:rPr>
              <w:t>周边</w:t>
            </w:r>
            <w:r>
              <w:rPr>
                <w:color w:val="auto"/>
                <w:sz w:val="24"/>
              </w:rPr>
              <w:t>植物资源分布的特点，对不同的保护对象提出如下的保护措施：</w:t>
            </w:r>
          </w:p>
          <w:p w14:paraId="3373CA80">
            <w:pPr>
              <w:widowControl/>
              <w:spacing w:line="360" w:lineRule="auto"/>
              <w:ind w:firstLine="480" w:firstLineChars="200"/>
              <w:rPr>
                <w:color w:val="auto"/>
                <w:sz w:val="24"/>
              </w:rPr>
            </w:pPr>
            <w:r>
              <w:rPr>
                <w:color w:val="auto"/>
                <w:sz w:val="24"/>
              </w:rPr>
              <w:t>（1）避免措施</w:t>
            </w:r>
          </w:p>
          <w:p w14:paraId="1C4339E8">
            <w:pPr>
              <w:widowControl/>
              <w:spacing w:line="360" w:lineRule="auto"/>
              <w:ind w:firstLine="480" w:firstLineChars="200"/>
              <w:rPr>
                <w:color w:val="auto"/>
                <w:sz w:val="24"/>
              </w:rPr>
            </w:pPr>
            <w:r>
              <w:rPr>
                <w:color w:val="auto"/>
                <w:sz w:val="24"/>
              </w:rPr>
              <w:t>施工布置时对一些生活设施、施工生产</w:t>
            </w:r>
            <w:r>
              <w:rPr>
                <w:rFonts w:hint="eastAsia"/>
                <w:color w:val="auto"/>
                <w:sz w:val="24"/>
              </w:rPr>
              <w:t>区</w:t>
            </w:r>
            <w:r>
              <w:rPr>
                <w:color w:val="auto"/>
                <w:sz w:val="24"/>
              </w:rPr>
              <w:t>等的选址应避开生产力相对较高的</w:t>
            </w:r>
            <w:r>
              <w:rPr>
                <w:rFonts w:hint="eastAsia"/>
                <w:color w:val="auto"/>
                <w:sz w:val="24"/>
              </w:rPr>
              <w:t>耕地</w:t>
            </w:r>
            <w:r>
              <w:rPr>
                <w:color w:val="auto"/>
                <w:sz w:val="24"/>
              </w:rPr>
              <w:t>区域。</w:t>
            </w:r>
          </w:p>
          <w:p w14:paraId="1B45A44B">
            <w:pPr>
              <w:widowControl/>
              <w:spacing w:line="360" w:lineRule="auto"/>
              <w:ind w:firstLine="480" w:firstLineChars="200"/>
              <w:rPr>
                <w:color w:val="auto"/>
                <w:sz w:val="24"/>
              </w:rPr>
            </w:pPr>
            <w:r>
              <w:rPr>
                <w:color w:val="auto"/>
                <w:sz w:val="24"/>
              </w:rPr>
              <w:t>（2）消减措施</w:t>
            </w:r>
          </w:p>
          <w:p w14:paraId="404814BB">
            <w:pPr>
              <w:widowControl/>
              <w:spacing w:line="360" w:lineRule="auto"/>
              <w:ind w:firstLine="480" w:firstLineChars="200"/>
              <w:rPr>
                <w:color w:val="auto"/>
                <w:sz w:val="24"/>
              </w:rPr>
            </w:pPr>
            <w:r>
              <w:rPr>
                <w:color w:val="auto"/>
                <w:sz w:val="24"/>
              </w:rPr>
              <w:t>施工活动要</w:t>
            </w:r>
            <w:r>
              <w:rPr>
                <w:rFonts w:hint="eastAsia"/>
                <w:color w:val="auto"/>
                <w:sz w:val="24"/>
              </w:rPr>
              <w:t>尽量</w:t>
            </w:r>
            <w:r>
              <w:rPr>
                <w:color w:val="auto"/>
                <w:sz w:val="24"/>
              </w:rPr>
              <w:t>在征地范围内进行，施工</w:t>
            </w:r>
            <w:r>
              <w:rPr>
                <w:rFonts w:hint="eastAsia"/>
                <w:color w:val="auto"/>
                <w:sz w:val="24"/>
              </w:rPr>
              <w:t>场地</w:t>
            </w:r>
            <w:r>
              <w:rPr>
                <w:color w:val="auto"/>
                <w:sz w:val="24"/>
              </w:rPr>
              <w:t>要尽量缩小范围。减少对耕地的占用，优先选用荒草地。</w:t>
            </w:r>
          </w:p>
          <w:p w14:paraId="560635C7">
            <w:pPr>
              <w:widowControl/>
              <w:spacing w:line="360" w:lineRule="auto"/>
              <w:ind w:firstLine="480" w:firstLineChars="200"/>
              <w:rPr>
                <w:color w:val="auto"/>
                <w:sz w:val="24"/>
              </w:rPr>
            </w:pPr>
            <w:r>
              <w:rPr>
                <w:color w:val="auto"/>
                <w:sz w:val="24"/>
              </w:rPr>
              <w:t>（3）恢复与补偿措施</w:t>
            </w:r>
          </w:p>
          <w:p w14:paraId="754724AF">
            <w:pPr>
              <w:widowControl/>
              <w:spacing w:line="360" w:lineRule="auto"/>
              <w:ind w:firstLine="480" w:firstLineChars="200"/>
              <w:rPr>
                <w:color w:val="auto"/>
                <w:sz w:val="24"/>
              </w:rPr>
            </w:pPr>
            <w:r>
              <w:rPr>
                <w:color w:val="auto"/>
                <w:sz w:val="24"/>
              </w:rPr>
              <w:t>植被恢复措施是主要的植物保护措施，对植被的恢复应根据当地的气候特点，</w:t>
            </w:r>
            <w:r>
              <w:rPr>
                <w:rFonts w:hint="eastAsia"/>
                <w:color w:val="auto"/>
                <w:sz w:val="24"/>
              </w:rPr>
              <w:t>项目运营期进行绿化种植，选用当地优势物种进行种植</w:t>
            </w:r>
            <w:r>
              <w:rPr>
                <w:rStyle w:val="42"/>
                <w:rFonts w:hint="eastAsia"/>
                <w:color w:val="auto"/>
                <w:kern w:val="0"/>
              </w:rPr>
              <w:t>。</w:t>
            </w:r>
          </w:p>
          <w:p w14:paraId="0A0627A8">
            <w:pPr>
              <w:spacing w:line="360" w:lineRule="auto"/>
              <w:ind w:firstLine="480"/>
              <w:rPr>
                <w:b/>
                <w:color w:val="auto"/>
                <w:sz w:val="24"/>
              </w:rPr>
            </w:pPr>
            <w:r>
              <w:rPr>
                <w:rFonts w:hint="eastAsia"/>
                <w:b/>
                <w:color w:val="auto"/>
                <w:sz w:val="24"/>
              </w:rPr>
              <w:t>2、</w:t>
            </w:r>
            <w:r>
              <w:rPr>
                <w:b/>
                <w:color w:val="auto"/>
                <w:sz w:val="24"/>
              </w:rPr>
              <w:t>陆生动物保护措施</w:t>
            </w:r>
          </w:p>
          <w:p w14:paraId="213201C5">
            <w:pPr>
              <w:widowControl/>
              <w:spacing w:line="360" w:lineRule="auto"/>
              <w:ind w:firstLine="480" w:firstLineChars="200"/>
              <w:rPr>
                <w:color w:val="auto"/>
                <w:sz w:val="24"/>
              </w:rPr>
            </w:pPr>
            <w:r>
              <w:rPr>
                <w:color w:val="auto"/>
                <w:sz w:val="24"/>
              </w:rPr>
              <w:t>（1）避免措施</w:t>
            </w:r>
          </w:p>
          <w:p w14:paraId="391ABF18">
            <w:pPr>
              <w:widowControl/>
              <w:spacing w:line="360" w:lineRule="auto"/>
              <w:ind w:firstLine="480" w:firstLineChars="200"/>
              <w:rPr>
                <w:color w:val="auto"/>
                <w:sz w:val="24"/>
              </w:rPr>
            </w:pPr>
            <w:r>
              <w:rPr>
                <w:color w:val="auto"/>
                <w:sz w:val="24"/>
              </w:rPr>
              <w:t>提高施工人员的保护意识，严禁捕猎野生动物。施工人员必须遵守《中华人民共和国野生动物保护法》，严禁在施工区及其周围捕猎野生动物，在施工时严禁进行猎捕，严禁施工人员和当地居民捕杀两栖和爬行类动物。野生鸟类和兽类大多是晨昏外出觅食，正午休息。为了减少工程施工噪声对野生动物的惊扰，应做好施工方式和时间的计划，并力求避免在晨昏和正午爆破施工。</w:t>
            </w:r>
          </w:p>
          <w:p w14:paraId="2C4FD277">
            <w:pPr>
              <w:widowControl/>
              <w:spacing w:line="360" w:lineRule="auto"/>
              <w:ind w:firstLine="480" w:firstLineChars="200"/>
              <w:rPr>
                <w:color w:val="auto"/>
                <w:sz w:val="24"/>
              </w:rPr>
            </w:pPr>
            <w:r>
              <w:rPr>
                <w:color w:val="auto"/>
                <w:sz w:val="24"/>
              </w:rPr>
              <w:t>（2）削减措施</w:t>
            </w:r>
          </w:p>
          <w:p w14:paraId="73B68ABC">
            <w:pPr>
              <w:widowControl/>
              <w:spacing w:line="360" w:lineRule="auto"/>
              <w:ind w:firstLine="480" w:firstLineChars="200"/>
              <w:rPr>
                <w:color w:val="auto"/>
                <w:sz w:val="24"/>
              </w:rPr>
            </w:pPr>
            <w:r>
              <w:rPr>
                <w:color w:val="auto"/>
                <w:sz w:val="24"/>
              </w:rPr>
              <w:t>施工期间加强弃渣场防护，加强施工人员的各类卫生管理，避免生活污水的直接排放，减少水体污染，最大限度保护动物生境。</w:t>
            </w:r>
          </w:p>
          <w:p w14:paraId="1A4A0A32">
            <w:pPr>
              <w:widowControl/>
              <w:spacing w:line="360" w:lineRule="auto"/>
              <w:ind w:firstLine="480" w:firstLineChars="200"/>
              <w:rPr>
                <w:color w:val="auto"/>
                <w:sz w:val="24"/>
              </w:rPr>
            </w:pPr>
            <w:r>
              <w:rPr>
                <w:color w:val="auto"/>
                <w:sz w:val="24"/>
              </w:rPr>
              <w:t>（3）恢复与补偿措施</w:t>
            </w:r>
          </w:p>
          <w:p w14:paraId="74F8728A">
            <w:pPr>
              <w:widowControl/>
              <w:spacing w:line="360" w:lineRule="auto"/>
              <w:ind w:firstLine="480" w:firstLineChars="200"/>
              <w:rPr>
                <w:color w:val="auto"/>
                <w:sz w:val="24"/>
              </w:rPr>
            </w:pPr>
            <w:r>
              <w:rPr>
                <w:color w:val="auto"/>
                <w:sz w:val="24"/>
              </w:rPr>
              <w:t>在林地边采用加密绿化带，防止灯光和噪声对动物的不利影响，进行自然景观的恢复，有利于动物适应新的生境。</w:t>
            </w:r>
          </w:p>
          <w:p w14:paraId="43916D7D">
            <w:pPr>
              <w:widowControl/>
              <w:spacing w:line="360" w:lineRule="auto"/>
              <w:ind w:firstLine="480" w:firstLineChars="200"/>
              <w:rPr>
                <w:color w:val="auto"/>
                <w:sz w:val="24"/>
              </w:rPr>
            </w:pPr>
            <w:r>
              <w:rPr>
                <w:color w:val="auto"/>
                <w:sz w:val="24"/>
              </w:rPr>
              <w:t>（4）管理措施</w:t>
            </w:r>
          </w:p>
          <w:p w14:paraId="36C579AB">
            <w:pPr>
              <w:widowControl/>
              <w:spacing w:line="360" w:lineRule="auto"/>
              <w:ind w:firstLine="480" w:firstLineChars="200"/>
              <w:rPr>
                <w:color w:val="auto"/>
                <w:sz w:val="24"/>
              </w:rPr>
            </w:pPr>
            <w:r>
              <w:rPr>
                <w:color w:val="auto"/>
                <w:sz w:val="24"/>
              </w:rPr>
              <w:t>从保护生态与环境的角度出发，建议本工程开发建设前，尽量做好施工规划前期工作；施工期间加强弃渣场防护，加强施工人员生活污水排放管理，减少水体污染；做好工程完工后生态的恢复工作，以尽量减少植被破坏及对水土流失、水质和陆生生物的不利影响。</w:t>
            </w:r>
          </w:p>
          <w:p w14:paraId="51C05CB8">
            <w:pPr>
              <w:widowControl/>
              <w:spacing w:line="360" w:lineRule="auto"/>
              <w:ind w:firstLine="480" w:firstLineChars="200"/>
              <w:rPr>
                <w:color w:val="auto"/>
                <w:sz w:val="24"/>
              </w:rPr>
            </w:pPr>
            <w:r>
              <w:rPr>
                <w:color w:val="auto"/>
                <w:sz w:val="24"/>
              </w:rPr>
              <w:t>（5）防治动物生境污染措施</w:t>
            </w:r>
          </w:p>
          <w:p w14:paraId="2CF6FA52">
            <w:pPr>
              <w:adjustRightInd w:val="0"/>
              <w:snapToGrid w:val="0"/>
              <w:spacing w:line="360" w:lineRule="auto"/>
              <w:ind w:firstLine="480" w:firstLineChars="200"/>
              <w:rPr>
                <w:color w:val="auto"/>
                <w:sz w:val="24"/>
              </w:rPr>
            </w:pPr>
            <w:r>
              <w:rPr>
                <w:color w:val="auto"/>
                <w:sz w:val="24"/>
              </w:rPr>
              <w:t>从保护生态与环境的角度出发，建议本工程开发建设前，尽量做好施工规划前期工作；施工期间加强弃渣场防护，加强施工人员的各类卫生管理（如个人卫生、粪便和生活污水），避免生活污水的直接排放，减少水体污染；做好工程完工后生态环境的恢复工作，以尽量减少植被破坏及对水土流失、水质和陆生生物的不利影响。</w:t>
            </w:r>
          </w:p>
          <w:p w14:paraId="1E5029D5">
            <w:pPr>
              <w:spacing w:line="360" w:lineRule="auto"/>
              <w:ind w:firstLine="480"/>
              <w:rPr>
                <w:rFonts w:ascii="Times New Roman" w:hAnsi="Times New Roman" w:eastAsia="宋体" w:cs="Times New Roman"/>
                <w:color w:val="auto"/>
                <w:sz w:val="24"/>
              </w:rPr>
            </w:pPr>
            <w:r>
              <w:rPr>
                <w:rFonts w:hint="eastAsia"/>
                <w:b/>
                <w:bCs/>
                <w:color w:val="auto"/>
                <w:sz w:val="24"/>
              </w:rPr>
              <w:t>3、水土保持措施</w:t>
            </w:r>
            <w:r>
              <w:rPr>
                <w:color w:val="auto"/>
                <w:sz w:val="24"/>
              </w:rPr>
              <w:t>主体工程区基础开挖施工中会遇到强降雨，会对地表及基坑造成冲刷，为了防止由于降雨及其径流冲刷表土及泥沙进入河道</w:t>
            </w:r>
            <w:r>
              <w:rPr>
                <w:rFonts w:ascii="Times New Roman" w:hAnsi="Times New Roman" w:eastAsia="宋体" w:cs="Times New Roman"/>
                <w:color w:val="auto"/>
                <w:sz w:val="24"/>
              </w:rPr>
              <w:t>。</w:t>
            </w:r>
            <w:r>
              <w:rPr>
                <w:rFonts w:hint="eastAsia" w:ascii="Times New Roman" w:hAnsi="Times New Roman" w:eastAsia="宋体" w:cs="Times New Roman"/>
                <w:color w:val="auto"/>
                <w:sz w:val="24"/>
                <w:lang w:eastAsia="zh-CN"/>
              </w:rPr>
              <w:t>项目拟采取</w:t>
            </w:r>
            <w:r>
              <w:rPr>
                <w:rFonts w:ascii="Times New Roman" w:hAnsi="Times New Roman" w:eastAsia="宋体" w:cs="Times New Roman"/>
                <w:color w:val="auto"/>
                <w:sz w:val="24"/>
              </w:rPr>
              <w:t>施工区域周边设置围挡、修建截排水沟</w:t>
            </w:r>
            <w:r>
              <w:rPr>
                <w:rFonts w:hint="eastAsia" w:ascii="Times New Roman" w:hAnsi="Times New Roman" w:eastAsia="宋体" w:cs="Times New Roman"/>
                <w:color w:val="auto"/>
                <w:sz w:val="24"/>
                <w:lang w:eastAsia="zh-CN"/>
              </w:rPr>
              <w:t>，</w:t>
            </w:r>
            <w:r>
              <w:rPr>
                <w:rFonts w:ascii="Times New Roman" w:hAnsi="Times New Roman" w:eastAsia="宋体" w:cs="Times New Roman"/>
                <w:color w:val="auto"/>
                <w:sz w:val="24"/>
              </w:rPr>
              <w:t>基础开挖区采用</w:t>
            </w:r>
            <w:r>
              <w:rPr>
                <w:rFonts w:hint="eastAsia" w:ascii="Times New Roman" w:hAnsi="Times New Roman" w:eastAsia="宋体" w:cs="Times New Roman"/>
                <w:color w:val="auto"/>
                <w:sz w:val="24"/>
                <w:lang w:eastAsia="zh-CN"/>
              </w:rPr>
              <w:t>密目网</w:t>
            </w:r>
            <w:r>
              <w:rPr>
                <w:rFonts w:ascii="Times New Roman" w:hAnsi="Times New Roman" w:eastAsia="宋体" w:cs="Times New Roman"/>
                <w:color w:val="auto"/>
                <w:sz w:val="24"/>
              </w:rPr>
              <w:t>进行临时遮盖</w:t>
            </w:r>
            <w:r>
              <w:rPr>
                <w:rFonts w:hint="eastAsia" w:ascii="Times New Roman" w:hAnsi="Times New Roman" w:eastAsia="宋体" w:cs="Times New Roman"/>
                <w:color w:val="auto"/>
                <w:sz w:val="24"/>
                <w:lang w:eastAsia="zh-CN"/>
              </w:rPr>
              <w:t>等措施。</w:t>
            </w:r>
          </w:p>
          <w:p w14:paraId="38ABD73F">
            <w:pPr>
              <w:spacing w:line="360" w:lineRule="auto"/>
              <w:ind w:firstLine="480"/>
              <w:rPr>
                <w:bCs/>
                <w:color w:val="auto"/>
                <w:sz w:val="24"/>
              </w:rPr>
            </w:pPr>
            <w:r>
              <w:rPr>
                <w:color w:val="auto"/>
                <w:sz w:val="24"/>
              </w:rPr>
              <w:t>由于工程施工时序上的差异，部分填方料将难免会临时堆放一段时期，因临时堆土结构松散，受降水影响极易引起严重的水土流失，故用</w:t>
            </w:r>
            <w:r>
              <w:rPr>
                <w:rFonts w:hint="eastAsia"/>
                <w:color w:val="auto"/>
                <w:sz w:val="24"/>
                <w:lang w:eastAsia="zh-CN"/>
              </w:rPr>
              <w:t>密目网</w:t>
            </w:r>
            <w:r>
              <w:rPr>
                <w:color w:val="auto"/>
                <w:sz w:val="24"/>
              </w:rPr>
              <w:t>进行遮盖，四周用碎石压护。施工临建区中部分基础开挖施工中可能会遇到强降雨，会对地表及基坑造成冲刷，为了防止降雨及其径流所造成的水土流失，本方案拟在</w:t>
            </w:r>
            <w:r>
              <w:rPr>
                <w:rFonts w:hint="eastAsia"/>
                <w:color w:val="auto"/>
                <w:sz w:val="24"/>
              </w:rPr>
              <w:t>场地边界</w:t>
            </w:r>
            <w:r>
              <w:rPr>
                <w:color w:val="auto"/>
                <w:sz w:val="24"/>
              </w:rPr>
              <w:t>设置临时排水沟和沉砂池，对地表所挖填临时土石方采用</w:t>
            </w:r>
            <w:r>
              <w:rPr>
                <w:rFonts w:hint="eastAsia"/>
                <w:color w:val="auto"/>
                <w:sz w:val="24"/>
                <w:lang w:eastAsia="zh-CN"/>
              </w:rPr>
              <w:t>密目网</w:t>
            </w:r>
            <w:r>
              <w:rPr>
                <w:color w:val="auto"/>
                <w:sz w:val="24"/>
              </w:rPr>
              <w:t>临时遮盖。</w:t>
            </w:r>
          </w:p>
          <w:p w14:paraId="17EC3663">
            <w:pPr>
              <w:spacing w:line="360" w:lineRule="auto"/>
              <w:ind w:firstLine="480"/>
              <w:rPr>
                <w:b/>
                <w:color w:val="auto"/>
                <w:sz w:val="24"/>
              </w:rPr>
            </w:pPr>
            <w:r>
              <w:rPr>
                <w:b/>
                <w:color w:val="auto"/>
                <w:sz w:val="24"/>
              </w:rPr>
              <w:t>同时，本项目采取以下措施</w:t>
            </w:r>
            <w:r>
              <w:rPr>
                <w:rFonts w:hint="eastAsia"/>
                <w:b/>
                <w:color w:val="auto"/>
                <w:sz w:val="24"/>
              </w:rPr>
              <w:t>防治</w:t>
            </w:r>
            <w:r>
              <w:rPr>
                <w:b/>
                <w:color w:val="auto"/>
                <w:sz w:val="24"/>
              </w:rPr>
              <w:t>水土流失:</w:t>
            </w:r>
          </w:p>
          <w:p w14:paraId="1E1E66BD">
            <w:pPr>
              <w:adjustRightInd w:val="0"/>
              <w:snapToGrid w:val="0"/>
              <w:spacing w:line="360" w:lineRule="auto"/>
              <w:ind w:firstLine="480" w:firstLineChars="200"/>
              <w:rPr>
                <w:bCs/>
                <w:color w:val="auto"/>
                <w:sz w:val="24"/>
              </w:rPr>
            </w:pPr>
            <w:r>
              <w:rPr>
                <w:bCs/>
                <w:color w:val="auto"/>
                <w:sz w:val="24"/>
              </w:rPr>
              <w:t>①为避免土石方在堆放期间产生水土流失，考虑采用</w:t>
            </w:r>
            <w:r>
              <w:rPr>
                <w:rFonts w:hint="eastAsia"/>
                <w:bCs/>
                <w:color w:val="auto"/>
                <w:sz w:val="24"/>
                <w:lang w:eastAsia="zh-CN"/>
              </w:rPr>
              <w:t>密目网</w:t>
            </w:r>
            <w:r>
              <w:rPr>
                <w:bCs/>
                <w:color w:val="auto"/>
                <w:sz w:val="24"/>
              </w:rPr>
              <w:t>对其进行覆盖；</w:t>
            </w:r>
          </w:p>
          <w:p w14:paraId="6D765D47">
            <w:pPr>
              <w:adjustRightInd w:val="0"/>
              <w:snapToGrid w:val="0"/>
              <w:spacing w:line="360" w:lineRule="auto"/>
              <w:ind w:firstLine="480" w:firstLineChars="200"/>
              <w:rPr>
                <w:bCs/>
                <w:color w:val="auto"/>
                <w:sz w:val="24"/>
              </w:rPr>
            </w:pPr>
            <w:r>
              <w:rPr>
                <w:bCs/>
                <w:color w:val="auto"/>
                <w:sz w:val="24"/>
              </w:rPr>
              <w:t>②严格按照工程设计及施工进度计划进行施工，埋填时遵循先挡后弃的原则。在开挖结束后，立即进行护坡处理，减少地表裸露时间</w:t>
            </w:r>
            <w:r>
              <w:rPr>
                <w:rFonts w:hint="eastAsia"/>
                <w:bCs/>
                <w:color w:val="auto"/>
                <w:sz w:val="24"/>
              </w:rPr>
              <w:t>，严禁渣土下河</w:t>
            </w:r>
            <w:r>
              <w:rPr>
                <w:bCs/>
                <w:color w:val="auto"/>
                <w:sz w:val="24"/>
              </w:rPr>
              <w:t>；</w:t>
            </w:r>
          </w:p>
          <w:p w14:paraId="35CF814C">
            <w:pPr>
              <w:adjustRightInd w:val="0"/>
              <w:snapToGrid w:val="0"/>
              <w:spacing w:line="360" w:lineRule="auto"/>
              <w:ind w:firstLine="480" w:firstLineChars="200"/>
              <w:rPr>
                <w:bCs/>
                <w:color w:val="auto"/>
                <w:sz w:val="24"/>
              </w:rPr>
            </w:pPr>
            <w:r>
              <w:rPr>
                <w:bCs/>
                <w:color w:val="auto"/>
                <w:sz w:val="24"/>
              </w:rPr>
              <w:t>③在开挖先期建设截水沟和排水沟，减少地表径流对开挖坡面的冲刷。</w:t>
            </w:r>
          </w:p>
          <w:p w14:paraId="79DA4ACA">
            <w:pPr>
              <w:adjustRightInd w:val="0"/>
              <w:snapToGrid w:val="0"/>
              <w:spacing w:line="360" w:lineRule="auto"/>
              <w:ind w:firstLine="480" w:firstLineChars="200"/>
              <w:rPr>
                <w:bCs/>
                <w:color w:val="auto"/>
                <w:sz w:val="24"/>
              </w:rPr>
            </w:pPr>
            <w:r>
              <w:rPr>
                <w:bCs/>
                <w:color w:val="auto"/>
                <w:sz w:val="24"/>
              </w:rPr>
              <w:t>④如果挖方地段边坡较陡，应先进行基础防护工程，然后再压实基础，进而进行工程建设；</w:t>
            </w:r>
          </w:p>
          <w:p w14:paraId="5BA5CD17">
            <w:pPr>
              <w:adjustRightInd w:val="0"/>
              <w:snapToGrid w:val="0"/>
              <w:spacing w:line="360" w:lineRule="auto"/>
              <w:ind w:firstLine="480" w:firstLineChars="200"/>
              <w:rPr>
                <w:bCs/>
                <w:color w:val="auto"/>
                <w:sz w:val="24"/>
              </w:rPr>
            </w:pPr>
            <w:r>
              <w:rPr>
                <w:bCs/>
                <w:color w:val="auto"/>
                <w:sz w:val="24"/>
              </w:rPr>
              <w:t>⑤在干季，要随时对开挖地面洒水；在雨季，用</w:t>
            </w:r>
            <w:r>
              <w:rPr>
                <w:rFonts w:hint="eastAsia"/>
                <w:bCs/>
                <w:color w:val="auto"/>
                <w:sz w:val="24"/>
                <w:lang w:eastAsia="zh-CN"/>
              </w:rPr>
              <w:t>密目网</w:t>
            </w:r>
            <w:r>
              <w:rPr>
                <w:bCs/>
                <w:color w:val="auto"/>
                <w:sz w:val="24"/>
              </w:rPr>
              <w:t>或其它材料对开挖面进行覆盖，降低雨水的淋蚀；</w:t>
            </w:r>
          </w:p>
          <w:p w14:paraId="3DA13626">
            <w:pPr>
              <w:adjustRightInd w:val="0"/>
              <w:snapToGrid w:val="0"/>
              <w:spacing w:line="360" w:lineRule="auto"/>
              <w:ind w:firstLine="480" w:firstLineChars="200"/>
              <w:rPr>
                <w:bCs/>
                <w:color w:val="auto"/>
                <w:sz w:val="24"/>
              </w:rPr>
            </w:pPr>
            <w:r>
              <w:rPr>
                <w:bCs/>
                <w:color w:val="auto"/>
                <w:sz w:val="24"/>
              </w:rPr>
              <w:t>⑥建筑材料如堆置不当，遇暴雨袭击会造成水土流失，需做好相应的防护；</w:t>
            </w:r>
          </w:p>
          <w:p w14:paraId="63E7E5A1">
            <w:pPr>
              <w:adjustRightInd w:val="0"/>
              <w:snapToGrid w:val="0"/>
              <w:spacing w:line="360" w:lineRule="auto"/>
              <w:ind w:firstLine="480" w:firstLineChars="200"/>
              <w:rPr>
                <w:bCs/>
                <w:color w:val="auto"/>
                <w:sz w:val="24"/>
              </w:rPr>
            </w:pPr>
            <w:r>
              <w:rPr>
                <w:bCs/>
                <w:color w:val="auto"/>
                <w:sz w:val="24"/>
              </w:rPr>
              <w:t>⑦施工期要注重优化施工组织和制定严格的施工作业制度。尽量将挖填施工安排在非雨汛期，并缩短挖填土石方的堆置时间；施工过程中，清基耕植土、开挖的土石方均需集中堆置，堆置过程中做好堆置坡度、高度的控制及位置的选择。对于易产生水土流失的堆置场地，应设置临时围拦、开挖水沟等防护措施，以减少施工期水土流失量。</w:t>
            </w:r>
          </w:p>
          <w:p w14:paraId="4F6C48D4">
            <w:pPr>
              <w:adjustRightInd w:val="0"/>
              <w:snapToGrid w:val="0"/>
              <w:spacing w:line="360" w:lineRule="auto"/>
              <w:ind w:firstLine="480" w:firstLineChars="200"/>
              <w:rPr>
                <w:b/>
                <w:bCs/>
                <w:color w:val="auto"/>
                <w:sz w:val="24"/>
              </w:rPr>
            </w:pPr>
            <w:r>
              <w:rPr>
                <w:bCs/>
                <w:color w:val="auto"/>
                <w:sz w:val="24"/>
              </w:rPr>
              <w:t>本项目施工期应提高水土流失防治标准，在建设期要严格控制施工人员、机械的施工范围，减少对土地的扰动。通过施工过程中采取临时防护措施，施工结束后迅速恢复植被等措施，以弥补工程施工造成的不利影响，控制工程建设造成的水土流失，并提高防御标准、加大生态补偿力度。</w:t>
            </w:r>
          </w:p>
          <w:p w14:paraId="091E1173">
            <w:pPr>
              <w:adjustRightInd w:val="0"/>
              <w:snapToGrid w:val="0"/>
              <w:spacing w:line="360" w:lineRule="auto"/>
              <w:ind w:firstLine="480" w:firstLineChars="200"/>
              <w:rPr>
                <w:bCs/>
                <w:color w:val="auto"/>
                <w:sz w:val="24"/>
              </w:rPr>
            </w:pPr>
          </w:p>
          <w:p w14:paraId="4AE3D56E">
            <w:pPr>
              <w:adjustRightInd w:val="0"/>
              <w:snapToGrid w:val="0"/>
              <w:spacing w:line="360" w:lineRule="auto"/>
              <w:ind w:firstLine="482" w:firstLineChars="200"/>
              <w:rPr>
                <w:b/>
                <w:color w:val="auto"/>
                <w:sz w:val="24"/>
              </w:rPr>
            </w:pPr>
            <w:r>
              <w:rPr>
                <w:rFonts w:hint="eastAsia"/>
                <w:b/>
                <w:color w:val="auto"/>
                <w:sz w:val="24"/>
              </w:rPr>
              <w:t>4、地貌景观保护措施</w:t>
            </w:r>
          </w:p>
          <w:p w14:paraId="7A64EAD2">
            <w:pPr>
              <w:adjustRightInd w:val="0"/>
              <w:snapToGrid w:val="0"/>
              <w:spacing w:line="360" w:lineRule="auto"/>
              <w:ind w:firstLine="480" w:firstLineChars="200"/>
              <w:rPr>
                <w:rFonts w:ascii="宋体" w:hAnsi="宋体"/>
                <w:color w:val="auto"/>
                <w:sz w:val="24"/>
              </w:rPr>
            </w:pPr>
            <w:r>
              <w:rPr>
                <w:rFonts w:hint="eastAsia" w:ascii="宋体" w:hAnsi="宋体"/>
                <w:color w:val="auto"/>
                <w:sz w:val="24"/>
              </w:rPr>
              <w:t>针对施工阶段影响的地形地貌，对地质环境进行恢复治理工程等工程措施进行治理。工程施工过程中的各类开挖面不得长时间裸露，必须在开挖面形成后立即进行绿化与植被恢复，以减少对地质公园景观的影响。</w:t>
            </w:r>
          </w:p>
          <w:p w14:paraId="142A4E64">
            <w:pPr>
              <w:adjustRightInd w:val="0"/>
              <w:snapToGrid w:val="0"/>
              <w:spacing w:line="360" w:lineRule="auto"/>
              <w:ind w:firstLine="480" w:firstLineChars="200"/>
              <w:rPr>
                <w:bCs/>
                <w:color w:val="auto"/>
                <w:sz w:val="24"/>
              </w:rPr>
            </w:pPr>
            <w:r>
              <w:rPr>
                <w:rFonts w:hint="eastAsia" w:ascii="宋体" w:hAnsi="宋体"/>
                <w:color w:val="auto"/>
                <w:sz w:val="24"/>
              </w:rPr>
              <w:t>施工完成后，</w:t>
            </w:r>
            <w:r>
              <w:rPr>
                <w:rFonts w:hint="eastAsia" w:ascii="宋体" w:hAnsi="宋体"/>
                <w:color w:val="auto"/>
                <w:sz w:val="24"/>
                <w:lang w:eastAsia="zh-CN"/>
              </w:rPr>
              <w:t>结合当地现状植物进行搭配种植，</w:t>
            </w:r>
            <w:r>
              <w:rPr>
                <w:color w:val="auto"/>
                <w:sz w:val="24"/>
              </w:rPr>
              <w:t>选择最适宜的栽植期进行栽植</w:t>
            </w:r>
            <w:r>
              <w:rPr>
                <w:rFonts w:hint="eastAsia" w:ascii="宋体" w:hAnsi="宋体"/>
                <w:color w:val="auto"/>
                <w:sz w:val="24"/>
              </w:rPr>
              <w:t>。加强对施工单位及施工人员的宣传培训，提高其对环境及地貌景观保护的意识。</w:t>
            </w:r>
          </w:p>
          <w:p w14:paraId="7421EC25">
            <w:pPr>
              <w:adjustRightInd w:val="0"/>
              <w:snapToGrid w:val="0"/>
              <w:spacing w:line="360" w:lineRule="auto"/>
              <w:ind w:firstLine="482" w:firstLineChars="200"/>
              <w:rPr>
                <w:b/>
                <w:color w:val="auto"/>
                <w:sz w:val="24"/>
              </w:rPr>
            </w:pPr>
            <w:r>
              <w:rPr>
                <w:rFonts w:hint="eastAsia"/>
                <w:b/>
                <w:color w:val="auto"/>
                <w:sz w:val="24"/>
              </w:rPr>
              <w:t>5、地质灾害防范措施</w:t>
            </w:r>
          </w:p>
          <w:p w14:paraId="3C0EB334">
            <w:pPr>
              <w:adjustRightInd w:val="0"/>
              <w:snapToGrid w:val="0"/>
              <w:spacing w:line="360" w:lineRule="auto"/>
              <w:ind w:firstLine="480" w:firstLineChars="200"/>
              <w:rPr>
                <w:bCs/>
                <w:color w:val="auto"/>
                <w:sz w:val="24"/>
              </w:rPr>
            </w:pPr>
            <w:r>
              <w:rPr>
                <w:bCs/>
                <w:color w:val="auto"/>
                <w:sz w:val="24"/>
              </w:rPr>
              <w:t>项目主要施工工程中，</w:t>
            </w:r>
            <w:r>
              <w:rPr>
                <w:rFonts w:hint="eastAsia"/>
                <w:bCs/>
                <w:color w:val="auto"/>
                <w:sz w:val="24"/>
                <w:lang w:eastAsia="zh-CN"/>
              </w:rPr>
              <w:t>涉及</w:t>
            </w:r>
            <w:r>
              <w:rPr>
                <w:rFonts w:hint="eastAsia"/>
                <w:bCs/>
                <w:color w:val="auto"/>
                <w:sz w:val="24"/>
              </w:rPr>
              <w:t>地下</w:t>
            </w:r>
            <w:r>
              <w:rPr>
                <w:rFonts w:hint="eastAsia"/>
                <w:bCs/>
                <w:color w:val="auto"/>
                <w:sz w:val="24"/>
                <w:lang w:eastAsia="zh-CN"/>
              </w:rPr>
              <w:t>室</w:t>
            </w:r>
            <w:r>
              <w:rPr>
                <w:bCs/>
                <w:color w:val="auto"/>
                <w:sz w:val="24"/>
              </w:rPr>
              <w:t>等基础开挖，为预防地质灾害发生，采取以下措施；</w:t>
            </w:r>
          </w:p>
          <w:p w14:paraId="091BBB17">
            <w:pPr>
              <w:adjustRightInd w:val="0"/>
              <w:snapToGrid w:val="0"/>
              <w:spacing w:line="360" w:lineRule="auto"/>
              <w:ind w:firstLine="480" w:firstLineChars="200"/>
              <w:rPr>
                <w:bCs/>
                <w:color w:val="auto"/>
                <w:sz w:val="24"/>
              </w:rPr>
            </w:pPr>
            <w:r>
              <w:rPr>
                <w:bCs/>
                <w:color w:val="auto"/>
                <w:sz w:val="24"/>
              </w:rPr>
              <w:t>（1）基础施工应严格按照设计图纸及基础施工验收规范进行。基坑开挖至设计深度后，应经设计、监理、地勘部门专业技术人员共同验收签字后方可安砌、浇筑。</w:t>
            </w:r>
          </w:p>
          <w:p w14:paraId="3A547885">
            <w:pPr>
              <w:adjustRightInd w:val="0"/>
              <w:snapToGrid w:val="0"/>
              <w:spacing w:line="360" w:lineRule="auto"/>
              <w:ind w:firstLine="480" w:firstLineChars="200"/>
              <w:rPr>
                <w:bCs/>
                <w:color w:val="auto"/>
                <w:sz w:val="24"/>
              </w:rPr>
            </w:pPr>
            <w:r>
              <w:rPr>
                <w:bCs/>
                <w:color w:val="auto"/>
                <w:sz w:val="24"/>
              </w:rPr>
              <w:t>（2）基坑开挖过程中，若发现《项目岩土工程勘察报告》未述及的不良地质作用，施工单位应及时报告建设单位，并汇同勘察、设计及监理部门共同研究，施工队伍不得自行处埋。</w:t>
            </w:r>
          </w:p>
          <w:p w14:paraId="40148784">
            <w:pPr>
              <w:adjustRightInd w:val="0"/>
              <w:snapToGrid w:val="0"/>
              <w:spacing w:line="360" w:lineRule="auto"/>
              <w:ind w:firstLine="480" w:firstLineChars="200"/>
              <w:rPr>
                <w:bCs/>
                <w:color w:val="auto"/>
                <w:sz w:val="24"/>
              </w:rPr>
            </w:pPr>
            <w:r>
              <w:rPr>
                <w:bCs/>
                <w:color w:val="auto"/>
                <w:sz w:val="24"/>
              </w:rPr>
              <w:t>（3）基础施工结束后，按规范，建设单位应组织对基础进行检测，经检验合格后方可进行下步工序施工。</w:t>
            </w:r>
          </w:p>
          <w:p w14:paraId="11BCA0E9">
            <w:pPr>
              <w:adjustRightInd w:val="0"/>
              <w:snapToGrid w:val="0"/>
              <w:spacing w:line="360" w:lineRule="auto"/>
              <w:ind w:firstLine="480" w:firstLineChars="200"/>
              <w:rPr>
                <w:bCs/>
                <w:color w:val="auto"/>
                <w:sz w:val="24"/>
              </w:rPr>
            </w:pPr>
            <w:r>
              <w:rPr>
                <w:bCs/>
                <w:color w:val="auto"/>
                <w:sz w:val="24"/>
              </w:rPr>
              <w:t>（4）基础施工时，按规范要求加强支护方案和安全措施，若出现异常情况，应立即通知勘察部门现场研究解决。基坑、基槽开挖应采用相应的保障措施，场地相邻建筑物较近的部分、基槽（基坑）开挖严禁大开挖，应采用边开挖边支护的施工方法。</w:t>
            </w:r>
          </w:p>
          <w:p w14:paraId="7C2816C0">
            <w:pPr>
              <w:adjustRightInd w:val="0"/>
              <w:snapToGrid w:val="0"/>
              <w:spacing w:line="360" w:lineRule="auto"/>
              <w:ind w:firstLine="480" w:firstLineChars="200"/>
              <w:rPr>
                <w:bCs/>
                <w:color w:val="auto"/>
                <w:sz w:val="24"/>
              </w:rPr>
            </w:pPr>
            <w:r>
              <w:rPr>
                <w:bCs/>
                <w:color w:val="auto"/>
                <w:sz w:val="24"/>
              </w:rPr>
              <w:t>（5）基坑、基槽开挖后的弃土应分散处理，严禁堆土场产生次级地质灾害发生。基础施工时，做好周边排水及封闭措施。</w:t>
            </w:r>
          </w:p>
          <w:p w14:paraId="01F54613">
            <w:pPr>
              <w:adjustRightInd w:val="0"/>
              <w:snapToGrid w:val="0"/>
              <w:spacing w:line="360" w:lineRule="auto"/>
              <w:ind w:firstLine="482" w:firstLineChars="200"/>
              <w:rPr>
                <w:b/>
                <w:color w:val="auto"/>
                <w:sz w:val="24"/>
              </w:rPr>
            </w:pPr>
            <w:r>
              <w:rPr>
                <w:b/>
                <w:color w:val="auto"/>
                <w:sz w:val="24"/>
              </w:rPr>
              <w:t>二、施工期地表水环境保护措施</w:t>
            </w:r>
          </w:p>
          <w:p w14:paraId="74E51ED6">
            <w:pPr>
              <w:pStyle w:val="60"/>
              <w:adjustRightInd/>
              <w:snapToGrid/>
              <w:ind w:firstLine="480"/>
              <w:rPr>
                <w:rFonts w:ascii="Times New Roman" w:hAnsi="Times New Roman"/>
                <w:color w:val="auto"/>
              </w:rPr>
            </w:pPr>
            <w:r>
              <w:rPr>
                <w:rFonts w:ascii="Times New Roman" w:hAnsi="Times New Roman"/>
                <w:color w:val="auto"/>
              </w:rPr>
              <w:t>1、施工废水</w:t>
            </w:r>
          </w:p>
          <w:p w14:paraId="1913D328">
            <w:pPr>
              <w:pStyle w:val="60"/>
              <w:adjustRightInd/>
              <w:snapToGrid/>
              <w:ind w:firstLine="480"/>
              <w:rPr>
                <w:rFonts w:ascii="Times New Roman" w:hAnsi="Times New Roman"/>
                <w:color w:val="auto"/>
              </w:rPr>
            </w:pPr>
            <w:r>
              <w:rPr>
                <w:rFonts w:ascii="Times New Roman" w:hAnsi="Times New Roman"/>
                <w:color w:val="auto"/>
              </w:rPr>
              <w:t>本项目施工生产用水主要是来自施工机械和车辆的冲洗废水以及</w:t>
            </w:r>
            <w:r>
              <w:rPr>
                <w:color w:val="auto"/>
                <w:sz w:val="24"/>
              </w:rPr>
              <w:t>施工工程开挖产生的泥浆水</w:t>
            </w:r>
            <w:r>
              <w:rPr>
                <w:rFonts w:ascii="Times New Roman" w:hAnsi="Times New Roman"/>
                <w:color w:val="auto"/>
              </w:rPr>
              <w:t>等。施工场地内设沉淀池、隔油池和配套收集沟，施工生产废水经隔油和沉淀处理后用于场地洒水抑尘等，不外排。</w:t>
            </w:r>
            <w:r>
              <w:rPr>
                <w:rFonts w:ascii="Times New Roman" w:hAnsi="Times New Roman"/>
                <w:b/>
                <w:bCs/>
                <w:color w:val="auto"/>
              </w:rPr>
              <w:t>此外，严禁将施工生产废水等直接排入地表水体。</w:t>
            </w:r>
          </w:p>
          <w:p w14:paraId="74C0CCE5">
            <w:pPr>
              <w:pStyle w:val="60"/>
              <w:adjustRightInd/>
              <w:snapToGrid/>
              <w:ind w:firstLine="480"/>
              <w:rPr>
                <w:rFonts w:ascii="Times New Roman" w:hAnsi="Times New Roman"/>
                <w:color w:val="auto"/>
              </w:rPr>
            </w:pPr>
            <w:r>
              <w:rPr>
                <w:rFonts w:ascii="Times New Roman" w:hAnsi="Times New Roman"/>
                <w:color w:val="auto"/>
              </w:rPr>
              <w:t>2、生活污水</w:t>
            </w:r>
          </w:p>
          <w:p w14:paraId="4D2C7456">
            <w:pPr>
              <w:pStyle w:val="60"/>
              <w:adjustRightInd/>
              <w:snapToGrid/>
              <w:ind w:firstLine="480"/>
              <w:rPr>
                <w:rFonts w:ascii="Times New Roman" w:hAnsi="Times New Roman"/>
                <w:color w:val="auto"/>
              </w:rPr>
            </w:pPr>
            <w:r>
              <w:rPr>
                <w:rFonts w:ascii="Times New Roman" w:hAnsi="Times New Roman"/>
                <w:color w:val="auto"/>
              </w:rPr>
              <w:t>本项目施工期间</w:t>
            </w:r>
            <w:r>
              <w:rPr>
                <w:rFonts w:hint="eastAsia" w:ascii="Times New Roman" w:hAnsi="Times New Roman"/>
                <w:color w:val="auto"/>
              </w:rPr>
              <w:t>不</w:t>
            </w:r>
            <w:r>
              <w:rPr>
                <w:rFonts w:ascii="Times New Roman" w:hAnsi="Times New Roman"/>
                <w:color w:val="auto"/>
              </w:rPr>
              <w:t>设置施工营地，施工人员均</w:t>
            </w:r>
            <w:r>
              <w:rPr>
                <w:rFonts w:hint="eastAsia" w:ascii="Times New Roman" w:hAnsi="Times New Roman"/>
                <w:color w:val="auto"/>
              </w:rPr>
              <w:t>为周边居民，</w:t>
            </w:r>
            <w:r>
              <w:rPr>
                <w:rFonts w:ascii="Times New Roman" w:hAnsi="Times New Roman"/>
                <w:color w:val="auto"/>
              </w:rPr>
              <w:t>食宿自行解决。施工人员产生的生活污水利用</w:t>
            </w:r>
            <w:r>
              <w:rPr>
                <w:rFonts w:hint="eastAsia" w:ascii="Times New Roman" w:hAnsi="Times New Roman"/>
                <w:color w:val="auto"/>
              </w:rPr>
              <w:t>周边</w:t>
            </w:r>
            <w:r>
              <w:rPr>
                <w:rFonts w:ascii="Times New Roman" w:hAnsi="Times New Roman"/>
                <w:color w:val="auto"/>
              </w:rPr>
              <w:t>既有</w:t>
            </w:r>
            <w:r>
              <w:rPr>
                <w:rFonts w:hint="eastAsia" w:ascii="Times New Roman" w:hAnsi="Times New Roman"/>
                <w:color w:val="auto"/>
              </w:rPr>
              <w:t>预处理池</w:t>
            </w:r>
            <w:r>
              <w:rPr>
                <w:rFonts w:ascii="Times New Roman" w:hAnsi="Times New Roman"/>
                <w:color w:val="auto"/>
              </w:rPr>
              <w:t>收集处理后外排市政污水管网。</w:t>
            </w:r>
          </w:p>
          <w:p w14:paraId="2AFC06BC">
            <w:pPr>
              <w:snapToGrid w:val="0"/>
              <w:spacing w:line="360" w:lineRule="auto"/>
              <w:ind w:firstLine="482" w:firstLineChars="200"/>
              <w:rPr>
                <w:b/>
                <w:color w:val="auto"/>
                <w:sz w:val="24"/>
              </w:rPr>
            </w:pPr>
            <w:r>
              <w:rPr>
                <w:b/>
                <w:color w:val="auto"/>
                <w:sz w:val="24"/>
              </w:rPr>
              <w:t>三、施工期大气环境保护措施</w:t>
            </w:r>
          </w:p>
          <w:p w14:paraId="76C3F83D">
            <w:pPr>
              <w:spacing w:line="360" w:lineRule="auto"/>
              <w:ind w:firstLine="480" w:firstLineChars="200"/>
              <w:textAlignment w:val="baseline"/>
              <w:rPr>
                <w:rFonts w:ascii="Times New Roman" w:hAnsi="Times New Roman" w:eastAsia="宋体" w:cs="Times New Roman"/>
                <w:color w:val="auto"/>
                <w:sz w:val="24"/>
              </w:rPr>
            </w:pPr>
            <w:r>
              <w:rPr>
                <w:rFonts w:ascii="Times New Roman" w:hAnsi="Times New Roman" w:eastAsia="宋体" w:cs="Times New Roman"/>
                <w:color w:val="auto"/>
                <w:sz w:val="24"/>
              </w:rPr>
              <w:t>本次环评要求建设单位做好如下大气污染防治工作</w:t>
            </w:r>
            <w:r>
              <w:rPr>
                <w:rFonts w:hint="eastAsia" w:ascii="Times New Roman" w:hAnsi="Times New Roman" w:eastAsia="宋体" w:cs="Times New Roman"/>
                <w:color w:val="auto"/>
                <w:sz w:val="24"/>
                <w:lang w:eastAsia="zh-CN"/>
              </w:rPr>
              <w:t>，</w:t>
            </w:r>
            <w:r>
              <w:rPr>
                <w:rFonts w:ascii="Times New Roman" w:hAnsi="Times New Roman" w:eastAsia="宋体" w:cs="Times New Roman"/>
                <w:color w:val="auto"/>
                <w:sz w:val="24"/>
              </w:rPr>
              <w:t>提升工地扬尘污染防治水平：</w:t>
            </w:r>
          </w:p>
          <w:p w14:paraId="33314E33">
            <w:pPr>
              <w:spacing w:line="360" w:lineRule="auto"/>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①严格控制建设施工扬尘，组织制定、完善和严格执行建设施工管理制度，全面推行现场标准化管理，</w:t>
            </w:r>
            <w:r>
              <w:rPr>
                <w:rFonts w:hint="eastAsia" w:ascii="Times New Roman" w:hAnsi="Times New Roman" w:eastAsia="宋体" w:cs="Times New Roman"/>
                <w:color w:val="auto"/>
                <w:sz w:val="24"/>
                <w:lang w:val="en-US" w:eastAsia="zh-CN"/>
              </w:rPr>
              <w:t>施工现场</w:t>
            </w:r>
            <w:r>
              <w:rPr>
                <w:rFonts w:hint="default" w:ascii="Times New Roman" w:hAnsi="Times New Roman" w:eastAsia="宋体" w:cs="Times New Roman"/>
                <w:color w:val="auto"/>
                <w:sz w:val="24"/>
              </w:rPr>
              <w:t>必须</w:t>
            </w:r>
            <w:r>
              <w:rPr>
                <w:rFonts w:hint="eastAsia" w:ascii="Times New Roman" w:hAnsi="Times New Roman" w:eastAsia="宋体" w:cs="Times New Roman"/>
                <w:color w:val="auto"/>
                <w:sz w:val="24"/>
                <w:lang w:val="en-US" w:eastAsia="zh-CN"/>
              </w:rPr>
              <w:t>围挡</w:t>
            </w:r>
            <w:r>
              <w:rPr>
                <w:rFonts w:hint="default" w:ascii="Times New Roman" w:hAnsi="Times New Roman" w:eastAsia="宋体" w:cs="Times New Roman"/>
                <w:color w:val="auto"/>
                <w:sz w:val="24"/>
              </w:rPr>
              <w:t>作业、必须硬化道路、必须设置冲洗设施、必须及时洒水作业、必须落实保洁人员、必须定时清扫施工现场、不准车辆带泥出门、不准运渣车辆冒顶装载、不准高空抛撒建筑垃圾、不准场地积水、不准现场焚烧废弃物</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不准现场搅拌混凝土</w:t>
            </w:r>
            <w:r>
              <w:rPr>
                <w:rFonts w:hint="default" w:ascii="Times New Roman" w:hAnsi="Times New Roman" w:eastAsia="宋体" w:cs="Times New Roman"/>
                <w:color w:val="auto"/>
                <w:sz w:val="24"/>
              </w:rPr>
              <w:t>。要加强对建设工地的监督检查，督促责任单位落实降尘、压尘和抑尘措施。根据《四川省施工场地扬尘排放标准》（DB512682-2020）要求，本项目位于</w:t>
            </w:r>
            <w:r>
              <w:rPr>
                <w:rFonts w:hint="eastAsia" w:ascii="Times New Roman" w:hAnsi="Times New Roman" w:eastAsia="宋体" w:cs="Times New Roman"/>
                <w:color w:val="auto"/>
                <w:sz w:val="24"/>
                <w:lang w:val="en-US" w:eastAsia="zh-CN"/>
              </w:rPr>
              <w:t>巴中市</w:t>
            </w:r>
            <w:r>
              <w:rPr>
                <w:rFonts w:hint="default" w:ascii="Times New Roman" w:hAnsi="Times New Roman" w:eastAsia="宋体" w:cs="Times New Roman"/>
                <w:color w:val="auto"/>
                <w:sz w:val="24"/>
              </w:rPr>
              <w:t>范围内，在拆除工程/土方开挖/土方回填阶段施工场地扬尘浓度需小于600μg/m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排放限制浓度；其他工程阶段施工场地扬尘浓度需小于250μg/m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排放限制浓度。</w:t>
            </w:r>
          </w:p>
          <w:p w14:paraId="6DD7053D">
            <w:pPr>
              <w:spacing w:line="360" w:lineRule="auto"/>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②施工场地设立围挡（高约3.0m）；围挡安装喷淋降尘系统，对整个施工场地周边采取喷淋抑尘；施工场地安装扬尘在线监测设备；在施工结束后场地清理阶段，做到先洒水，后清扫，防止扬尘产生。施工场地进入口设置防尘垫、设置车辆冲洗设施，车辆出场时应加强车辆清洗。</w:t>
            </w:r>
          </w:p>
          <w:p w14:paraId="2389085B">
            <w:pPr>
              <w:spacing w:line="360" w:lineRule="auto"/>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③在实施场地平整、土方挖填等工程时，建设单位应不在风天进行渣土堆放作业，开挖出的土石方和建材加强围栏，表面用</w:t>
            </w:r>
            <w:r>
              <w:rPr>
                <w:rFonts w:hint="eastAsia" w:ascii="Times New Roman" w:hAnsi="Times New Roman" w:eastAsia="宋体" w:cs="Times New Roman"/>
                <w:color w:val="auto"/>
                <w:sz w:val="24"/>
                <w:lang w:val="en-US" w:eastAsia="zh-CN"/>
              </w:rPr>
              <w:t>密目网/防雨布</w:t>
            </w:r>
            <w:r>
              <w:rPr>
                <w:rFonts w:hint="default" w:ascii="Times New Roman" w:hAnsi="Times New Roman" w:eastAsia="宋体" w:cs="Times New Roman"/>
                <w:color w:val="auto"/>
                <w:sz w:val="24"/>
              </w:rPr>
              <w:t>覆盖；风速四级以上易产生扬尘时暂停土方开挖，采取覆盖堆料、湿润等措施，有效减少扬尘污染。</w:t>
            </w:r>
          </w:p>
          <w:p w14:paraId="38822420">
            <w:pPr>
              <w:spacing w:line="360" w:lineRule="auto"/>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④施工场地内地面采取水泥硬化；在非雨天时适时洒水，包括正在施工的路段、主要运输道路等。洒水频次由现场监理人</w:t>
            </w:r>
            <w:r>
              <w:rPr>
                <w:rFonts w:hint="eastAsia" w:ascii="Times New Roman" w:hAnsi="Times New Roman" w:eastAsia="宋体" w:cs="Times New Roman"/>
                <w:color w:val="auto"/>
                <w:sz w:val="24"/>
                <w:lang w:eastAsia="zh-CN"/>
              </w:rPr>
              <w:t>员根</w:t>
            </w:r>
            <w:r>
              <w:rPr>
                <w:rFonts w:hint="default" w:ascii="Times New Roman" w:hAnsi="Times New Roman" w:eastAsia="宋体" w:cs="Times New Roman"/>
                <w:color w:val="auto"/>
                <w:sz w:val="24"/>
              </w:rPr>
              <w:t>据实际情况而定。</w:t>
            </w:r>
          </w:p>
          <w:p w14:paraId="30EF9EA0">
            <w:pPr>
              <w:spacing w:line="360" w:lineRule="auto"/>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⑤禁止散装运输水泥，严禁运输途中扬尘散落，储存时应堆入库房。必要时设围栏并用篷布覆盖，定时洒水防止飞扬。</w:t>
            </w:r>
          </w:p>
          <w:p w14:paraId="63B7C5AC">
            <w:pPr>
              <w:spacing w:line="360" w:lineRule="auto"/>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⑥土、砂、石料运输禁止超载，装高不得超过车厢板，并盖篷布，严禁沿途撒落；施工场地内对施工车辆实施限速。</w:t>
            </w:r>
          </w:p>
          <w:p w14:paraId="6D0F9071">
            <w:pPr>
              <w:spacing w:line="360" w:lineRule="auto"/>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⑦施工工地必须加强建设工程扬尘网格化、精细化管理，推行绿色施工，制定、完善和严格执行建设施工管理制度，全面推行现场标准化管理；严格落实施工现场六个百分之百；加强建设工地监督检查，落实降尘、压尘和抑尘措施。施工必须采用清洁能源施工设备，不得使用黄标车；在运输过程中，应限制车辆运输速度（≤40km/h）；通过强化城市环境综合管理，最大程度降低施工期对周围大气环境的影响。</w:t>
            </w:r>
          </w:p>
          <w:p w14:paraId="14E91E28">
            <w:pPr>
              <w:spacing w:line="360" w:lineRule="auto"/>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⑧施工期间，随工程进度及时进行已铺设管段的闭水试验、土方回填和地面恢复，减少裸露地面和临时土方堆场。</w:t>
            </w:r>
          </w:p>
          <w:p w14:paraId="0D4B91D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⑨合理科学制定运输车辆运行班次，减少行驶动力扬尘起尘量，定期对道路进行洒水抑尘。</w:t>
            </w:r>
          </w:p>
          <w:p w14:paraId="6B4E7C6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⑩工程完毕后及时清理施工场地。对施工场地、堆料场等，除及时进行清理外，恢复临时占地原有使用功能。</w:t>
            </w:r>
          </w:p>
          <w:p w14:paraId="36B13F7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color w:val="auto"/>
                <w:sz w:val="24"/>
              </w:rPr>
            </w:pPr>
            <w:r>
              <w:rPr>
                <w:color w:val="auto"/>
                <w:sz w:val="24"/>
              </w:rPr>
              <w:t>业主及施工单位</w:t>
            </w:r>
            <w:r>
              <w:rPr>
                <w:rFonts w:hint="eastAsia"/>
                <w:color w:val="auto"/>
                <w:sz w:val="24"/>
                <w:lang w:val="en-US" w:eastAsia="zh-CN"/>
              </w:rPr>
              <w:t>还</w:t>
            </w:r>
            <w:r>
              <w:rPr>
                <w:color w:val="auto"/>
                <w:sz w:val="24"/>
              </w:rPr>
              <w:t>应根据</w:t>
            </w:r>
            <w:r>
              <w:rPr>
                <w:rFonts w:hint="eastAsia"/>
                <w:color w:val="auto"/>
                <w:sz w:val="24"/>
              </w:rPr>
              <w:t>巴中市人民政府办公室</w:t>
            </w:r>
            <w:r>
              <w:rPr>
                <w:rFonts w:hint="eastAsia"/>
                <w:color w:val="auto"/>
                <w:sz w:val="24"/>
                <w:lang w:eastAsia="zh-CN"/>
              </w:rPr>
              <w:t>《</w:t>
            </w:r>
            <w:r>
              <w:rPr>
                <w:rFonts w:hint="eastAsia"/>
                <w:color w:val="auto"/>
                <w:sz w:val="24"/>
              </w:rPr>
              <w:t>关于印发巴中市重污染天气应急预案（2024年修订）的通知</w:t>
            </w:r>
            <w:r>
              <w:rPr>
                <w:rFonts w:hint="eastAsia"/>
                <w:color w:val="auto"/>
                <w:sz w:val="24"/>
                <w:lang w:eastAsia="zh-CN"/>
              </w:rPr>
              <w:t>》（</w:t>
            </w:r>
            <w:r>
              <w:rPr>
                <w:rFonts w:hint="eastAsia"/>
                <w:color w:val="auto"/>
                <w:sz w:val="24"/>
              </w:rPr>
              <w:t>巴府办发〔2024〕26号</w:t>
            </w:r>
            <w:r>
              <w:rPr>
                <w:rFonts w:hint="eastAsia"/>
                <w:color w:val="auto"/>
                <w:sz w:val="24"/>
                <w:lang w:eastAsia="zh-CN"/>
              </w:rPr>
              <w:t>）</w:t>
            </w:r>
            <w:r>
              <w:rPr>
                <w:color w:val="auto"/>
                <w:sz w:val="24"/>
              </w:rPr>
              <w:t>的通知，做好重污染天气状况下，大气污染物的应急处置。本市辖区内出现或可能出现重污染天气时的应急处置，如下：</w:t>
            </w:r>
          </w:p>
          <w:p w14:paraId="0BA27D3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eastAsia="宋体"/>
                <w:color w:val="auto"/>
                <w:sz w:val="24"/>
                <w:lang w:eastAsia="zh-CN"/>
              </w:rPr>
            </w:pPr>
            <w:r>
              <w:rPr>
                <w:color w:val="auto"/>
                <w:sz w:val="24"/>
              </w:rPr>
              <w:t>巴中市</w:t>
            </w:r>
            <w:r>
              <w:rPr>
                <w:rFonts w:hint="eastAsia"/>
                <w:color w:val="auto"/>
                <w:sz w:val="24"/>
              </w:rPr>
              <w:t>重污染天气预警级别由低到高分为黄色、橙色和红色预警三级，各级别分级标准为：</w:t>
            </w:r>
          </w:p>
          <w:p w14:paraId="7B05030D">
            <w:pPr>
              <w:spacing w:line="360" w:lineRule="auto"/>
              <w:ind w:firstLine="480" w:firstLineChars="200"/>
              <w:textAlignment w:val="baseline"/>
              <w:rPr>
                <w:rFonts w:hint="eastAsia" w:eastAsia="宋体"/>
                <w:color w:val="auto"/>
                <w:sz w:val="24"/>
                <w:lang w:eastAsia="zh-CN"/>
              </w:rPr>
            </w:pPr>
            <w:r>
              <w:rPr>
                <w:rFonts w:hint="eastAsia"/>
                <w:color w:val="auto"/>
                <w:sz w:val="24"/>
              </w:rPr>
              <w:t>黄色预警：预测日AQI&gt;200或日AQI&gt;150持续48小时及以上，且未达到高级别预警条件。</w:t>
            </w:r>
          </w:p>
          <w:p w14:paraId="218858FA">
            <w:pPr>
              <w:spacing w:line="360" w:lineRule="auto"/>
              <w:ind w:firstLine="480" w:firstLineChars="200"/>
              <w:textAlignment w:val="baseline"/>
              <w:rPr>
                <w:rFonts w:hint="eastAsia" w:eastAsia="宋体"/>
                <w:color w:val="auto"/>
                <w:sz w:val="24"/>
                <w:lang w:eastAsia="zh-CN"/>
              </w:rPr>
            </w:pPr>
            <w:r>
              <w:rPr>
                <w:rFonts w:hint="eastAsia"/>
                <w:color w:val="auto"/>
                <w:sz w:val="24"/>
              </w:rPr>
              <w:t>橙色预警：预测日AQI&gt;200持续48小时或日AQI&gt;150持续72小时及以上，且未达到高级别预警条件。</w:t>
            </w:r>
          </w:p>
          <w:p w14:paraId="5BBC550B">
            <w:pPr>
              <w:spacing w:line="360" w:lineRule="auto"/>
              <w:ind w:firstLine="480" w:firstLineChars="200"/>
              <w:textAlignment w:val="baseline"/>
              <w:rPr>
                <w:color w:val="auto"/>
                <w:sz w:val="24"/>
              </w:rPr>
            </w:pPr>
            <w:r>
              <w:rPr>
                <w:rFonts w:hint="eastAsia"/>
                <w:color w:val="auto"/>
                <w:sz w:val="24"/>
              </w:rPr>
              <w:t>红色预警：预测日AQI&gt;200持续72小时且日AQI&gt;300持续24小时及以上</w:t>
            </w:r>
            <w:r>
              <w:rPr>
                <w:color w:val="auto"/>
                <w:sz w:val="24"/>
              </w:rPr>
              <w:t>。</w:t>
            </w:r>
          </w:p>
          <w:p w14:paraId="14E072C1">
            <w:pPr>
              <w:spacing w:line="360" w:lineRule="auto"/>
              <w:ind w:firstLine="480" w:firstLineChars="200"/>
              <w:textAlignment w:val="baseline"/>
              <w:rPr>
                <w:rFonts w:hint="default" w:eastAsia="宋体"/>
                <w:color w:val="auto"/>
                <w:sz w:val="24"/>
                <w:lang w:val="en-US" w:eastAsia="zh-CN"/>
              </w:rPr>
            </w:pPr>
            <w:r>
              <w:rPr>
                <w:rFonts w:hint="eastAsia"/>
                <w:color w:val="auto"/>
                <w:sz w:val="24"/>
                <w:lang w:val="en-US" w:eastAsia="zh-CN"/>
              </w:rPr>
              <w:t>总体相应措施：施工扬尘应采取禁止非封闭混凝土搅拌、建筑拆除、渣土车运输、土石方作业等管控措施。道路扬尘应采取适当增加主干道路和易产生扬尘路段的机扫和洒水频次等管控措施。预警发布后，经当地人民政府确定并纳入保障清单的重点建设项目、民生工程、应急抢险施工等根据需要可继续作业，但应严格落实《四川省建筑工程施工扬尘防治标准》要求。</w:t>
            </w:r>
          </w:p>
          <w:p w14:paraId="26A3D957">
            <w:pPr>
              <w:spacing w:line="360" w:lineRule="auto"/>
              <w:ind w:firstLine="480" w:firstLineChars="200"/>
              <w:textAlignment w:val="baseline"/>
              <w:rPr>
                <w:color w:val="auto"/>
                <w:sz w:val="24"/>
              </w:rPr>
            </w:pPr>
            <w:r>
              <w:rPr>
                <w:rFonts w:hint="eastAsia"/>
                <w:color w:val="auto"/>
                <w:sz w:val="24"/>
              </w:rPr>
              <w:t>Ⅲ级（黄色预警）响应措施</w:t>
            </w:r>
            <w:r>
              <w:rPr>
                <w:color w:val="auto"/>
                <w:sz w:val="24"/>
              </w:rPr>
              <w:t>：</w:t>
            </w:r>
            <w:r>
              <w:rPr>
                <w:rFonts w:hint="eastAsia"/>
                <w:color w:val="auto"/>
                <w:sz w:val="24"/>
              </w:rPr>
              <w:t>3</w:t>
            </w:r>
            <w:r>
              <w:rPr>
                <w:color w:val="auto"/>
                <w:sz w:val="24"/>
              </w:rPr>
              <w:t>.强制性减排措施</w:t>
            </w:r>
            <w:r>
              <w:rPr>
                <w:rFonts w:hint="eastAsia"/>
                <w:color w:val="auto"/>
                <w:sz w:val="24"/>
              </w:rPr>
              <w:t>“扬尘源减排措施。执行当地重污染天气扬尘源应急减排清单黄色预警减排措施。停止除应急抢险外施工工地土石方作业（包括停止土石方开挖、回填、场内倒运、土石方转运、掺拌石灰、混凝土剔凿等作业，停止建筑工程配套道路和管沟开挖作业）；停止建筑工地室外喷涂、粉刷作业，基坑护坡粉浆作业；停止石材切割作业，停运建筑垃圾、渣土、砂石。在日常道路保洁频次的基础上，增加清扫、洒水、喷雾等作业频次。加强交通工程施工和公路运输监督管理，采取有效措施防治公路扬尘污染。督促矿山、砂石料厂等停止露天作业</w:t>
            </w:r>
            <w:r>
              <w:rPr>
                <w:rFonts w:hint="eastAsia"/>
                <w:color w:val="auto"/>
                <w:sz w:val="24"/>
                <w:lang w:eastAsia="zh-CN"/>
              </w:rPr>
              <w:t>。</w:t>
            </w:r>
            <w:r>
              <w:rPr>
                <w:rFonts w:hint="eastAsia"/>
                <w:color w:val="auto"/>
                <w:sz w:val="24"/>
              </w:rPr>
              <w:t>”</w:t>
            </w:r>
          </w:p>
          <w:p w14:paraId="0B732429">
            <w:pPr>
              <w:spacing w:line="360" w:lineRule="auto"/>
              <w:ind w:firstLine="480" w:firstLineChars="200"/>
              <w:textAlignment w:val="baseline"/>
              <w:rPr>
                <w:color w:val="auto"/>
                <w:sz w:val="24"/>
              </w:rPr>
            </w:pPr>
            <w:r>
              <w:rPr>
                <w:rFonts w:hint="eastAsia"/>
                <w:color w:val="auto"/>
                <w:sz w:val="24"/>
              </w:rPr>
              <w:t>Ⅱ级（橙色预警）应急响应措施</w:t>
            </w:r>
            <w:r>
              <w:rPr>
                <w:color w:val="auto"/>
                <w:sz w:val="24"/>
              </w:rPr>
              <w:t>：</w:t>
            </w:r>
            <w:r>
              <w:rPr>
                <w:rFonts w:hint="eastAsia"/>
                <w:color w:val="auto"/>
                <w:sz w:val="24"/>
              </w:rPr>
              <w:t>在落实Ⅲ级应急响应措施的基础上，增加强制性污染减排措施</w:t>
            </w:r>
            <w:r>
              <w:rPr>
                <w:rFonts w:hint="eastAsia"/>
                <w:color w:val="auto"/>
                <w:sz w:val="24"/>
                <w:lang w:eastAsia="zh-CN"/>
              </w:rPr>
              <w:t>。</w:t>
            </w:r>
          </w:p>
          <w:p w14:paraId="061E4058">
            <w:pPr>
              <w:spacing w:line="360" w:lineRule="auto"/>
              <w:ind w:firstLine="480" w:firstLineChars="200"/>
              <w:textAlignment w:val="baseline"/>
              <w:rPr>
                <w:rFonts w:hint="eastAsia"/>
                <w:color w:val="auto"/>
                <w:sz w:val="24"/>
              </w:rPr>
            </w:pPr>
            <w:r>
              <w:rPr>
                <w:rFonts w:hint="eastAsia"/>
                <w:color w:val="auto"/>
                <w:sz w:val="24"/>
              </w:rPr>
              <w:t>Ⅰ级（红色预警）应急响应措施</w:t>
            </w:r>
            <w:r>
              <w:rPr>
                <w:color w:val="auto"/>
                <w:sz w:val="24"/>
              </w:rPr>
              <w:t>：</w:t>
            </w:r>
            <w:r>
              <w:rPr>
                <w:rFonts w:hint="eastAsia"/>
                <w:color w:val="auto"/>
                <w:sz w:val="24"/>
              </w:rPr>
              <w:t>在执行Ⅱ级应急响应措施的基础上，</w:t>
            </w:r>
            <w:r>
              <w:rPr>
                <w:rFonts w:hint="eastAsia"/>
                <w:color w:val="auto"/>
                <w:sz w:val="24"/>
                <w:lang w:val="en-US" w:eastAsia="zh-CN"/>
              </w:rPr>
              <w:t>增加以下措施，</w:t>
            </w:r>
            <w:r>
              <w:rPr>
                <w:color w:val="auto"/>
                <w:sz w:val="24"/>
              </w:rPr>
              <w:t>强制</w:t>
            </w:r>
            <w:r>
              <w:rPr>
                <w:rFonts w:hint="eastAsia"/>
                <w:color w:val="auto"/>
                <w:sz w:val="24"/>
              </w:rPr>
              <w:t>性减排措施“除涉及重大民生工程、安全生产及应急抢险任务外，停止工地土石方作业和建筑物拆除施工（塔吊、模板工程、钢筋工程、幕墙工程、地下施工等不产生大气污染的工序除外）。”</w:t>
            </w:r>
          </w:p>
          <w:p w14:paraId="3A37AB52">
            <w:pPr>
              <w:spacing w:line="360" w:lineRule="auto"/>
              <w:ind w:firstLine="480" w:firstLineChars="200"/>
              <w:textAlignment w:val="baseline"/>
              <w:rPr>
                <w:color w:val="auto"/>
                <w:sz w:val="24"/>
              </w:rPr>
            </w:pPr>
            <w:r>
              <w:rPr>
                <w:rFonts w:hint="default"/>
                <w:color w:val="auto"/>
                <w:sz w:val="24"/>
              </w:rPr>
              <w:t>本次环评要求建设单位按照《</w:t>
            </w:r>
            <w:r>
              <w:rPr>
                <w:rFonts w:hint="eastAsia"/>
                <w:color w:val="auto"/>
                <w:sz w:val="24"/>
                <w:lang w:val="en-US" w:eastAsia="zh-CN"/>
              </w:rPr>
              <w:t>巴中市</w:t>
            </w:r>
            <w:r>
              <w:rPr>
                <w:rFonts w:hint="default"/>
                <w:color w:val="auto"/>
                <w:sz w:val="24"/>
              </w:rPr>
              <w:t>重污染天气应急预案（202</w:t>
            </w:r>
            <w:r>
              <w:rPr>
                <w:rFonts w:hint="eastAsia"/>
                <w:color w:val="auto"/>
                <w:sz w:val="24"/>
                <w:lang w:val="en-US" w:eastAsia="zh-CN"/>
              </w:rPr>
              <w:t>4</w:t>
            </w:r>
            <w:r>
              <w:rPr>
                <w:rFonts w:hint="default"/>
                <w:color w:val="auto"/>
                <w:sz w:val="24"/>
              </w:rPr>
              <w:t>年修订）》，做好应急措施</w:t>
            </w:r>
            <w:r>
              <w:rPr>
                <w:rFonts w:hint="eastAsia"/>
                <w:color w:val="auto"/>
                <w:sz w:val="24"/>
                <w:lang w:eastAsia="zh-CN"/>
              </w:rPr>
              <w:t>。</w:t>
            </w:r>
          </w:p>
          <w:p w14:paraId="442413B1">
            <w:pPr>
              <w:adjustRightInd w:val="0"/>
              <w:snapToGrid w:val="0"/>
              <w:spacing w:line="360" w:lineRule="auto"/>
              <w:ind w:firstLine="482" w:firstLineChars="200"/>
              <w:rPr>
                <w:b/>
                <w:color w:val="auto"/>
                <w:sz w:val="24"/>
              </w:rPr>
            </w:pPr>
            <w:r>
              <w:rPr>
                <w:b/>
                <w:color w:val="auto"/>
                <w:sz w:val="24"/>
              </w:rPr>
              <w:t>四、噪声环境保护措施</w:t>
            </w:r>
          </w:p>
          <w:p w14:paraId="45611D26">
            <w:pPr>
              <w:adjustRightInd w:val="0"/>
              <w:snapToGrid w:val="0"/>
              <w:spacing w:line="360" w:lineRule="auto"/>
              <w:ind w:firstLine="480" w:firstLineChars="200"/>
              <w:textAlignment w:val="baseline"/>
              <w:rPr>
                <w:color w:val="auto"/>
                <w:sz w:val="24"/>
              </w:rPr>
            </w:pPr>
            <w:r>
              <w:rPr>
                <w:color w:val="auto"/>
                <w:sz w:val="24"/>
              </w:rPr>
              <w:t>施工期噪声包括各种建筑机械和运输车辆噪声，施工时将采用较多的大中型设备进行机械化施工。据调查，由于施工机械辐射声级水平较高，施工时噪声对现场施工人员及附近居民产生一定影响。</w:t>
            </w:r>
          </w:p>
          <w:p w14:paraId="63AADDFD">
            <w:pPr>
              <w:spacing w:line="360" w:lineRule="auto"/>
              <w:ind w:firstLine="480" w:firstLineChars="200"/>
              <w:textAlignment w:val="baseline"/>
              <w:rPr>
                <w:color w:val="auto"/>
                <w:sz w:val="24"/>
              </w:rPr>
            </w:pPr>
            <w:r>
              <w:rPr>
                <w:color w:val="auto"/>
                <w:sz w:val="24"/>
              </w:rPr>
              <w:t>为防止噪声影响周围环境和人们的正常生活，环评要求项目应采取以下降噪措施：</w:t>
            </w:r>
          </w:p>
          <w:p w14:paraId="494A2439">
            <w:pPr>
              <w:spacing w:line="360" w:lineRule="auto"/>
              <w:ind w:firstLine="480" w:firstLineChars="200"/>
              <w:textAlignment w:val="baseline"/>
              <w:rPr>
                <w:color w:val="auto"/>
                <w:sz w:val="24"/>
              </w:rPr>
            </w:pPr>
            <w:r>
              <w:rPr>
                <w:color w:val="auto"/>
                <w:sz w:val="24"/>
              </w:rPr>
              <w:t>（1）必须选用符合国家有关标准的施工机具，尽量选用低噪声的施工机械或工艺，从根本上减少声源和降低噪声源强；加强设备的维修和保养，保持机械润滑，降低运行噪声；震动较大的机械设备应使用减震机座降低噪声；夜间减少施工车流量，合理安排运行时间。</w:t>
            </w:r>
          </w:p>
          <w:p w14:paraId="7317554D">
            <w:pPr>
              <w:spacing w:line="360" w:lineRule="auto"/>
              <w:ind w:firstLine="480" w:firstLineChars="200"/>
              <w:textAlignment w:val="baseline"/>
              <w:rPr>
                <w:color w:val="auto"/>
                <w:sz w:val="24"/>
              </w:rPr>
            </w:pPr>
            <w:r>
              <w:rPr>
                <w:color w:val="auto"/>
                <w:sz w:val="24"/>
              </w:rPr>
              <w:t>（2）合理布局施工现场：合理科学的布局施工现场是减少施工噪声的主要途径，如将施工现场的固定振动源相对集中布置，以减少影响的范围；对可固定的机械设备（如空压机、发电机等）设置在施工场地临时房间内，同时对房间进行隔音，降低噪声；高噪声设备须远离声环境敏感点布置，若现场确实无法避开的，须在靠近敏感点一侧</w:t>
            </w:r>
            <w:r>
              <w:rPr>
                <w:rFonts w:hint="eastAsia"/>
                <w:color w:val="auto"/>
                <w:sz w:val="24"/>
                <w:lang w:eastAsia="zh-CN"/>
              </w:rPr>
              <w:t>（如：西侧关坝镇居民、小学）</w:t>
            </w:r>
            <w:r>
              <w:rPr>
                <w:color w:val="auto"/>
                <w:sz w:val="24"/>
              </w:rPr>
              <w:t>采取临时降噪措施（如设置隔声挡板）。</w:t>
            </w:r>
          </w:p>
          <w:p w14:paraId="38C97C0D">
            <w:pPr>
              <w:spacing w:line="360" w:lineRule="auto"/>
              <w:ind w:firstLine="480" w:firstLineChars="200"/>
              <w:textAlignment w:val="baseline"/>
              <w:rPr>
                <w:color w:val="auto"/>
                <w:sz w:val="24"/>
              </w:rPr>
            </w:pPr>
            <w:r>
              <w:rPr>
                <w:color w:val="auto"/>
                <w:sz w:val="24"/>
              </w:rPr>
              <w:t>（3）施工单位要合理安排施工作业时间。在保证进度的前提下，合理安排施工作业时间；在昼间12:00~14:00、夜间22:00~次日6:00时间段禁止高噪声机械施工作业；对于在敏感点附近路段进行高噪声设备施工的，施工时间须安排在昼间（12:00~14:00时间段除外）进行。</w:t>
            </w:r>
          </w:p>
          <w:p w14:paraId="178D0B69">
            <w:pPr>
              <w:spacing w:line="360" w:lineRule="auto"/>
              <w:ind w:firstLine="480" w:firstLineChars="200"/>
              <w:textAlignment w:val="baseline"/>
              <w:rPr>
                <w:color w:val="auto"/>
                <w:sz w:val="24"/>
              </w:rPr>
            </w:pPr>
            <w:r>
              <w:rPr>
                <w:color w:val="auto"/>
                <w:sz w:val="24"/>
              </w:rPr>
              <w:t>（4）合理安排运输车辆的行走路线和时间：施工运输车辆，尤其是大型运输车辆，应按照有关部门的规定，确定合理的运输路线和时间；严格项目交通管理，规范车辆交通行为，设置限速标志，禁止车辆超载、超速；运输车辆行驶路线应尽量避开周边居民集中区、学校和医院等敏感点，行驶敏感点路段时禁止鸣笛。</w:t>
            </w:r>
          </w:p>
          <w:p w14:paraId="5105B626">
            <w:pPr>
              <w:spacing w:line="360" w:lineRule="auto"/>
              <w:ind w:firstLine="480" w:firstLineChars="200"/>
              <w:textAlignment w:val="baseline"/>
              <w:rPr>
                <w:color w:val="auto"/>
                <w:sz w:val="24"/>
              </w:rPr>
            </w:pPr>
            <w:r>
              <w:rPr>
                <w:color w:val="auto"/>
                <w:sz w:val="24"/>
              </w:rPr>
              <w:t>（5）做好宣传工作，倡导科学管理和文明施工：由于技术条件、施工现场客观环境限制，即使采用相应的控制对策和措施，施工噪声、振动仍可能对周围环境产生一定的影响，为此要向受影响的居民和有关单位做好宣传工作，以提高人们对不利影响的心理承受力；加强施工现场的科学管理，做好施工人员的环境保护意识的教育；大力倡导文明施工的自觉性，尽量降低人为因素造成施工噪声的加重。</w:t>
            </w:r>
          </w:p>
          <w:p w14:paraId="21976910">
            <w:pPr>
              <w:spacing w:line="360" w:lineRule="auto"/>
              <w:ind w:firstLine="480" w:firstLineChars="200"/>
              <w:textAlignment w:val="baseline"/>
              <w:rPr>
                <w:color w:val="auto"/>
                <w:sz w:val="24"/>
              </w:rPr>
            </w:pPr>
            <w:r>
              <w:rPr>
                <w:color w:val="auto"/>
                <w:sz w:val="24"/>
              </w:rPr>
              <w:t>（6）加强环境管理，接受环保部门环境监督：为了有效地控制施工噪声对城市环境的影响，除落实有关的控制措施外，还必须加强环境管理；根据国家和地方的有关法律、法令、条例、规定，施工单位应主动接受环保部门及相关部门的监督管理和检查；建设单位在进行工程承包时，应将有关施工噪声控制纳入承包内容，并在施工过程中委派专人负责，以确保控制施工噪声措施的实施；建设单位应公开招标方式选取监理单位，加强施工期噪声监理工作，确保施工噪声防治措施的落实。</w:t>
            </w:r>
          </w:p>
          <w:p w14:paraId="759129C2">
            <w:pPr>
              <w:spacing w:line="360" w:lineRule="auto"/>
              <w:ind w:firstLine="480" w:firstLineChars="200"/>
              <w:textAlignment w:val="baseline"/>
              <w:rPr>
                <w:color w:val="auto"/>
                <w:sz w:val="24"/>
              </w:rPr>
            </w:pPr>
            <w:r>
              <w:rPr>
                <w:color w:val="auto"/>
                <w:sz w:val="24"/>
              </w:rPr>
              <w:t>（7）施工单位需贯彻各项施工管理制度：施工单位要确保施工噪声满足《建筑施工噪声排放标准》（GB12523-20</w:t>
            </w:r>
            <w:r>
              <w:rPr>
                <w:rFonts w:hint="eastAsia"/>
                <w:color w:val="auto"/>
                <w:sz w:val="24"/>
                <w:lang w:val="en-US" w:eastAsia="zh-CN"/>
              </w:rPr>
              <w:t>25</w:t>
            </w:r>
            <w:r>
              <w:rPr>
                <w:color w:val="auto"/>
                <w:sz w:val="24"/>
              </w:rPr>
              <w:t>），认真贯彻《中华人民共和国噪声污染防治法》等有关国家和地方的规定。</w:t>
            </w:r>
          </w:p>
          <w:p w14:paraId="4B29BE14">
            <w:pPr>
              <w:adjustRightInd w:val="0"/>
              <w:snapToGrid w:val="0"/>
              <w:spacing w:line="360" w:lineRule="auto"/>
              <w:ind w:firstLine="480" w:firstLineChars="200"/>
              <w:textAlignment w:val="baseline"/>
              <w:rPr>
                <w:color w:val="auto"/>
                <w:sz w:val="24"/>
              </w:rPr>
            </w:pPr>
            <w:r>
              <w:rPr>
                <w:color w:val="auto"/>
                <w:sz w:val="24"/>
              </w:rPr>
              <w:t>（8）根据国家环保总局发布的《关于在高考期间加强环境噪声污染监督管理的通知》和四川省人民政府办公厅《关于中、高考期间加强噪声污染监督管理工作的通知》（川办函〔2001〕90号）精神，为在中、高考期间保证考生有一个安静的学习和休息环境，在中、高考期间和中、高考前半个月内，禁止任何单位和个人产生干扰学生学习、影响学生休息的建筑施工噪声，因此业主必须严格执行中高考期间的禁噪规定，中、高考期间禁止进行产生噪声污染的建设施工，中、高考前半个月内禁止进行高噪声的施工作业，夜间禁止施工。</w:t>
            </w:r>
          </w:p>
          <w:p w14:paraId="3457576A">
            <w:pPr>
              <w:spacing w:line="360" w:lineRule="auto"/>
              <w:ind w:firstLine="480" w:firstLineChars="200"/>
              <w:rPr>
                <w:color w:val="auto"/>
                <w:sz w:val="24"/>
              </w:rPr>
            </w:pPr>
            <w:r>
              <w:rPr>
                <w:color w:val="auto"/>
                <w:sz w:val="24"/>
              </w:rPr>
              <w:t>（9）根据相关要求，建设工程项目严禁在22时至次日6时进行产生环境噪声污染的施工作业，因工艺要求或者特殊需要确需进行夜间施工的必须办理《夜间施工许可证》。《夜间施工许可证》的有效期限不超过3天，确需连续施工超过3天的可续办一次。</w:t>
            </w:r>
          </w:p>
          <w:p w14:paraId="397DF9E7">
            <w:pPr>
              <w:spacing w:line="360" w:lineRule="auto"/>
              <w:ind w:firstLine="480" w:firstLineChars="200"/>
              <w:rPr>
                <w:color w:val="auto"/>
                <w:sz w:val="24"/>
              </w:rPr>
            </w:pPr>
            <w:r>
              <w:rPr>
                <w:color w:val="auto"/>
                <w:sz w:val="24"/>
              </w:rPr>
              <w:t>①施工单位必须严格按照《夜间施工许可证》许可时限和许可范围进行夜间施工。</w:t>
            </w:r>
          </w:p>
          <w:p w14:paraId="284494A9">
            <w:pPr>
              <w:spacing w:line="360" w:lineRule="auto"/>
              <w:ind w:firstLine="480" w:firstLineChars="200"/>
              <w:rPr>
                <w:color w:val="auto"/>
                <w:sz w:val="24"/>
              </w:rPr>
            </w:pPr>
            <w:r>
              <w:rPr>
                <w:color w:val="auto"/>
                <w:sz w:val="24"/>
              </w:rPr>
              <w:t>②施工单位要合理安排工期，缩短夜间施工时间，减少夜间施工噪声对项目周边居民的影响。</w:t>
            </w:r>
          </w:p>
          <w:p w14:paraId="4C229539">
            <w:pPr>
              <w:spacing w:line="360" w:lineRule="auto"/>
              <w:ind w:firstLine="480" w:firstLineChars="200"/>
              <w:rPr>
                <w:color w:val="auto"/>
                <w:sz w:val="24"/>
              </w:rPr>
            </w:pPr>
            <w:r>
              <w:rPr>
                <w:color w:val="auto"/>
                <w:sz w:val="24"/>
              </w:rPr>
              <w:t>③施工单位要合理安排施工工序，尽可能减少夜间施工作业时间。因施工需要确需进行夜间施工的，应尽可能安排在周末时段，并在高噪声点位设置吸音措施。</w:t>
            </w:r>
          </w:p>
          <w:p w14:paraId="578A69BE">
            <w:pPr>
              <w:spacing w:line="360" w:lineRule="auto"/>
              <w:ind w:firstLine="480" w:firstLineChars="200"/>
              <w:rPr>
                <w:color w:val="auto"/>
                <w:sz w:val="24"/>
              </w:rPr>
            </w:pPr>
            <w:r>
              <w:rPr>
                <w:color w:val="auto"/>
                <w:sz w:val="24"/>
              </w:rPr>
              <w:t>④夜间施工严禁捶打、敲击和金属切割、装卸钢管钢筋等易产生高噪音的作业。</w:t>
            </w:r>
          </w:p>
          <w:p w14:paraId="777CE8E4">
            <w:pPr>
              <w:spacing w:line="360" w:lineRule="auto"/>
              <w:ind w:firstLine="480" w:firstLineChars="200"/>
              <w:rPr>
                <w:color w:val="auto"/>
                <w:sz w:val="24"/>
              </w:rPr>
            </w:pPr>
            <w:r>
              <w:rPr>
                <w:color w:val="auto"/>
                <w:sz w:val="24"/>
              </w:rPr>
              <w:t>施工单位应在建设工程项目周边公示夜间施工许可情况，明确施工现场噪声污染防治责任人，畅通反映问题渠道，接受社会、市民的监督。主动采取多种方式提前与周边社区、市民做好沟通解释工作，积极妥善处理夜间施工噪音投诉，争取周边居民对建设工程项目的理解和支持。</w:t>
            </w:r>
          </w:p>
          <w:p w14:paraId="62F37816">
            <w:pPr>
              <w:adjustRightInd w:val="0"/>
              <w:snapToGrid w:val="0"/>
              <w:spacing w:line="360" w:lineRule="auto"/>
              <w:ind w:firstLine="482" w:firstLineChars="200"/>
              <w:rPr>
                <w:bCs/>
                <w:color w:val="auto"/>
                <w:szCs w:val="21"/>
              </w:rPr>
            </w:pPr>
            <w:r>
              <w:rPr>
                <w:b/>
                <w:bCs/>
                <w:color w:val="auto"/>
                <w:sz w:val="24"/>
              </w:rPr>
              <w:t>由于项目施工期较短，施工噪声对敏感点的影响是暂时的，随着施工的结束而结束，因此总体而言，在采取上述措施后，施工期噪声对环境敏感点的影响降至最低。</w:t>
            </w:r>
          </w:p>
          <w:p w14:paraId="56303CE9">
            <w:pPr>
              <w:snapToGrid w:val="0"/>
              <w:spacing w:line="360" w:lineRule="auto"/>
              <w:ind w:firstLine="482" w:firstLineChars="200"/>
              <w:rPr>
                <w:b/>
                <w:color w:val="auto"/>
                <w:sz w:val="24"/>
              </w:rPr>
            </w:pPr>
            <w:r>
              <w:rPr>
                <w:rFonts w:hint="eastAsia"/>
                <w:b/>
                <w:color w:val="auto"/>
                <w:sz w:val="24"/>
              </w:rPr>
              <w:t>五</w:t>
            </w:r>
            <w:r>
              <w:rPr>
                <w:b/>
                <w:color w:val="auto"/>
                <w:sz w:val="24"/>
              </w:rPr>
              <w:t>、固体废物</w:t>
            </w:r>
          </w:p>
          <w:p w14:paraId="2BDCEC18">
            <w:pPr>
              <w:spacing w:line="360" w:lineRule="auto"/>
              <w:ind w:firstLine="480" w:firstLineChars="200"/>
              <w:textAlignment w:val="baseline"/>
              <w:rPr>
                <w:color w:val="auto"/>
                <w:sz w:val="24"/>
              </w:rPr>
            </w:pPr>
            <w:r>
              <w:rPr>
                <w:color w:val="auto"/>
                <w:sz w:val="24"/>
              </w:rPr>
              <w:t>项目施工期间的主要固废有施工挖填方及弃渣、建筑垃圾、生活垃圾。</w:t>
            </w:r>
          </w:p>
          <w:p w14:paraId="37B8A313">
            <w:pPr>
              <w:adjustRightInd w:val="0"/>
              <w:snapToGrid w:val="0"/>
              <w:spacing w:line="360" w:lineRule="auto"/>
              <w:ind w:firstLine="480" w:firstLineChars="200"/>
              <w:rPr>
                <w:color w:val="auto"/>
                <w:sz w:val="24"/>
              </w:rPr>
            </w:pPr>
            <w:r>
              <w:rPr>
                <w:color w:val="auto"/>
                <w:sz w:val="24"/>
              </w:rPr>
              <w:t>1、</w:t>
            </w:r>
            <w:r>
              <w:rPr>
                <w:rFonts w:hint="eastAsia"/>
                <w:color w:val="auto"/>
                <w:sz w:val="24"/>
                <w:lang w:eastAsia="zh-CN"/>
              </w:rPr>
              <w:t>废弃土石方</w:t>
            </w:r>
          </w:p>
          <w:p w14:paraId="38AED4A8">
            <w:pPr>
              <w:adjustRightInd w:val="0"/>
              <w:snapToGrid w:val="0"/>
              <w:spacing w:line="360" w:lineRule="auto"/>
              <w:ind w:firstLine="480" w:firstLineChars="200"/>
              <w:rPr>
                <w:color w:val="auto"/>
                <w:sz w:val="24"/>
              </w:rPr>
            </w:pPr>
            <w:r>
              <w:rPr>
                <w:color w:val="auto"/>
                <w:sz w:val="24"/>
              </w:rPr>
              <w:t>（1）剥离表土</w:t>
            </w:r>
          </w:p>
          <w:p w14:paraId="0E6B9ECF">
            <w:pPr>
              <w:snapToGrid w:val="0"/>
              <w:spacing w:line="360" w:lineRule="auto"/>
              <w:ind w:firstLine="480" w:firstLineChars="200"/>
              <w:rPr>
                <w:rFonts w:hint="eastAsia"/>
                <w:color w:val="auto"/>
                <w:sz w:val="24"/>
                <w:highlight w:val="none"/>
                <w:shd w:val="clear" w:color="auto" w:fill="FFFFFF"/>
              </w:rPr>
            </w:pPr>
            <w:r>
              <w:rPr>
                <w:rFonts w:hint="eastAsia"/>
                <w:color w:val="auto"/>
                <w:sz w:val="24"/>
                <w:shd w:val="clear" w:color="auto" w:fill="FFFFFF"/>
                <w:lang w:eastAsia="zh-CN"/>
              </w:rPr>
              <w:t>根据前文土石方平衡分析，</w:t>
            </w:r>
            <w:r>
              <w:rPr>
                <w:rFonts w:hint="eastAsia"/>
                <w:color w:val="auto"/>
                <w:sz w:val="24"/>
                <w:shd w:val="clear" w:color="auto" w:fill="FFFFFF"/>
              </w:rPr>
              <w:t>本工程土石方开挖总量</w:t>
            </w:r>
            <w:r>
              <w:rPr>
                <w:rFonts w:hint="eastAsia"/>
                <w:color w:val="auto"/>
                <w:sz w:val="24"/>
                <w:shd w:val="clear" w:color="auto" w:fill="FFFFFF"/>
                <w:lang w:val="en-US" w:eastAsia="zh-CN"/>
              </w:rPr>
              <w:t>1.95</w:t>
            </w:r>
            <w:r>
              <w:rPr>
                <w:rFonts w:hint="eastAsia"/>
                <w:color w:val="auto"/>
                <w:sz w:val="24"/>
                <w:shd w:val="clear" w:color="auto" w:fill="FFFFFF"/>
              </w:rPr>
              <w:t>万m³（含表土0.</w:t>
            </w:r>
            <w:r>
              <w:rPr>
                <w:rFonts w:hint="eastAsia"/>
                <w:color w:val="auto"/>
                <w:sz w:val="24"/>
                <w:shd w:val="clear" w:color="auto" w:fill="FFFFFF"/>
                <w:lang w:val="en-US" w:eastAsia="zh-CN"/>
              </w:rPr>
              <w:t>29</w:t>
            </w:r>
            <w:r>
              <w:rPr>
                <w:rFonts w:hint="eastAsia"/>
                <w:color w:val="auto"/>
                <w:sz w:val="24"/>
                <w:shd w:val="clear" w:color="auto" w:fill="FFFFFF"/>
              </w:rPr>
              <w:t>万m</w:t>
            </w:r>
            <w:r>
              <w:rPr>
                <w:rFonts w:hint="eastAsia"/>
                <w:color w:val="auto"/>
                <w:sz w:val="24"/>
                <w:shd w:val="clear" w:color="auto" w:fill="FFFFFF"/>
                <w:vertAlign w:val="superscript"/>
              </w:rPr>
              <w:t>3</w:t>
            </w:r>
            <w:r>
              <w:rPr>
                <w:rFonts w:hint="eastAsia"/>
                <w:color w:val="auto"/>
                <w:sz w:val="24"/>
                <w:shd w:val="clear" w:color="auto" w:fill="FFFFFF"/>
              </w:rPr>
              <w:t>），土石方回填总量</w:t>
            </w:r>
            <w:r>
              <w:rPr>
                <w:rFonts w:hint="eastAsia"/>
                <w:color w:val="auto"/>
                <w:sz w:val="24"/>
                <w:shd w:val="clear" w:color="auto" w:fill="FFFFFF"/>
                <w:lang w:val="en-US" w:eastAsia="zh-CN"/>
              </w:rPr>
              <w:t>0.8</w:t>
            </w:r>
            <w:r>
              <w:rPr>
                <w:rFonts w:hint="eastAsia"/>
                <w:color w:val="auto"/>
                <w:sz w:val="24"/>
                <w:shd w:val="clear" w:color="auto" w:fill="FFFFFF"/>
              </w:rPr>
              <w:t>万m³（含绿化覆土0.</w:t>
            </w:r>
            <w:r>
              <w:rPr>
                <w:rFonts w:hint="eastAsia"/>
                <w:color w:val="auto"/>
                <w:sz w:val="24"/>
                <w:shd w:val="clear" w:color="auto" w:fill="FFFFFF"/>
                <w:lang w:val="en-US" w:eastAsia="zh-CN"/>
              </w:rPr>
              <w:t>29</w:t>
            </w:r>
            <w:r>
              <w:rPr>
                <w:rFonts w:hint="eastAsia"/>
                <w:color w:val="auto"/>
                <w:sz w:val="24"/>
                <w:shd w:val="clear" w:color="auto" w:fill="FFFFFF"/>
              </w:rPr>
              <w:t>万m³），无借方，</w:t>
            </w:r>
            <w:r>
              <w:rPr>
                <w:rFonts w:hint="eastAsia"/>
                <w:color w:val="auto"/>
                <w:sz w:val="24"/>
                <w:highlight w:val="none"/>
                <w:shd w:val="clear" w:color="auto" w:fill="FFFFFF"/>
                <w:lang w:val="en-US" w:eastAsia="zh-CN"/>
              </w:rPr>
              <w:t>弃方1.15万m</w:t>
            </w:r>
            <w:r>
              <w:rPr>
                <w:rFonts w:hint="eastAsia"/>
                <w:color w:val="auto"/>
                <w:sz w:val="24"/>
                <w:highlight w:val="none"/>
                <w:shd w:val="clear" w:color="auto" w:fill="FFFFFF"/>
                <w:vertAlign w:val="superscript"/>
                <w:lang w:val="en-US" w:eastAsia="zh-CN"/>
              </w:rPr>
              <w:t>3</w:t>
            </w:r>
            <w:r>
              <w:rPr>
                <w:rFonts w:hint="eastAsia"/>
                <w:color w:val="auto"/>
                <w:sz w:val="24"/>
                <w:highlight w:val="none"/>
                <w:shd w:val="clear" w:color="auto" w:fill="FFFFFF"/>
                <w:lang w:val="en-US" w:eastAsia="zh-CN"/>
              </w:rPr>
              <w:t>，运至政府指定场所堆放处置</w:t>
            </w:r>
            <w:r>
              <w:rPr>
                <w:rFonts w:hint="eastAsia"/>
                <w:color w:val="auto"/>
                <w:sz w:val="24"/>
                <w:highlight w:val="none"/>
                <w:shd w:val="clear" w:color="auto" w:fill="FFFFFF"/>
              </w:rPr>
              <w:t>。</w:t>
            </w:r>
          </w:p>
          <w:p w14:paraId="0C1BD767">
            <w:pPr>
              <w:adjustRightInd w:val="0"/>
              <w:snapToGrid w:val="0"/>
              <w:spacing w:line="360" w:lineRule="auto"/>
              <w:ind w:firstLine="480" w:firstLineChars="200"/>
              <w:rPr>
                <w:rFonts w:hint="eastAsia"/>
                <w:color w:val="auto"/>
                <w:sz w:val="24"/>
              </w:rPr>
            </w:pPr>
            <w:r>
              <w:rPr>
                <w:rFonts w:hint="eastAsia"/>
                <w:color w:val="auto"/>
                <w:sz w:val="24"/>
                <w:lang w:eastAsia="zh-CN"/>
              </w:rPr>
              <w:t>项目</w:t>
            </w:r>
            <w:r>
              <w:rPr>
                <w:rFonts w:hint="eastAsia"/>
                <w:color w:val="auto"/>
                <w:sz w:val="24"/>
              </w:rPr>
              <w:t>设计</w:t>
            </w:r>
            <w:r>
              <w:rPr>
                <w:rFonts w:hint="eastAsia"/>
                <w:color w:val="auto"/>
                <w:sz w:val="24"/>
                <w:lang w:val="en-US" w:eastAsia="zh-CN"/>
              </w:rPr>
              <w:t>1</w:t>
            </w:r>
            <w:r>
              <w:rPr>
                <w:rFonts w:hint="eastAsia"/>
                <w:color w:val="auto"/>
                <w:sz w:val="24"/>
              </w:rPr>
              <w:t>个临时表土堆场，主要临时堆放工程剥离表土</w:t>
            </w:r>
            <w:r>
              <w:rPr>
                <w:rFonts w:hint="eastAsia"/>
                <w:color w:val="auto"/>
                <w:sz w:val="24"/>
                <w:lang w:eastAsia="zh-CN"/>
              </w:rPr>
              <w:t>，</w:t>
            </w:r>
            <w:r>
              <w:rPr>
                <w:rFonts w:hint="eastAsia"/>
                <w:color w:val="auto"/>
                <w:sz w:val="24"/>
              </w:rPr>
              <w:t>堆存点位于项目区内，堆高约2.0~3.0m，占地面积约为</w:t>
            </w:r>
            <w:r>
              <w:rPr>
                <w:rFonts w:hint="eastAsia"/>
                <w:color w:val="auto"/>
                <w:sz w:val="24"/>
                <w:lang w:val="en-US" w:eastAsia="zh-CN"/>
              </w:rPr>
              <w:t>100</w:t>
            </w:r>
            <w:r>
              <w:rPr>
                <w:rFonts w:hint="eastAsia"/>
                <w:color w:val="auto"/>
                <w:sz w:val="24"/>
              </w:rPr>
              <w:t>m</w:t>
            </w:r>
            <w:r>
              <w:rPr>
                <w:rFonts w:hint="eastAsia"/>
                <w:color w:val="auto"/>
                <w:sz w:val="24"/>
                <w:vertAlign w:val="superscript"/>
              </w:rPr>
              <w:t>2</w:t>
            </w:r>
            <w:r>
              <w:rPr>
                <w:rFonts w:hint="eastAsia"/>
                <w:color w:val="auto"/>
                <w:sz w:val="24"/>
                <w:lang w:eastAsia="zh-CN"/>
              </w:rPr>
              <w:t>；</w:t>
            </w:r>
            <w:r>
              <w:rPr>
                <w:rFonts w:hint="eastAsia"/>
                <w:color w:val="auto"/>
                <w:sz w:val="24"/>
                <w:lang w:val="en-US" w:eastAsia="zh-CN"/>
              </w:rPr>
              <w:t>1</w:t>
            </w:r>
            <w:r>
              <w:rPr>
                <w:rFonts w:hint="eastAsia"/>
                <w:color w:val="auto"/>
                <w:sz w:val="24"/>
              </w:rPr>
              <w:t>个临时</w:t>
            </w:r>
            <w:r>
              <w:rPr>
                <w:rFonts w:hint="eastAsia"/>
                <w:color w:val="auto"/>
                <w:sz w:val="24"/>
                <w:lang w:eastAsia="zh-CN"/>
              </w:rPr>
              <w:t>一般土石方</w:t>
            </w:r>
            <w:r>
              <w:rPr>
                <w:rFonts w:hint="eastAsia"/>
                <w:color w:val="auto"/>
                <w:sz w:val="24"/>
              </w:rPr>
              <w:t>堆场，主要临时堆放工程</w:t>
            </w:r>
            <w:r>
              <w:rPr>
                <w:rFonts w:hint="eastAsia"/>
                <w:color w:val="auto"/>
                <w:sz w:val="24"/>
                <w:lang w:eastAsia="zh-CN"/>
              </w:rPr>
              <w:t>开挖的一般土石方，</w:t>
            </w:r>
            <w:r>
              <w:rPr>
                <w:rFonts w:hint="eastAsia"/>
                <w:color w:val="auto"/>
                <w:sz w:val="24"/>
              </w:rPr>
              <w:t>堆存点位于项目区内，堆高约2.0~3.0m，占地面积约为</w:t>
            </w:r>
            <w:r>
              <w:rPr>
                <w:rFonts w:hint="eastAsia"/>
                <w:color w:val="auto"/>
                <w:sz w:val="24"/>
                <w:lang w:val="en-US" w:eastAsia="zh-CN"/>
              </w:rPr>
              <w:t>400</w:t>
            </w:r>
            <w:r>
              <w:rPr>
                <w:rFonts w:hint="eastAsia"/>
                <w:color w:val="auto"/>
                <w:sz w:val="24"/>
              </w:rPr>
              <w:t>m</w:t>
            </w:r>
            <w:r>
              <w:rPr>
                <w:rFonts w:hint="eastAsia"/>
                <w:color w:val="auto"/>
                <w:sz w:val="24"/>
                <w:vertAlign w:val="superscript"/>
              </w:rPr>
              <w:t>2</w:t>
            </w:r>
            <w:r>
              <w:rPr>
                <w:rFonts w:hint="eastAsia"/>
                <w:bCs/>
                <w:color w:val="auto"/>
                <w:sz w:val="24"/>
              </w:rPr>
              <w:t>。</w:t>
            </w:r>
            <w:r>
              <w:rPr>
                <w:rFonts w:hint="eastAsia"/>
                <w:bCs/>
                <w:color w:val="auto"/>
                <w:sz w:val="24"/>
                <w:lang w:eastAsia="zh-CN"/>
              </w:rPr>
              <w:t>表土、</w:t>
            </w:r>
            <w:r>
              <w:rPr>
                <w:rFonts w:hint="eastAsia"/>
                <w:bCs/>
                <w:color w:val="auto"/>
                <w:sz w:val="24"/>
              </w:rPr>
              <w:t>土石方严格堆放于堆场内，周围设置</w:t>
            </w:r>
            <w:r>
              <w:rPr>
                <w:rFonts w:hint="eastAsia"/>
                <w:bCs/>
                <w:color w:val="auto"/>
                <w:sz w:val="24"/>
                <w:lang w:eastAsia="zh-CN"/>
              </w:rPr>
              <w:t>土袋拦挡</w:t>
            </w:r>
            <w:r>
              <w:rPr>
                <w:rFonts w:hint="eastAsia"/>
                <w:color w:val="auto"/>
                <w:sz w:val="24"/>
              </w:rPr>
              <w:t>及截排水沟，防止发生水土流失</w:t>
            </w:r>
            <w:r>
              <w:rPr>
                <w:rFonts w:hint="eastAsia"/>
                <w:bCs/>
                <w:color w:val="auto"/>
                <w:sz w:val="24"/>
              </w:rPr>
              <w:t>。</w:t>
            </w:r>
          </w:p>
          <w:p w14:paraId="18610493">
            <w:pPr>
              <w:spacing w:line="360" w:lineRule="auto"/>
              <w:ind w:firstLine="482" w:firstLineChars="200"/>
              <w:textAlignment w:val="baseline"/>
              <w:rPr>
                <w:b/>
                <w:bCs/>
                <w:color w:val="auto"/>
                <w:sz w:val="24"/>
              </w:rPr>
            </w:pPr>
            <w:r>
              <w:rPr>
                <w:rFonts w:hint="eastAsia"/>
                <w:b/>
                <w:bCs/>
                <w:color w:val="auto"/>
                <w:sz w:val="24"/>
              </w:rPr>
              <w:t>表土堆场建设管理要求：</w:t>
            </w:r>
          </w:p>
          <w:p w14:paraId="4B1B4E8F">
            <w:pPr>
              <w:spacing w:line="360" w:lineRule="auto"/>
              <w:ind w:firstLine="480" w:firstLineChars="200"/>
              <w:textAlignment w:val="baseline"/>
              <w:rPr>
                <w:color w:val="auto"/>
                <w:sz w:val="32"/>
                <w:szCs w:val="32"/>
              </w:rPr>
            </w:pPr>
            <w:r>
              <w:rPr>
                <w:rFonts w:hint="eastAsia"/>
                <w:color w:val="auto"/>
                <w:sz w:val="24"/>
                <w:szCs w:val="32"/>
              </w:rPr>
              <w:t>①表土堆存期，设置</w:t>
            </w:r>
            <w:r>
              <w:rPr>
                <w:color w:val="auto"/>
                <w:sz w:val="24"/>
                <w:szCs w:val="32"/>
              </w:rPr>
              <w:t>移动式</w:t>
            </w:r>
            <w:r>
              <w:rPr>
                <w:rFonts w:hint="eastAsia"/>
                <w:color w:val="auto"/>
                <w:sz w:val="24"/>
                <w:szCs w:val="32"/>
              </w:rPr>
              <w:t>喷雾炮机</w:t>
            </w:r>
            <w:r>
              <w:rPr>
                <w:color w:val="auto"/>
                <w:sz w:val="24"/>
                <w:szCs w:val="32"/>
              </w:rPr>
              <w:t>，润湿</w:t>
            </w:r>
            <w:r>
              <w:rPr>
                <w:rFonts w:hint="eastAsia"/>
                <w:color w:val="auto"/>
                <w:sz w:val="24"/>
                <w:szCs w:val="32"/>
              </w:rPr>
              <w:t>表土</w:t>
            </w:r>
            <w:r>
              <w:rPr>
                <w:color w:val="auto"/>
                <w:sz w:val="24"/>
                <w:szCs w:val="32"/>
              </w:rPr>
              <w:t>，并采用</w:t>
            </w:r>
            <w:r>
              <w:rPr>
                <w:rFonts w:hint="eastAsia"/>
                <w:color w:val="auto"/>
                <w:sz w:val="24"/>
                <w:szCs w:val="32"/>
              </w:rPr>
              <w:t>覆盖密目网</w:t>
            </w:r>
            <w:r>
              <w:rPr>
                <w:color w:val="auto"/>
                <w:sz w:val="24"/>
                <w:szCs w:val="32"/>
              </w:rPr>
              <w:t>等措施</w:t>
            </w:r>
            <w:r>
              <w:rPr>
                <w:rFonts w:hint="eastAsia"/>
                <w:color w:val="auto"/>
                <w:sz w:val="24"/>
                <w:szCs w:val="32"/>
              </w:rPr>
              <w:t>防治风蚀粉尘；</w:t>
            </w:r>
          </w:p>
          <w:p w14:paraId="6A3D1853">
            <w:pPr>
              <w:spacing w:line="360" w:lineRule="auto"/>
              <w:ind w:firstLine="480" w:firstLineChars="200"/>
              <w:textAlignment w:val="baseline"/>
              <w:rPr>
                <w:color w:val="auto"/>
                <w:sz w:val="32"/>
                <w:szCs w:val="32"/>
              </w:rPr>
            </w:pPr>
            <w:r>
              <w:rPr>
                <w:rFonts w:hint="eastAsia"/>
                <w:color w:val="auto"/>
                <w:sz w:val="24"/>
                <w:szCs w:val="32"/>
              </w:rPr>
              <w:t>②为防治水土流失，表土堆场堆高不超过3m，在下部设梯形土袋挡墙，高1.2m，顶宽0.6m，底宽1.2m</w:t>
            </w:r>
            <w:r>
              <w:rPr>
                <w:rFonts w:hint="eastAsia"/>
                <w:color w:val="auto"/>
                <w:sz w:val="24"/>
                <w:szCs w:val="32"/>
                <w:lang w:eastAsia="zh-CN"/>
              </w:rPr>
              <w:t>，堆场</w:t>
            </w:r>
            <w:r>
              <w:rPr>
                <w:rFonts w:hint="eastAsia"/>
                <w:color w:val="auto"/>
                <w:sz w:val="24"/>
                <w:szCs w:val="32"/>
              </w:rPr>
              <w:t>四周设截排水沟。</w:t>
            </w:r>
          </w:p>
          <w:p w14:paraId="79496903">
            <w:pPr>
              <w:spacing w:line="360" w:lineRule="auto"/>
              <w:ind w:firstLine="482" w:firstLineChars="200"/>
              <w:textAlignment w:val="baseline"/>
              <w:rPr>
                <w:b/>
                <w:bCs/>
                <w:color w:val="auto"/>
                <w:sz w:val="24"/>
              </w:rPr>
            </w:pPr>
            <w:r>
              <w:rPr>
                <w:rFonts w:hint="eastAsia"/>
                <w:b/>
                <w:bCs/>
                <w:color w:val="auto"/>
                <w:sz w:val="24"/>
              </w:rPr>
              <w:t>一般</w:t>
            </w:r>
            <w:r>
              <w:rPr>
                <w:rFonts w:hint="eastAsia"/>
                <w:b/>
                <w:bCs/>
                <w:color w:val="auto"/>
                <w:sz w:val="24"/>
                <w:lang w:eastAsia="zh-CN"/>
              </w:rPr>
              <w:t>土石</w:t>
            </w:r>
            <w:r>
              <w:rPr>
                <w:rFonts w:hint="eastAsia"/>
                <w:b/>
                <w:bCs/>
                <w:color w:val="auto"/>
                <w:sz w:val="24"/>
              </w:rPr>
              <w:t>方临时堆场建设管理要求：</w:t>
            </w:r>
          </w:p>
          <w:p w14:paraId="741755BC">
            <w:pPr>
              <w:spacing w:line="360" w:lineRule="auto"/>
              <w:ind w:firstLine="480" w:firstLineChars="200"/>
              <w:textAlignment w:val="baseline"/>
              <w:rPr>
                <w:color w:val="auto"/>
                <w:sz w:val="32"/>
                <w:szCs w:val="32"/>
              </w:rPr>
            </w:pPr>
            <w:r>
              <w:rPr>
                <w:rFonts w:hint="eastAsia"/>
                <w:color w:val="auto"/>
                <w:sz w:val="24"/>
                <w:szCs w:val="32"/>
              </w:rPr>
              <w:t>①一般土</w:t>
            </w:r>
            <w:r>
              <w:rPr>
                <w:rFonts w:hint="eastAsia"/>
                <w:color w:val="auto"/>
                <w:sz w:val="24"/>
                <w:szCs w:val="32"/>
                <w:lang w:eastAsia="zh-CN"/>
              </w:rPr>
              <w:t>石</w:t>
            </w:r>
            <w:r>
              <w:rPr>
                <w:rFonts w:hint="eastAsia"/>
                <w:color w:val="auto"/>
                <w:sz w:val="24"/>
                <w:szCs w:val="32"/>
              </w:rPr>
              <w:t>方堆存期，表面</w:t>
            </w:r>
            <w:r>
              <w:rPr>
                <w:color w:val="auto"/>
                <w:sz w:val="24"/>
                <w:szCs w:val="32"/>
              </w:rPr>
              <w:t>采用</w:t>
            </w:r>
            <w:r>
              <w:rPr>
                <w:rFonts w:hint="eastAsia"/>
                <w:color w:val="auto"/>
                <w:sz w:val="24"/>
                <w:szCs w:val="32"/>
                <w:lang w:eastAsia="zh-CN"/>
              </w:rPr>
              <w:t>密目网</w:t>
            </w:r>
            <w:r>
              <w:rPr>
                <w:color w:val="auto"/>
                <w:sz w:val="24"/>
                <w:szCs w:val="32"/>
              </w:rPr>
              <w:t>覆盖</w:t>
            </w:r>
            <w:r>
              <w:rPr>
                <w:rFonts w:hint="eastAsia"/>
                <w:color w:val="auto"/>
                <w:sz w:val="24"/>
                <w:szCs w:val="32"/>
              </w:rPr>
              <w:t>、洒水降尘</w:t>
            </w:r>
            <w:r>
              <w:rPr>
                <w:color w:val="auto"/>
                <w:sz w:val="24"/>
                <w:szCs w:val="32"/>
              </w:rPr>
              <w:t>等措施</w:t>
            </w:r>
            <w:r>
              <w:rPr>
                <w:rFonts w:hint="eastAsia"/>
                <w:color w:val="auto"/>
                <w:sz w:val="24"/>
                <w:szCs w:val="32"/>
              </w:rPr>
              <w:t>防治风蚀粉尘；</w:t>
            </w:r>
          </w:p>
          <w:p w14:paraId="35129F4B">
            <w:pPr>
              <w:spacing w:line="360" w:lineRule="auto"/>
              <w:ind w:firstLine="480" w:firstLineChars="200"/>
              <w:textAlignment w:val="baseline"/>
              <w:rPr>
                <w:color w:val="auto"/>
                <w:sz w:val="32"/>
                <w:szCs w:val="32"/>
              </w:rPr>
            </w:pPr>
            <w:r>
              <w:rPr>
                <w:rFonts w:hint="eastAsia"/>
                <w:color w:val="auto"/>
                <w:sz w:val="24"/>
                <w:szCs w:val="32"/>
              </w:rPr>
              <w:t>②为防治水土流失，一般土方堆高不超过3m，高1.2m，顶宽0.6m，底宽1.2m。四周设截排水沟，引入沉淀池。</w:t>
            </w:r>
          </w:p>
          <w:p w14:paraId="5383ACEC">
            <w:pPr>
              <w:spacing w:line="360" w:lineRule="auto"/>
              <w:ind w:firstLine="482" w:firstLineChars="200"/>
              <w:textAlignment w:val="baseline"/>
              <w:rPr>
                <w:b/>
                <w:bCs/>
                <w:color w:val="auto"/>
                <w:sz w:val="24"/>
              </w:rPr>
            </w:pPr>
            <w:r>
              <w:rPr>
                <w:rFonts w:hint="eastAsia"/>
                <w:b/>
                <w:bCs/>
                <w:color w:val="auto"/>
                <w:sz w:val="24"/>
              </w:rPr>
              <w:t>表土堆场、一般土方临时堆场防垮塌措施：</w:t>
            </w:r>
          </w:p>
          <w:p w14:paraId="5C271B4B">
            <w:pPr>
              <w:spacing w:line="360" w:lineRule="auto"/>
              <w:ind w:firstLine="480" w:firstLineChars="200"/>
              <w:textAlignment w:val="baseline"/>
              <w:rPr>
                <w:color w:val="auto"/>
                <w:sz w:val="24"/>
                <w:szCs w:val="32"/>
              </w:rPr>
            </w:pPr>
            <w:r>
              <w:rPr>
                <w:rFonts w:hint="eastAsia"/>
                <w:color w:val="auto"/>
                <w:sz w:val="24"/>
                <w:szCs w:val="32"/>
              </w:rPr>
              <w:t>①在表土堆场、一般土方临时堆场周边设排水沟，排水沟连通至沉淀池，表土堆场护坡、坡顶均采用覆盖密目网+撒播草籽进行表面防护。</w:t>
            </w:r>
          </w:p>
          <w:p w14:paraId="1C56E2BF">
            <w:pPr>
              <w:spacing w:line="360" w:lineRule="auto"/>
              <w:ind w:firstLine="480" w:firstLineChars="200"/>
              <w:textAlignment w:val="baseline"/>
              <w:rPr>
                <w:color w:val="auto"/>
                <w:sz w:val="24"/>
                <w:szCs w:val="32"/>
              </w:rPr>
            </w:pPr>
            <w:r>
              <w:rPr>
                <w:rFonts w:hint="eastAsia"/>
                <w:color w:val="auto"/>
                <w:sz w:val="24"/>
                <w:szCs w:val="32"/>
              </w:rPr>
              <w:t>②及时掌握气象局发出的汛期暴雨预警警报和天气预报，在汛期暴雨来临之前，检查排水设施是否正常，巡查现场围挡及对表土堆场、一般土方临时堆场进行巡视、监测。</w:t>
            </w:r>
          </w:p>
          <w:p w14:paraId="58E46B73">
            <w:pPr>
              <w:spacing w:line="360" w:lineRule="auto"/>
              <w:ind w:firstLine="480" w:firstLineChars="200"/>
              <w:textAlignment w:val="baseline"/>
              <w:rPr>
                <w:color w:val="auto"/>
                <w:sz w:val="24"/>
                <w:szCs w:val="32"/>
              </w:rPr>
            </w:pPr>
            <w:r>
              <w:rPr>
                <w:rFonts w:hint="eastAsia"/>
                <w:color w:val="auto"/>
                <w:sz w:val="24"/>
                <w:szCs w:val="32"/>
              </w:rPr>
              <w:t>③在汛期暴雨期间，站内值班人员及时观察场地内积水情况，检查表土堆场、一般土方临时堆场边坡支护及周边土质的变化，达不到要求的要采取加固和隔离措施。</w:t>
            </w:r>
          </w:p>
          <w:p w14:paraId="1D926AFF">
            <w:pPr>
              <w:spacing w:line="360" w:lineRule="auto"/>
              <w:ind w:firstLine="480" w:firstLineChars="200"/>
              <w:textAlignment w:val="baseline"/>
              <w:rPr>
                <w:color w:val="auto"/>
                <w:sz w:val="24"/>
              </w:rPr>
            </w:pPr>
            <w:r>
              <w:rPr>
                <w:rFonts w:hint="eastAsia"/>
                <w:color w:val="auto"/>
                <w:sz w:val="24"/>
                <w:szCs w:val="32"/>
              </w:rPr>
              <w:t>④配备沙袋，铁锹定期检查和维护，确保发生坍场事故时能及时投入使用。</w:t>
            </w:r>
          </w:p>
          <w:p w14:paraId="5C96F335">
            <w:pPr>
              <w:spacing w:line="360" w:lineRule="auto"/>
              <w:ind w:firstLine="480" w:firstLineChars="200"/>
              <w:textAlignment w:val="baseline"/>
              <w:rPr>
                <w:rFonts w:hint="eastAsia"/>
                <w:color w:val="auto"/>
                <w:sz w:val="24"/>
              </w:rPr>
            </w:pPr>
            <w:r>
              <w:rPr>
                <w:rFonts w:hint="eastAsia"/>
                <w:color w:val="auto"/>
                <w:sz w:val="24"/>
              </w:rPr>
              <w:t>本项目场地地质结构较为稳定，一般土方临时堆场占地全部位于永久占地内，且远离敏感保护目标，选址较为合理。</w:t>
            </w:r>
          </w:p>
          <w:p w14:paraId="33C79689">
            <w:pPr>
              <w:spacing w:line="360" w:lineRule="auto"/>
              <w:ind w:firstLine="480" w:firstLineChars="200"/>
              <w:textAlignment w:val="baseline"/>
              <w:rPr>
                <w:color w:val="auto"/>
                <w:sz w:val="24"/>
              </w:rPr>
            </w:pPr>
            <w:r>
              <w:rPr>
                <w:rFonts w:hint="eastAsia"/>
                <w:color w:val="auto"/>
                <w:sz w:val="24"/>
                <w:lang w:eastAsia="zh-CN"/>
              </w:rPr>
              <w:t>根据地质公园管理要求：项目需</w:t>
            </w:r>
            <w:r>
              <w:rPr>
                <w:color w:val="auto"/>
                <w:sz w:val="24"/>
              </w:rPr>
              <w:t>对</w:t>
            </w:r>
            <w:r>
              <w:rPr>
                <w:rFonts w:hint="eastAsia"/>
                <w:color w:val="auto"/>
                <w:sz w:val="24"/>
                <w:lang w:eastAsia="zh-CN"/>
              </w:rPr>
              <w:t>土石方</w:t>
            </w:r>
            <w:r>
              <w:rPr>
                <w:color w:val="auto"/>
                <w:sz w:val="24"/>
              </w:rPr>
              <w:t>加强收集</w:t>
            </w:r>
            <w:r>
              <w:rPr>
                <w:rFonts w:hint="eastAsia"/>
                <w:color w:val="auto"/>
                <w:sz w:val="24"/>
                <w:lang w:eastAsia="zh-CN"/>
              </w:rPr>
              <w:t>，能回填部分回填，不能回填部分按要求严格管理，不得</w:t>
            </w:r>
            <w:r>
              <w:rPr>
                <w:color w:val="auto"/>
                <w:sz w:val="24"/>
              </w:rPr>
              <w:t>任意堆放</w:t>
            </w:r>
            <w:r>
              <w:rPr>
                <w:rFonts w:hint="eastAsia"/>
                <w:color w:val="auto"/>
                <w:sz w:val="24"/>
                <w:lang w:eastAsia="zh-CN"/>
              </w:rPr>
              <w:t>、</w:t>
            </w:r>
            <w:r>
              <w:rPr>
                <w:color w:val="auto"/>
                <w:sz w:val="24"/>
              </w:rPr>
              <w:t>弃置</w:t>
            </w:r>
            <w:r>
              <w:rPr>
                <w:rFonts w:hint="eastAsia"/>
                <w:color w:val="auto"/>
                <w:sz w:val="24"/>
                <w:lang w:eastAsia="zh-CN"/>
              </w:rPr>
              <w:t>，项目施工结束后需及时对堆放区进行</w:t>
            </w:r>
            <w:r>
              <w:rPr>
                <w:color w:val="auto"/>
                <w:sz w:val="24"/>
              </w:rPr>
              <w:t>清运整理、绿化美化。</w:t>
            </w:r>
          </w:p>
          <w:p w14:paraId="033FE368">
            <w:pPr>
              <w:spacing w:line="360" w:lineRule="auto"/>
              <w:ind w:firstLine="480" w:firstLineChars="200"/>
              <w:textAlignment w:val="baseline"/>
              <w:rPr>
                <w:color w:val="auto"/>
                <w:sz w:val="24"/>
              </w:rPr>
            </w:pPr>
            <w:r>
              <w:rPr>
                <w:color w:val="auto"/>
                <w:sz w:val="24"/>
              </w:rPr>
              <w:t>2、建筑垃圾</w:t>
            </w:r>
          </w:p>
          <w:p w14:paraId="1C6444DA">
            <w:pPr>
              <w:spacing w:line="360" w:lineRule="auto"/>
              <w:ind w:firstLine="480" w:firstLineChars="200"/>
              <w:textAlignment w:val="baseline"/>
              <w:rPr>
                <w:b/>
                <w:color w:val="auto"/>
                <w:sz w:val="24"/>
                <w:u w:val="single"/>
              </w:rPr>
            </w:pPr>
            <w:r>
              <w:rPr>
                <w:bCs/>
                <w:color w:val="auto"/>
                <w:sz w:val="24"/>
              </w:rPr>
              <w:t>建设单位对于施工期间产生的可回收利用的废料通过分类收集后交废物收购站处理；对不能回收的建筑垃圾应在施工完成后及时清运至政府指定的场地。本项目不设置渣场。</w:t>
            </w:r>
            <w:r>
              <w:rPr>
                <w:color w:val="auto"/>
                <w:sz w:val="24"/>
              </w:rPr>
              <w:t>项目产生的建筑垃圾施工单位应按照《中华人民共和国固体废物污染环境防治法》（2020年9月1日起施行）等要求，及时清运到环卫部门指定或核准建筑垃圾场处理，严禁随意倾倒。</w:t>
            </w:r>
            <w:r>
              <w:rPr>
                <w:bCs/>
                <w:color w:val="auto"/>
                <w:sz w:val="24"/>
              </w:rPr>
              <w:t>同时，为确保建筑垃圾处置措施落实，建设单位或施工总承包单位在与建筑垃圾清运公司签订运输合同时，应要求承包公司提供废弃物去向的证明材料，严禁随意倾倒、填埋，不得出现超载、撒漏、不到指定地点卸货等现象。</w:t>
            </w:r>
            <w:r>
              <w:rPr>
                <w:b/>
                <w:color w:val="auto"/>
                <w:sz w:val="24"/>
                <w:u w:val="single"/>
              </w:rPr>
              <w:t>严禁</w:t>
            </w:r>
            <w:r>
              <w:rPr>
                <w:b/>
                <w:color w:val="auto"/>
                <w:kern w:val="0"/>
                <w:sz w:val="24"/>
                <w:u w:val="single"/>
              </w:rPr>
              <w:t>建筑垃圾倾倒至</w:t>
            </w:r>
            <w:r>
              <w:rPr>
                <w:b/>
                <w:color w:val="auto"/>
                <w:sz w:val="24"/>
                <w:u w:val="single"/>
              </w:rPr>
              <w:t>项目周边地表水体内。</w:t>
            </w:r>
          </w:p>
          <w:p w14:paraId="0B37FE3E">
            <w:pPr>
              <w:spacing w:line="360" w:lineRule="auto"/>
              <w:ind w:firstLine="480" w:firstLineChars="200"/>
              <w:textAlignment w:val="baseline"/>
              <w:rPr>
                <w:color w:val="auto"/>
                <w:sz w:val="24"/>
              </w:rPr>
            </w:pPr>
            <w:r>
              <w:rPr>
                <w:color w:val="auto"/>
                <w:sz w:val="24"/>
              </w:rPr>
              <w:t>3、生活垃圾</w:t>
            </w:r>
          </w:p>
          <w:p w14:paraId="54A74A23">
            <w:pPr>
              <w:spacing w:line="360" w:lineRule="auto"/>
              <w:ind w:firstLine="480" w:firstLineChars="200"/>
              <w:textAlignment w:val="baseline"/>
              <w:rPr>
                <w:bCs/>
                <w:color w:val="auto"/>
                <w:sz w:val="24"/>
              </w:rPr>
            </w:pPr>
            <w:r>
              <w:rPr>
                <w:color w:val="auto"/>
                <w:sz w:val="24"/>
              </w:rPr>
              <w:t>施工单位采取袋装后送入垃圾桶内，然后由当地环卫</w:t>
            </w:r>
            <w:r>
              <w:rPr>
                <w:rFonts w:hint="eastAsia"/>
                <w:color w:val="auto"/>
                <w:sz w:val="24"/>
              </w:rPr>
              <w:t>部门</w:t>
            </w:r>
            <w:r>
              <w:rPr>
                <w:color w:val="auto"/>
                <w:sz w:val="24"/>
              </w:rPr>
              <w:t>统一清运处理，并严格做到日产日清。工程施工期间各施工生活区配置垃圾桶，对每个垃圾桶存放处经常喷洒灭害灵等药水，保持工区环境的清洁卫生</w:t>
            </w:r>
            <w:r>
              <w:rPr>
                <w:rFonts w:hint="eastAsia"/>
                <w:color w:val="auto"/>
                <w:sz w:val="24"/>
              </w:rPr>
              <w:t>，</w:t>
            </w:r>
            <w:r>
              <w:rPr>
                <w:color w:val="auto"/>
                <w:sz w:val="24"/>
              </w:rPr>
              <w:t>以防止蚊蝇孳生。</w:t>
            </w:r>
          </w:p>
        </w:tc>
      </w:tr>
      <w:tr w14:paraId="26535B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753" w:type="dxa"/>
            <w:tcMar>
              <w:left w:w="28" w:type="dxa"/>
              <w:right w:w="28" w:type="dxa"/>
            </w:tcMar>
            <w:vAlign w:val="center"/>
          </w:tcPr>
          <w:p w14:paraId="581D51D4">
            <w:pPr>
              <w:adjustRightInd w:val="0"/>
              <w:snapToGrid w:val="0"/>
              <w:jc w:val="center"/>
              <w:rPr>
                <w:bCs/>
                <w:color w:val="auto"/>
                <w:szCs w:val="21"/>
              </w:rPr>
            </w:pPr>
            <w:r>
              <w:rPr>
                <w:bCs/>
                <w:color w:val="auto"/>
                <w:sz w:val="24"/>
              </w:rPr>
              <w:t>运营期生态环境保护措施</w:t>
            </w:r>
          </w:p>
        </w:tc>
        <w:tc>
          <w:tcPr>
            <w:tcW w:w="8457" w:type="dxa"/>
          </w:tcPr>
          <w:p w14:paraId="16F750D1">
            <w:pPr>
              <w:snapToGrid w:val="0"/>
              <w:spacing w:before="120" w:beforeLines="50" w:line="360" w:lineRule="auto"/>
              <w:ind w:firstLine="482" w:firstLineChars="200"/>
              <w:rPr>
                <w:b/>
                <w:color w:val="auto"/>
                <w:sz w:val="24"/>
              </w:rPr>
            </w:pPr>
            <w:r>
              <w:rPr>
                <w:rFonts w:hint="eastAsia"/>
                <w:b/>
                <w:color w:val="auto"/>
                <w:sz w:val="24"/>
              </w:rPr>
              <w:t>一</w:t>
            </w:r>
            <w:r>
              <w:rPr>
                <w:b/>
                <w:color w:val="auto"/>
                <w:sz w:val="24"/>
              </w:rPr>
              <w:t>、生态环境保护措施</w:t>
            </w:r>
          </w:p>
          <w:p w14:paraId="61D1B289">
            <w:pPr>
              <w:snapToGrid w:val="0"/>
              <w:spacing w:line="360" w:lineRule="auto"/>
              <w:ind w:firstLine="482" w:firstLineChars="200"/>
              <w:rPr>
                <w:b/>
                <w:color w:val="auto"/>
                <w:sz w:val="24"/>
              </w:rPr>
            </w:pPr>
            <w:r>
              <w:rPr>
                <w:rFonts w:hint="eastAsia"/>
                <w:b/>
                <w:color w:val="auto"/>
                <w:sz w:val="24"/>
              </w:rPr>
              <w:t>1、对动、植物保护措施</w:t>
            </w:r>
          </w:p>
          <w:p w14:paraId="4166376A">
            <w:pPr>
              <w:snapToGrid w:val="0"/>
              <w:spacing w:line="360" w:lineRule="auto"/>
              <w:ind w:firstLine="480" w:firstLineChars="200"/>
              <w:rPr>
                <w:b/>
                <w:color w:val="auto"/>
                <w:sz w:val="24"/>
              </w:rPr>
            </w:pPr>
            <w:r>
              <w:rPr>
                <w:rFonts w:hint="eastAsia"/>
                <w:color w:val="auto"/>
                <w:sz w:val="24"/>
              </w:rPr>
              <w:t>加强管理和宣传教育。加强营运期管理，保证各项工程设施完好和确保安全生产是生态保护最基本的措施，建议开展相关环保培训和认证，以提高环境管理水平，杜绝环境事故。</w:t>
            </w:r>
          </w:p>
          <w:p w14:paraId="4F6A70B1">
            <w:pPr>
              <w:widowControl/>
              <w:spacing w:line="360" w:lineRule="auto"/>
              <w:ind w:firstLine="482" w:firstLineChars="200"/>
              <w:rPr>
                <w:color w:val="auto"/>
                <w:sz w:val="24"/>
              </w:rPr>
            </w:pPr>
            <w:r>
              <w:rPr>
                <w:rFonts w:hint="eastAsia"/>
                <w:b/>
                <w:color w:val="auto"/>
                <w:sz w:val="24"/>
              </w:rPr>
              <w:t>2、对地质遗迹景观的保护措施</w:t>
            </w:r>
          </w:p>
          <w:p w14:paraId="768672A2">
            <w:pPr>
              <w:widowControl/>
              <w:spacing w:line="360" w:lineRule="auto"/>
              <w:ind w:firstLine="480" w:firstLineChars="200"/>
              <w:rPr>
                <w:color w:val="auto"/>
                <w:sz w:val="24"/>
              </w:rPr>
            </w:pPr>
            <w:r>
              <w:rPr>
                <w:color w:val="auto"/>
                <w:sz w:val="24"/>
              </w:rPr>
              <w:t>在本项目运行过程中，对光雾山-诺水河世界地质公园内项目运行提出以下保护措施与要求：</w:t>
            </w:r>
          </w:p>
          <w:p w14:paraId="7DCBD35B">
            <w:pPr>
              <w:widowControl/>
              <w:spacing w:line="360" w:lineRule="auto"/>
              <w:ind w:firstLine="480" w:firstLineChars="200"/>
              <w:rPr>
                <w:color w:val="auto"/>
                <w:sz w:val="24"/>
              </w:rPr>
            </w:pPr>
            <w:r>
              <w:rPr>
                <w:color w:val="auto"/>
                <w:sz w:val="24"/>
              </w:rPr>
              <w:t>大力宣传《森林法》、《野生动物保护法》、《自然保护区条例》、《野保条例》、《森林防火条例》等相关法律法规，提高管理人员的保护意识，使其自觉保护世界地质公园内的野生动物和植物；在项目及周边地段显要位置张帖野生动植物保护公告，明确违者处罚条款，确定监管人员及其职责，严禁任何人员上山打猎。</w:t>
            </w:r>
          </w:p>
          <w:p w14:paraId="76E39B3C">
            <w:pPr>
              <w:widowControl/>
              <w:spacing w:line="360" w:lineRule="auto"/>
              <w:ind w:firstLine="480" w:firstLineChars="200"/>
              <w:rPr>
                <w:color w:val="auto"/>
                <w:sz w:val="24"/>
              </w:rPr>
            </w:pPr>
            <w:r>
              <w:rPr>
                <w:color w:val="auto"/>
                <w:sz w:val="24"/>
              </w:rPr>
              <w:t>建立严格的森林防火管理制度。要制定森林防火管理制度，明确责任，作好施工人员用火管理，严禁一切野外用火，防止森林火灾发生，避免减少对动物栖息地和植被的破坏。</w:t>
            </w:r>
          </w:p>
          <w:p w14:paraId="5074989C">
            <w:pPr>
              <w:widowControl/>
              <w:spacing w:line="360" w:lineRule="auto"/>
              <w:ind w:firstLine="480" w:firstLineChars="200"/>
              <w:rPr>
                <w:color w:val="auto"/>
                <w:sz w:val="24"/>
              </w:rPr>
            </w:pPr>
            <w:r>
              <w:rPr>
                <w:color w:val="auto"/>
                <w:sz w:val="24"/>
              </w:rPr>
              <w:t>加强区域内对于野生动物的保护，制止和打击猎杀野生动物行为，对发生伤害、偷猎、销售、食用野生动物的行为作出及时处理，保护野生动物安全。</w:t>
            </w:r>
          </w:p>
          <w:p w14:paraId="7103F446">
            <w:pPr>
              <w:snapToGrid w:val="0"/>
              <w:spacing w:line="360" w:lineRule="auto"/>
              <w:ind w:firstLine="482" w:firstLineChars="200"/>
              <w:rPr>
                <w:b/>
                <w:color w:val="auto"/>
                <w:sz w:val="24"/>
              </w:rPr>
            </w:pPr>
            <w:r>
              <w:rPr>
                <w:rFonts w:hint="eastAsia"/>
                <w:b/>
                <w:color w:val="auto"/>
                <w:sz w:val="24"/>
              </w:rPr>
              <w:t>二</w:t>
            </w:r>
            <w:r>
              <w:rPr>
                <w:b/>
                <w:color w:val="auto"/>
                <w:sz w:val="24"/>
              </w:rPr>
              <w:t>、地表水环境保护措施</w:t>
            </w:r>
          </w:p>
          <w:p w14:paraId="48F50AC5">
            <w:pPr>
              <w:autoSpaceDE w:val="0"/>
              <w:autoSpaceDN w:val="0"/>
              <w:spacing w:line="360" w:lineRule="auto"/>
              <w:ind w:firstLine="482" w:firstLineChars="200"/>
              <w:rPr>
                <w:b/>
                <w:bCs/>
                <w:color w:val="auto"/>
                <w:sz w:val="24"/>
              </w:rPr>
            </w:pPr>
            <w:r>
              <w:rPr>
                <w:rFonts w:hint="eastAsia"/>
                <w:b/>
                <w:bCs/>
                <w:color w:val="auto"/>
                <w:sz w:val="24"/>
              </w:rPr>
              <w:t>1、治理措施</w:t>
            </w:r>
          </w:p>
          <w:p w14:paraId="1B65C55A">
            <w:pPr>
              <w:autoSpaceDE w:val="0"/>
              <w:autoSpaceDN w:val="0"/>
              <w:spacing w:line="360" w:lineRule="auto"/>
              <w:ind w:firstLine="480" w:firstLineChars="200"/>
              <w:rPr>
                <w:bCs/>
                <w:color w:val="auto"/>
                <w:sz w:val="32"/>
                <w:szCs w:val="32"/>
              </w:rPr>
            </w:pPr>
            <w:r>
              <w:rPr>
                <w:rFonts w:hint="eastAsia"/>
                <w:color w:val="auto"/>
                <w:sz w:val="24"/>
              </w:rPr>
              <w:t>项目在地块南侧设置1座预处理池（</w:t>
            </w:r>
            <w:r>
              <w:rPr>
                <w:rFonts w:hint="eastAsia"/>
                <w:color w:val="auto"/>
                <w:sz w:val="24"/>
                <w:lang w:eastAsia="zh-CN"/>
              </w:rPr>
              <w:t>处理能力</w:t>
            </w:r>
            <w:r>
              <w:rPr>
                <w:rFonts w:hint="eastAsia"/>
                <w:color w:val="auto"/>
                <w:sz w:val="24"/>
                <w:lang w:val="en-US" w:eastAsia="zh-CN"/>
              </w:rPr>
              <w:t>100</w:t>
            </w:r>
            <w:r>
              <w:rPr>
                <w:rFonts w:hint="eastAsia"/>
                <w:color w:val="auto"/>
                <w:sz w:val="24"/>
              </w:rPr>
              <w:t>m</w:t>
            </w:r>
            <w:r>
              <w:rPr>
                <w:rFonts w:hint="eastAsia"/>
                <w:color w:val="auto"/>
                <w:sz w:val="24"/>
                <w:vertAlign w:val="superscript"/>
              </w:rPr>
              <w:t>3</w:t>
            </w:r>
            <w:r>
              <w:rPr>
                <w:rFonts w:hint="eastAsia"/>
                <w:color w:val="auto"/>
                <w:sz w:val="24"/>
                <w:lang w:val="en-US" w:eastAsia="zh-CN"/>
              </w:rPr>
              <w:t>/d</w:t>
            </w:r>
            <w:r>
              <w:rPr>
                <w:rFonts w:hint="eastAsia"/>
                <w:color w:val="auto"/>
                <w:sz w:val="24"/>
              </w:rPr>
              <w:t>），项目废水经预处理池处理达标</w:t>
            </w:r>
            <w:r>
              <w:rPr>
                <w:color w:val="auto"/>
                <w:sz w:val="24"/>
              </w:rPr>
              <w:t>后</w:t>
            </w:r>
            <w:r>
              <w:rPr>
                <w:rFonts w:hint="eastAsia"/>
                <w:color w:val="auto"/>
                <w:sz w:val="24"/>
              </w:rPr>
              <w:t>通过市政污水管网排入</w:t>
            </w:r>
            <w:r>
              <w:rPr>
                <w:color w:val="auto"/>
                <w:sz w:val="24"/>
              </w:rPr>
              <w:t>南江县</w:t>
            </w:r>
            <w:r>
              <w:rPr>
                <w:rFonts w:hint="eastAsia"/>
                <w:color w:val="auto"/>
                <w:sz w:val="24"/>
              </w:rPr>
              <w:t>关坝镇</w:t>
            </w:r>
            <w:r>
              <w:rPr>
                <w:color w:val="auto"/>
                <w:sz w:val="24"/>
              </w:rPr>
              <w:t>污水处理站处理达标后排放</w:t>
            </w:r>
            <w:r>
              <w:rPr>
                <w:rFonts w:hint="eastAsia"/>
                <w:color w:val="auto"/>
                <w:sz w:val="24"/>
              </w:rPr>
              <w:t>至南江河</w:t>
            </w:r>
            <w:r>
              <w:rPr>
                <w:color w:val="auto"/>
                <w:sz w:val="24"/>
              </w:rPr>
              <w:t>。</w:t>
            </w:r>
          </w:p>
          <w:p w14:paraId="65159617">
            <w:pPr>
              <w:pStyle w:val="16"/>
              <w:spacing w:line="360" w:lineRule="auto"/>
              <w:ind w:left="0" w:right="0" w:firstLine="482" w:firstLineChars="200"/>
              <w:rPr>
                <w:rFonts w:ascii="Times New Roman"/>
                <w:b/>
                <w:bCs/>
                <w:color w:val="auto"/>
                <w:sz w:val="24"/>
                <w:szCs w:val="24"/>
              </w:rPr>
            </w:pPr>
            <w:r>
              <w:rPr>
                <w:rFonts w:hint="eastAsia" w:ascii="Times New Roman"/>
                <w:b/>
                <w:bCs/>
                <w:color w:val="auto"/>
                <w:sz w:val="24"/>
                <w:szCs w:val="24"/>
              </w:rPr>
              <w:t>2</w:t>
            </w:r>
            <w:r>
              <w:rPr>
                <w:rFonts w:ascii="Times New Roman"/>
                <w:b/>
                <w:bCs/>
                <w:color w:val="auto"/>
                <w:sz w:val="24"/>
                <w:szCs w:val="24"/>
              </w:rPr>
              <w:t>、废水处理措施可行性分析</w:t>
            </w:r>
          </w:p>
          <w:p w14:paraId="2784B237">
            <w:pPr>
              <w:pStyle w:val="16"/>
              <w:spacing w:line="360" w:lineRule="auto"/>
              <w:ind w:left="0" w:right="0" w:firstLine="482" w:firstLineChars="200"/>
              <w:rPr>
                <w:rFonts w:ascii="Times New Roman"/>
                <w:b/>
                <w:bCs/>
                <w:color w:val="auto"/>
                <w:sz w:val="24"/>
                <w:szCs w:val="24"/>
              </w:rPr>
            </w:pPr>
            <w:r>
              <w:rPr>
                <w:rFonts w:hint="eastAsia" w:ascii="Times New Roman"/>
                <w:b/>
                <w:bCs/>
                <w:color w:val="auto"/>
                <w:sz w:val="24"/>
                <w:szCs w:val="24"/>
              </w:rPr>
              <w:t>（1）生活污水处理可行性</w:t>
            </w:r>
          </w:p>
          <w:p w14:paraId="3F04914A">
            <w:pPr>
              <w:pStyle w:val="16"/>
              <w:spacing w:line="360" w:lineRule="auto"/>
              <w:ind w:left="0" w:right="0" w:firstLine="482" w:firstLineChars="200"/>
              <w:rPr>
                <w:rFonts w:ascii="Times New Roman"/>
                <w:color w:val="auto"/>
                <w:sz w:val="24"/>
                <w:szCs w:val="24"/>
              </w:rPr>
            </w:pPr>
            <w:r>
              <w:rPr>
                <w:rFonts w:hint="eastAsia" w:ascii="Times New Roman"/>
                <w:b/>
                <w:bCs/>
                <w:color w:val="auto"/>
                <w:sz w:val="24"/>
                <w:szCs w:val="24"/>
              </w:rPr>
              <w:t>预处理池：</w:t>
            </w:r>
            <w:r>
              <w:rPr>
                <w:rFonts w:ascii="Times New Roman"/>
                <w:color w:val="auto"/>
                <w:sz w:val="24"/>
              </w:rPr>
              <w:t>本项目生活污水</w:t>
            </w:r>
            <w:r>
              <w:rPr>
                <w:rFonts w:hint="eastAsia" w:ascii="Times New Roman"/>
                <w:color w:val="auto"/>
                <w:sz w:val="24"/>
              </w:rPr>
              <w:t>量</w:t>
            </w:r>
            <w:r>
              <w:rPr>
                <w:rFonts w:ascii="Times New Roman"/>
                <w:color w:val="auto"/>
                <w:sz w:val="24"/>
              </w:rPr>
              <w:t>为</w:t>
            </w:r>
            <w:r>
              <w:rPr>
                <w:rFonts w:hint="eastAsia" w:ascii="Times New Roman"/>
                <w:snapToGrid w:val="0"/>
                <w:color w:val="auto"/>
                <w:kern w:val="0"/>
                <w:sz w:val="24"/>
                <w:szCs w:val="24"/>
                <w:lang w:val="en-US" w:eastAsia="zh-CN"/>
              </w:rPr>
              <w:t>68</w:t>
            </w:r>
            <w:r>
              <w:rPr>
                <w:rFonts w:ascii="Times New Roman"/>
                <w:color w:val="auto"/>
                <w:sz w:val="24"/>
              </w:rPr>
              <w:t>m</w:t>
            </w:r>
            <w:r>
              <w:rPr>
                <w:rFonts w:ascii="Times New Roman"/>
                <w:color w:val="auto"/>
                <w:sz w:val="24"/>
                <w:vertAlign w:val="superscript"/>
              </w:rPr>
              <w:t>3</w:t>
            </w:r>
            <w:r>
              <w:rPr>
                <w:rFonts w:ascii="Times New Roman"/>
                <w:color w:val="auto"/>
                <w:sz w:val="24"/>
              </w:rPr>
              <w:t>/</w:t>
            </w:r>
            <w:r>
              <w:rPr>
                <w:rFonts w:hint="eastAsia" w:ascii="Times New Roman"/>
                <w:color w:val="auto"/>
                <w:sz w:val="24"/>
              </w:rPr>
              <w:t>d</w:t>
            </w:r>
            <w:r>
              <w:rPr>
                <w:rFonts w:ascii="Times New Roman"/>
                <w:color w:val="auto"/>
                <w:sz w:val="24"/>
              </w:rPr>
              <w:t>，故项目</w:t>
            </w:r>
            <w:r>
              <w:rPr>
                <w:rFonts w:hint="eastAsia" w:ascii="Times New Roman"/>
                <w:color w:val="auto"/>
                <w:sz w:val="24"/>
              </w:rPr>
              <w:t>设</w:t>
            </w:r>
            <w:r>
              <w:rPr>
                <w:rFonts w:hint="default" w:ascii="Times New Roman" w:hAnsi="Times New Roman" w:cs="Times New Roman"/>
                <w:color w:val="auto"/>
                <w:sz w:val="24"/>
              </w:rPr>
              <w:t>置1座</w:t>
            </w:r>
            <w:r>
              <w:rPr>
                <w:rFonts w:hint="default" w:ascii="Times New Roman" w:hAnsi="Times New Roman" w:cs="Times New Roman"/>
                <w:color w:val="auto"/>
                <w:sz w:val="24"/>
                <w:lang w:val="en-US" w:eastAsia="zh-CN"/>
              </w:rPr>
              <w:t>10</w:t>
            </w:r>
            <w:r>
              <w:rPr>
                <w:rFonts w:hint="default" w:ascii="Times New Roman" w:hAnsi="Times New Roman" w:cs="Times New Roman"/>
                <w:color w:val="auto"/>
                <w:sz w:val="24"/>
              </w:rPr>
              <w:t>0</w:t>
            </w:r>
            <w:r>
              <w:rPr>
                <w:rFonts w:hint="default" w:ascii="Times New Roman" w:hAnsi="Times New Roman" w:cs="Times New Roman"/>
                <w:color w:val="auto"/>
                <w:sz w:val="24"/>
                <w:szCs w:val="24"/>
              </w:rPr>
              <w:t>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lang w:val="en-US" w:eastAsia="zh-CN"/>
              </w:rPr>
              <w:t>/d</w:t>
            </w:r>
            <w:r>
              <w:rPr>
                <w:rFonts w:hint="default" w:ascii="Times New Roman" w:hAnsi="Times New Roman" w:cs="Times New Roman"/>
                <w:color w:val="auto"/>
                <w:sz w:val="24"/>
                <w:szCs w:val="24"/>
              </w:rPr>
              <w:t>预处</w:t>
            </w:r>
            <w:r>
              <w:rPr>
                <w:rFonts w:hint="eastAsia" w:ascii="Times New Roman"/>
                <w:color w:val="auto"/>
                <w:sz w:val="24"/>
                <w:szCs w:val="24"/>
              </w:rPr>
              <w:t>理池，收集</w:t>
            </w:r>
            <w:r>
              <w:rPr>
                <w:rFonts w:hint="eastAsia" w:ascii="Times New Roman"/>
                <w:color w:val="auto"/>
                <w:sz w:val="24"/>
                <w:szCs w:val="24"/>
                <w:lang w:eastAsia="zh-CN"/>
              </w:rPr>
              <w:t>处理</w:t>
            </w:r>
            <w:r>
              <w:rPr>
                <w:rFonts w:ascii="Times New Roman"/>
                <w:color w:val="auto"/>
                <w:sz w:val="24"/>
              </w:rPr>
              <w:t>生活污水</w:t>
            </w:r>
            <w:r>
              <w:rPr>
                <w:rFonts w:hint="eastAsia" w:ascii="Times New Roman"/>
                <w:color w:val="auto"/>
                <w:sz w:val="24"/>
              </w:rPr>
              <w:t>可行</w:t>
            </w:r>
            <w:r>
              <w:rPr>
                <w:rFonts w:ascii="Times New Roman"/>
                <w:color w:val="auto"/>
                <w:sz w:val="24"/>
              </w:rPr>
              <w:t>。</w:t>
            </w:r>
          </w:p>
          <w:p w14:paraId="023E1304">
            <w:pPr>
              <w:pStyle w:val="16"/>
              <w:spacing w:line="360" w:lineRule="auto"/>
              <w:ind w:left="0" w:right="0" w:firstLine="482" w:firstLineChars="200"/>
              <w:rPr>
                <w:rFonts w:ascii="Times New Roman"/>
                <w:color w:val="auto"/>
                <w:sz w:val="24"/>
                <w:szCs w:val="24"/>
              </w:rPr>
            </w:pPr>
            <w:r>
              <w:rPr>
                <w:rFonts w:hint="eastAsia" w:ascii="Times New Roman"/>
                <w:b/>
                <w:bCs/>
                <w:color w:val="auto"/>
                <w:sz w:val="24"/>
                <w:szCs w:val="24"/>
              </w:rPr>
              <w:t>预处理池原理：</w:t>
            </w:r>
            <w:r>
              <w:rPr>
                <w:rFonts w:hint="eastAsia" w:ascii="Times New Roman"/>
                <w:color w:val="auto"/>
                <w:sz w:val="24"/>
                <w:szCs w:val="24"/>
              </w:rPr>
              <w:t>预处理池</w:t>
            </w:r>
            <w:r>
              <w:rPr>
                <w:rFonts w:ascii="Times New Roman"/>
                <w:color w:val="auto"/>
                <w:sz w:val="24"/>
                <w:szCs w:val="24"/>
              </w:rPr>
              <w:t>是一种利用沉淀和厌氧发酵的原理，去除生活污水中悬浮性有机物的处理设施，属于初级的过渡性生活处理构筑物。生活污水中含有大量粪便、纸屑、病原虫</w:t>
            </w:r>
            <w:r>
              <w:rPr>
                <w:rFonts w:hint="eastAsia" w:ascii="Times New Roman"/>
                <w:color w:val="auto"/>
                <w:sz w:val="24"/>
                <w:szCs w:val="24"/>
              </w:rPr>
              <w:t>等，</w:t>
            </w:r>
            <w:r>
              <w:rPr>
                <w:rFonts w:ascii="Times New Roman"/>
                <w:color w:val="auto"/>
                <w:sz w:val="24"/>
                <w:szCs w:val="24"/>
              </w:rPr>
              <w:t>悬浮物固体浓度为100~350mg/L，有机物浓度COD</w:t>
            </w:r>
            <w:r>
              <w:rPr>
                <w:rFonts w:ascii="Times New Roman"/>
                <w:color w:val="auto"/>
                <w:sz w:val="24"/>
                <w:szCs w:val="24"/>
                <w:vertAlign w:val="subscript"/>
              </w:rPr>
              <w:t>C</w:t>
            </w:r>
            <w:r>
              <w:rPr>
                <w:rFonts w:hint="eastAsia" w:ascii="Times New Roman"/>
                <w:color w:val="auto"/>
                <w:sz w:val="24"/>
                <w:szCs w:val="24"/>
                <w:vertAlign w:val="subscript"/>
              </w:rPr>
              <w:t>r</w:t>
            </w:r>
            <w:r>
              <w:rPr>
                <w:rFonts w:ascii="Times New Roman"/>
                <w:color w:val="auto"/>
                <w:sz w:val="24"/>
                <w:szCs w:val="24"/>
              </w:rPr>
              <w:t>在100~400mg/L之间，其中悬浮性的有机物浓度BOD</w:t>
            </w:r>
            <w:r>
              <w:rPr>
                <w:rFonts w:ascii="Times New Roman"/>
                <w:color w:val="auto"/>
                <w:sz w:val="24"/>
                <w:szCs w:val="24"/>
                <w:vertAlign w:val="subscript"/>
              </w:rPr>
              <w:t>5</w:t>
            </w:r>
            <w:r>
              <w:rPr>
                <w:rFonts w:ascii="Times New Roman"/>
                <w:color w:val="auto"/>
                <w:sz w:val="24"/>
                <w:szCs w:val="24"/>
              </w:rPr>
              <w:t>为50~200mg/L。污水进入</w:t>
            </w:r>
            <w:r>
              <w:rPr>
                <w:rFonts w:hint="eastAsia" w:ascii="Times New Roman"/>
                <w:color w:val="auto"/>
                <w:sz w:val="24"/>
                <w:szCs w:val="24"/>
              </w:rPr>
              <w:t>预处理池</w:t>
            </w:r>
            <w:r>
              <w:rPr>
                <w:rFonts w:ascii="Times New Roman"/>
                <w:color w:val="auto"/>
                <w:sz w:val="24"/>
                <w:szCs w:val="24"/>
              </w:rPr>
              <w:t>经过12~24h的沉淀，可去除50%~60%的悬浮物。</w:t>
            </w:r>
          </w:p>
          <w:p w14:paraId="6E0C20C4">
            <w:pPr>
              <w:adjustRightInd w:val="0"/>
              <w:snapToGrid w:val="0"/>
              <w:spacing w:line="360" w:lineRule="auto"/>
              <w:ind w:firstLine="482" w:firstLineChars="200"/>
              <w:rPr>
                <w:b/>
                <w:bCs/>
                <w:color w:val="auto"/>
                <w:sz w:val="24"/>
              </w:rPr>
            </w:pPr>
            <w:r>
              <w:rPr>
                <w:rFonts w:hint="eastAsia"/>
                <w:b/>
                <w:bCs/>
                <w:color w:val="auto"/>
                <w:sz w:val="24"/>
              </w:rPr>
              <w:t>（2）南江县关坝镇污水处理站依托可行性分析</w:t>
            </w:r>
          </w:p>
          <w:p w14:paraId="53C6EA3D">
            <w:pPr>
              <w:adjustRightInd w:val="0"/>
              <w:snapToGrid w:val="0"/>
              <w:spacing w:line="360" w:lineRule="auto"/>
              <w:ind w:firstLine="480" w:firstLineChars="200"/>
              <w:rPr>
                <w:color w:val="auto"/>
                <w:sz w:val="24"/>
              </w:rPr>
            </w:pPr>
            <w:r>
              <w:rPr>
                <w:rFonts w:hint="eastAsia"/>
                <w:color w:val="auto"/>
                <w:sz w:val="24"/>
              </w:rPr>
              <w:t>南江县关坝镇污水处理站</w:t>
            </w:r>
            <w:r>
              <w:rPr>
                <w:color w:val="auto"/>
                <w:sz w:val="24"/>
              </w:rPr>
              <w:t>位于南江县</w:t>
            </w:r>
            <w:r>
              <w:rPr>
                <w:rFonts w:hint="eastAsia"/>
                <w:color w:val="auto"/>
                <w:sz w:val="24"/>
              </w:rPr>
              <w:t>关坝镇袁山寺村六社，</w:t>
            </w:r>
            <w:r>
              <w:rPr>
                <w:color w:val="auto"/>
                <w:sz w:val="24"/>
              </w:rPr>
              <w:t>设计规模为</w:t>
            </w:r>
            <w:r>
              <w:rPr>
                <w:rFonts w:hint="eastAsia"/>
                <w:color w:val="auto"/>
                <w:sz w:val="24"/>
              </w:rPr>
              <w:t>50</w:t>
            </w:r>
            <w:r>
              <w:rPr>
                <w:color w:val="auto"/>
                <w:sz w:val="24"/>
              </w:rPr>
              <w:t>00m</w:t>
            </w:r>
            <w:r>
              <w:rPr>
                <w:rFonts w:hint="eastAsia"/>
                <w:color w:val="auto"/>
                <w:sz w:val="24"/>
                <w:vertAlign w:val="superscript"/>
              </w:rPr>
              <w:t>3</w:t>
            </w:r>
            <w:r>
              <w:rPr>
                <w:color w:val="auto"/>
                <w:sz w:val="24"/>
              </w:rPr>
              <w:t>/d</w:t>
            </w:r>
            <w:r>
              <w:rPr>
                <w:rFonts w:hint="eastAsia"/>
                <w:color w:val="auto"/>
                <w:sz w:val="24"/>
              </w:rPr>
              <w:t>，于2021年4月建成污水处理站一处，并投入使用，主要服务于关坝集镇沿线居民的生活污水收集处理，本项目所在区域已建设排污干管，关坝镇收纳采用“格栅+调节+MBBR+改良A</w:t>
            </w:r>
            <w:r>
              <w:rPr>
                <w:rFonts w:hint="eastAsia"/>
                <w:color w:val="auto"/>
                <w:sz w:val="24"/>
                <w:vertAlign w:val="superscript"/>
              </w:rPr>
              <w:t>2</w:t>
            </w:r>
            <w:r>
              <w:rPr>
                <w:rFonts w:hint="eastAsia"/>
                <w:color w:val="auto"/>
                <w:sz w:val="24"/>
              </w:rPr>
              <w:t>O”工艺。出水水质稳定达到《城镇污水处理厂污染物排放标准》（GB18918-2002）中的一级A标准后排入南江河。该项目于2021年7月1日取得《排污许可证》（91511922MA62D0BU6Y003Q），目前污水处理厂正常运行，未发生环境污染事件，未收到环保投诉。</w:t>
            </w:r>
          </w:p>
          <w:p w14:paraId="3BE348D9">
            <w:pPr>
              <w:adjustRightInd w:val="0"/>
              <w:snapToGrid w:val="0"/>
              <w:spacing w:line="360" w:lineRule="auto"/>
              <w:ind w:firstLine="480" w:firstLineChars="200"/>
              <w:rPr>
                <w:rFonts w:hint="eastAsia" w:eastAsia="宋体"/>
                <w:color w:val="auto"/>
                <w:sz w:val="24"/>
                <w:lang w:eastAsia="zh-CN"/>
              </w:rPr>
            </w:pPr>
            <w:r>
              <w:rPr>
                <w:rFonts w:hint="eastAsia"/>
                <w:color w:val="auto"/>
                <w:sz w:val="24"/>
              </w:rPr>
              <w:t>南江县关坝镇污水处理站</w:t>
            </w:r>
            <w:r>
              <w:rPr>
                <w:color w:val="auto"/>
                <w:sz w:val="24"/>
              </w:rPr>
              <w:t>处理规模为</w:t>
            </w:r>
            <w:r>
              <w:rPr>
                <w:rFonts w:hint="eastAsia"/>
                <w:color w:val="auto"/>
                <w:sz w:val="24"/>
              </w:rPr>
              <w:t>5000</w:t>
            </w:r>
            <w:r>
              <w:rPr>
                <w:color w:val="auto"/>
                <w:sz w:val="24"/>
              </w:rPr>
              <w:t>m</w:t>
            </w:r>
            <w:r>
              <w:rPr>
                <w:color w:val="auto"/>
                <w:sz w:val="24"/>
                <w:vertAlign w:val="superscript"/>
              </w:rPr>
              <w:t>3</w:t>
            </w:r>
            <w:r>
              <w:rPr>
                <w:color w:val="auto"/>
                <w:sz w:val="24"/>
              </w:rPr>
              <w:t>/d，已正式投入运行，未出现</w:t>
            </w:r>
            <w:r>
              <w:rPr>
                <w:rFonts w:hint="eastAsia"/>
                <w:color w:val="auto"/>
                <w:sz w:val="24"/>
              </w:rPr>
              <w:t>超</w:t>
            </w:r>
            <w:r>
              <w:rPr>
                <w:color w:val="auto"/>
                <w:sz w:val="24"/>
              </w:rPr>
              <w:t>负荷运行</w:t>
            </w:r>
            <w:r>
              <w:rPr>
                <w:rFonts w:hint="eastAsia"/>
                <w:color w:val="auto"/>
                <w:sz w:val="24"/>
              </w:rPr>
              <w:t>，日常负荷约为50%，具有一定污水处理容量。</w:t>
            </w:r>
            <w:r>
              <w:rPr>
                <w:color w:val="auto"/>
                <w:sz w:val="24"/>
              </w:rPr>
              <w:t>本项目外排废水总量为</w:t>
            </w:r>
            <w:r>
              <w:rPr>
                <w:rFonts w:hint="eastAsia"/>
                <w:color w:val="auto"/>
                <w:sz w:val="24"/>
                <w:lang w:val="en-US" w:eastAsia="zh-CN"/>
              </w:rPr>
              <w:t>68</w:t>
            </w:r>
            <w:r>
              <w:rPr>
                <w:color w:val="auto"/>
                <w:sz w:val="24"/>
              </w:rPr>
              <w:t>m</w:t>
            </w:r>
            <w:r>
              <w:rPr>
                <w:color w:val="auto"/>
                <w:sz w:val="24"/>
                <w:vertAlign w:val="superscript"/>
              </w:rPr>
              <w:t>3</w:t>
            </w:r>
            <w:r>
              <w:rPr>
                <w:color w:val="auto"/>
                <w:sz w:val="24"/>
              </w:rPr>
              <w:t>/d</w:t>
            </w:r>
            <w:r>
              <w:rPr>
                <w:rFonts w:hint="eastAsia"/>
                <w:color w:val="auto"/>
                <w:sz w:val="24"/>
              </w:rPr>
              <w:t>，项目废水量在南江县关坝镇污水处理站可接纳处理容量范围内。本项目所在区域属于关坝镇污水处理站接纳范围，区域污水干管已建成，项目污水经处理达《污水综合排放标准》（GB8978-1996）三级标准后可进入市政管网，排入南江县污水处理站处理。</w:t>
            </w:r>
            <w:r>
              <w:rPr>
                <w:rFonts w:hint="eastAsia"/>
                <w:color w:val="auto"/>
                <w:sz w:val="24"/>
                <w:lang w:eastAsia="zh-CN"/>
              </w:rPr>
              <w:t>同时根据地质公园管理要求：</w:t>
            </w:r>
            <w:r>
              <w:rPr>
                <w:color w:val="auto"/>
                <w:sz w:val="24"/>
              </w:rPr>
              <w:t>园区的旅游服务设施所排放污水，逐步使用生物接触氧化法污水处理，E/F&amp;P污水处理及SBR间歇式活性污泥法废水处理技术及设备</w:t>
            </w:r>
            <w:r>
              <w:rPr>
                <w:rFonts w:hint="eastAsia"/>
                <w:color w:val="auto"/>
                <w:sz w:val="24"/>
                <w:lang w:eastAsia="zh-CN"/>
              </w:rPr>
              <w:t>。关坝镇污水处理站</w:t>
            </w:r>
            <w:r>
              <w:rPr>
                <w:rFonts w:hint="eastAsia"/>
                <w:color w:val="auto"/>
                <w:sz w:val="24"/>
              </w:rPr>
              <w:t>处理工艺</w:t>
            </w:r>
            <w:r>
              <w:rPr>
                <w:rFonts w:hint="eastAsia"/>
                <w:color w:val="auto"/>
                <w:sz w:val="24"/>
                <w:lang w:eastAsia="zh-CN"/>
              </w:rPr>
              <w:t>为</w:t>
            </w:r>
            <w:r>
              <w:rPr>
                <w:rFonts w:hint="eastAsia"/>
                <w:color w:val="auto"/>
                <w:sz w:val="24"/>
              </w:rPr>
              <w:t>格栅+调节+MBBR+改良A</w:t>
            </w:r>
            <w:r>
              <w:rPr>
                <w:rFonts w:hint="eastAsia"/>
                <w:color w:val="auto"/>
                <w:sz w:val="24"/>
                <w:vertAlign w:val="superscript"/>
              </w:rPr>
              <w:t>2</w:t>
            </w:r>
            <w:r>
              <w:rPr>
                <w:rFonts w:hint="eastAsia"/>
                <w:color w:val="auto"/>
                <w:sz w:val="24"/>
              </w:rPr>
              <w:t>O</w:t>
            </w:r>
            <w:r>
              <w:rPr>
                <w:rFonts w:hint="eastAsia"/>
                <w:color w:val="auto"/>
                <w:sz w:val="24"/>
                <w:lang w:eastAsia="zh-CN"/>
              </w:rPr>
              <w:t>，属于生物氧化接触法与活性污泥相结合处理技术，与地质公园要求相符。</w:t>
            </w:r>
          </w:p>
          <w:p w14:paraId="2517B871">
            <w:pPr>
              <w:adjustRightInd w:val="0"/>
              <w:snapToGrid w:val="0"/>
              <w:spacing w:line="360" w:lineRule="auto"/>
              <w:ind w:firstLine="480" w:firstLineChars="200"/>
              <w:rPr>
                <w:color w:val="auto"/>
                <w:sz w:val="24"/>
                <w:highlight w:val="yellow"/>
              </w:rPr>
            </w:pPr>
            <w:r>
              <w:rPr>
                <w:color w:val="auto"/>
                <w:sz w:val="24"/>
              </w:rPr>
              <w:t>因此，本项目生活污水进入</w:t>
            </w:r>
            <w:r>
              <w:rPr>
                <w:rFonts w:hint="eastAsia"/>
                <w:color w:val="auto"/>
                <w:sz w:val="24"/>
              </w:rPr>
              <w:t>南江县关坝镇污水处理站</w:t>
            </w:r>
            <w:r>
              <w:rPr>
                <w:color w:val="auto"/>
                <w:sz w:val="24"/>
              </w:rPr>
              <w:t>处理是可行性的。</w:t>
            </w:r>
          </w:p>
          <w:p w14:paraId="2D02FC80">
            <w:pPr>
              <w:snapToGrid w:val="0"/>
              <w:spacing w:line="360" w:lineRule="auto"/>
              <w:ind w:firstLine="482" w:firstLineChars="200"/>
              <w:rPr>
                <w:b/>
                <w:bCs/>
                <w:color w:val="auto"/>
                <w:sz w:val="24"/>
                <w:szCs w:val="32"/>
              </w:rPr>
            </w:pPr>
            <w:r>
              <w:rPr>
                <w:rFonts w:hint="eastAsia"/>
                <w:b/>
                <w:bCs/>
                <w:color w:val="auto"/>
                <w:sz w:val="24"/>
                <w:szCs w:val="32"/>
              </w:rPr>
              <w:t>废水管理要求：</w:t>
            </w:r>
          </w:p>
          <w:p w14:paraId="0BAA3963">
            <w:pPr>
              <w:snapToGrid w:val="0"/>
              <w:spacing w:line="360" w:lineRule="auto"/>
              <w:ind w:firstLine="480" w:firstLineChars="200"/>
              <w:rPr>
                <w:color w:val="auto"/>
                <w:sz w:val="24"/>
                <w:szCs w:val="32"/>
              </w:rPr>
            </w:pPr>
            <w:r>
              <w:rPr>
                <w:rFonts w:hint="eastAsia"/>
                <w:color w:val="auto"/>
                <w:sz w:val="24"/>
                <w:szCs w:val="32"/>
              </w:rPr>
              <w:t>1.设置专人进行预处理池管理，定期检修、查看有无破损、泄露迹象，并及时修复。</w:t>
            </w:r>
          </w:p>
          <w:p w14:paraId="09ED2F2F">
            <w:pPr>
              <w:snapToGrid w:val="0"/>
              <w:spacing w:line="360" w:lineRule="auto"/>
              <w:ind w:firstLine="480" w:firstLineChars="200"/>
              <w:rPr>
                <w:color w:val="auto"/>
                <w:sz w:val="24"/>
                <w:szCs w:val="32"/>
              </w:rPr>
            </w:pPr>
            <w:r>
              <w:rPr>
                <w:rFonts w:hint="eastAsia"/>
                <w:color w:val="auto"/>
                <w:sz w:val="24"/>
                <w:szCs w:val="32"/>
              </w:rPr>
              <w:t>2.禁止私自倾倒、泄放、漏失污水，不得将废水直排进入地表水体。</w:t>
            </w:r>
          </w:p>
          <w:p w14:paraId="39F1F0A2">
            <w:pPr>
              <w:snapToGrid w:val="0"/>
              <w:spacing w:line="360" w:lineRule="auto"/>
              <w:ind w:firstLine="482" w:firstLineChars="200"/>
              <w:rPr>
                <w:b/>
                <w:bCs/>
                <w:color w:val="auto"/>
                <w:sz w:val="24"/>
                <w:szCs w:val="32"/>
              </w:rPr>
            </w:pPr>
            <w:r>
              <w:rPr>
                <w:rFonts w:hint="eastAsia"/>
                <w:b/>
                <w:bCs/>
                <w:color w:val="auto"/>
                <w:sz w:val="24"/>
                <w:szCs w:val="32"/>
              </w:rPr>
              <w:t>三</w:t>
            </w:r>
            <w:r>
              <w:rPr>
                <w:b/>
                <w:bCs/>
                <w:color w:val="auto"/>
                <w:sz w:val="24"/>
                <w:szCs w:val="32"/>
              </w:rPr>
              <w:t>、</w:t>
            </w:r>
            <w:r>
              <w:rPr>
                <w:rFonts w:hint="eastAsia"/>
                <w:b/>
                <w:bCs/>
                <w:color w:val="auto"/>
                <w:sz w:val="24"/>
                <w:szCs w:val="32"/>
              </w:rPr>
              <w:t>地下水</w:t>
            </w:r>
          </w:p>
          <w:p w14:paraId="7A4690A7">
            <w:pPr>
              <w:widowControl/>
              <w:adjustRightInd w:val="0"/>
              <w:snapToGrid w:val="0"/>
              <w:spacing w:line="360" w:lineRule="auto"/>
              <w:ind w:firstLine="480" w:firstLineChars="200"/>
              <w:rPr>
                <w:color w:val="auto"/>
                <w:sz w:val="24"/>
              </w:rPr>
            </w:pPr>
            <w:r>
              <w:rPr>
                <w:rFonts w:hint="eastAsia"/>
                <w:color w:val="auto"/>
                <w:sz w:val="24"/>
              </w:rPr>
              <w:t>（1）</w:t>
            </w:r>
            <w:r>
              <w:rPr>
                <w:color w:val="auto"/>
                <w:sz w:val="24"/>
              </w:rPr>
              <w:t>源头防控措施</w:t>
            </w:r>
          </w:p>
          <w:p w14:paraId="312B13CF">
            <w:pPr>
              <w:widowControl/>
              <w:adjustRightInd w:val="0"/>
              <w:snapToGrid w:val="0"/>
              <w:spacing w:line="360" w:lineRule="auto"/>
              <w:ind w:firstLine="480" w:firstLineChars="200"/>
              <w:rPr>
                <w:color w:val="auto"/>
                <w:sz w:val="24"/>
              </w:rPr>
            </w:pPr>
            <w:r>
              <w:rPr>
                <w:color w:val="auto"/>
                <w:sz w:val="24"/>
              </w:rPr>
              <w:t>项目应根据国家现行相关规范加强环境管理，采取防止和降低污染物跑、冒、滴、漏的措施。正常运营过程中应加强控制及处理跑、冒、滴、漏，同时应加强对防渗工程的检查，若发现防渗密封材料老化或损坏，应及时维修更换。</w:t>
            </w:r>
          </w:p>
          <w:p w14:paraId="44E3A14C">
            <w:pPr>
              <w:widowControl/>
              <w:adjustRightInd w:val="0"/>
              <w:snapToGrid w:val="0"/>
              <w:spacing w:line="360" w:lineRule="auto"/>
              <w:ind w:firstLine="480" w:firstLineChars="200"/>
              <w:rPr>
                <w:color w:val="auto"/>
                <w:sz w:val="24"/>
              </w:rPr>
            </w:pPr>
            <w:r>
              <w:rPr>
                <w:rFonts w:hint="eastAsia"/>
                <w:color w:val="auto"/>
                <w:sz w:val="24"/>
              </w:rPr>
              <w:t>（2）</w:t>
            </w:r>
            <w:r>
              <w:rPr>
                <w:color w:val="auto"/>
                <w:sz w:val="24"/>
              </w:rPr>
              <w:t>分区防治措施</w:t>
            </w:r>
          </w:p>
          <w:p w14:paraId="21A45A94">
            <w:pPr>
              <w:widowControl/>
              <w:adjustRightInd w:val="0"/>
              <w:snapToGrid w:val="0"/>
              <w:spacing w:line="360" w:lineRule="auto"/>
              <w:ind w:firstLine="480" w:firstLineChars="200"/>
              <w:rPr>
                <w:color w:val="auto"/>
                <w:sz w:val="24"/>
              </w:rPr>
            </w:pPr>
            <w:r>
              <w:rPr>
                <w:color w:val="auto"/>
                <w:sz w:val="24"/>
              </w:rPr>
              <w:t>环评要求建设单位将本项目按各功能单元所处的位置划分为</w:t>
            </w:r>
            <w:r>
              <w:rPr>
                <w:rFonts w:hint="eastAsia"/>
                <w:color w:val="auto"/>
                <w:sz w:val="24"/>
              </w:rPr>
              <w:t>重点防渗区、</w:t>
            </w:r>
            <w:r>
              <w:rPr>
                <w:color w:val="auto"/>
                <w:sz w:val="24"/>
              </w:rPr>
              <w:t>一般防渗区以及简单防渗区。</w:t>
            </w:r>
          </w:p>
          <w:p w14:paraId="01C60774">
            <w:pPr>
              <w:adjustRightInd w:val="0"/>
              <w:snapToGrid w:val="0"/>
              <w:spacing w:line="360" w:lineRule="auto"/>
              <w:ind w:firstLine="480" w:firstLineChars="200"/>
              <w:rPr>
                <w:color w:val="auto"/>
                <w:sz w:val="24"/>
              </w:rPr>
            </w:pPr>
            <w:r>
              <w:rPr>
                <w:color w:val="auto"/>
                <w:sz w:val="24"/>
              </w:rPr>
              <w:t>防渗措施</w:t>
            </w:r>
            <w:r>
              <w:rPr>
                <w:rFonts w:hint="eastAsia"/>
                <w:color w:val="auto"/>
                <w:sz w:val="24"/>
              </w:rPr>
              <w:t>：</w:t>
            </w:r>
          </w:p>
          <w:p w14:paraId="1A482B54">
            <w:pPr>
              <w:adjustRightInd w:val="0"/>
              <w:snapToGrid w:val="0"/>
              <w:spacing w:line="360" w:lineRule="auto"/>
              <w:ind w:firstLine="480" w:firstLineChars="200"/>
              <w:rPr>
                <w:color w:val="auto"/>
                <w:sz w:val="24"/>
              </w:rPr>
            </w:pPr>
            <w:r>
              <w:rPr>
                <w:rFonts w:hint="eastAsia"/>
                <w:color w:val="auto"/>
                <w:sz w:val="24"/>
              </w:rPr>
              <w:t>重点防渗区：负一层停车场</w:t>
            </w:r>
            <w:r>
              <w:rPr>
                <w:rFonts w:hint="eastAsia"/>
                <w:color w:val="auto"/>
                <w:sz w:val="24"/>
                <w:lang w:eastAsia="zh-CN"/>
              </w:rPr>
              <w:t>，采用防渗混凝土</w:t>
            </w:r>
            <w:r>
              <w:rPr>
                <w:rFonts w:hint="eastAsia"/>
                <w:color w:val="auto"/>
                <w:sz w:val="24"/>
                <w:lang w:val="en-US" w:eastAsia="zh-CN"/>
              </w:rPr>
              <w:t>+2mm厚防渗材料（HPDE膜或环氧树脂漆）进行防</w:t>
            </w:r>
            <w:r>
              <w:rPr>
                <w:rFonts w:hint="eastAsia"/>
                <w:color w:val="auto"/>
                <w:sz w:val="24"/>
                <w:szCs w:val="24"/>
                <w:lang w:val="en-US" w:eastAsia="zh-CN"/>
              </w:rPr>
              <w:t>渗，满足</w:t>
            </w:r>
            <w:r>
              <w:rPr>
                <w:rFonts w:hint="default" w:ascii="Times New Roman" w:hAnsi="Times New Roman" w:cs="Times New Roman"/>
                <w:color w:val="auto"/>
                <w:kern w:val="0"/>
                <w:sz w:val="24"/>
                <w:szCs w:val="24"/>
              </w:rPr>
              <w:t>等效粘土防渗层Mb≥6.0m，渗透系数为≤10</w:t>
            </w:r>
            <w:r>
              <w:rPr>
                <w:rFonts w:hint="default" w:ascii="Times New Roman" w:hAnsi="Times New Roman" w:cs="Times New Roman"/>
                <w:color w:val="auto"/>
                <w:kern w:val="0"/>
                <w:sz w:val="24"/>
                <w:szCs w:val="24"/>
                <w:vertAlign w:val="superscript"/>
              </w:rPr>
              <w:t>-7</w:t>
            </w:r>
            <w:r>
              <w:rPr>
                <w:rFonts w:hint="default" w:ascii="Times New Roman" w:hAnsi="Times New Roman" w:cs="Times New Roman"/>
                <w:color w:val="auto"/>
                <w:kern w:val="0"/>
                <w:sz w:val="24"/>
                <w:szCs w:val="24"/>
              </w:rPr>
              <w:t>cm/s</w:t>
            </w:r>
            <w:r>
              <w:rPr>
                <w:rFonts w:hint="eastAsia"/>
                <w:color w:val="auto"/>
                <w:sz w:val="24"/>
                <w:szCs w:val="24"/>
              </w:rPr>
              <w:t>。</w:t>
            </w:r>
          </w:p>
          <w:p w14:paraId="3DF718C8">
            <w:pPr>
              <w:adjustRightInd w:val="0"/>
              <w:snapToGrid w:val="0"/>
              <w:spacing w:line="360" w:lineRule="auto"/>
              <w:ind w:firstLine="480" w:firstLineChars="200"/>
              <w:rPr>
                <w:color w:val="auto"/>
                <w:sz w:val="24"/>
              </w:rPr>
            </w:pPr>
            <w:r>
              <w:rPr>
                <w:color w:val="auto"/>
                <w:sz w:val="24"/>
              </w:rPr>
              <w:t>一般防渗区：预处理池</w:t>
            </w:r>
            <w:r>
              <w:rPr>
                <w:rFonts w:hint="eastAsia"/>
                <w:color w:val="auto"/>
                <w:sz w:val="24"/>
                <w:lang w:eastAsia="zh-CN"/>
              </w:rPr>
              <w:t>，采用碳钢</w:t>
            </w:r>
            <w:r>
              <w:rPr>
                <w:rFonts w:hint="eastAsia"/>
                <w:color w:val="auto"/>
                <w:sz w:val="24"/>
                <w:lang w:val="en-US" w:eastAsia="zh-CN"/>
              </w:rPr>
              <w:t>+防腐涂料</w:t>
            </w:r>
            <w:r>
              <w:rPr>
                <w:color w:val="auto"/>
                <w:sz w:val="24"/>
              </w:rPr>
              <w:t>。</w:t>
            </w:r>
          </w:p>
          <w:p w14:paraId="7E5719AE">
            <w:pPr>
              <w:snapToGrid w:val="0"/>
              <w:spacing w:line="360" w:lineRule="auto"/>
              <w:ind w:firstLine="480" w:firstLineChars="200"/>
              <w:rPr>
                <w:b/>
                <w:bCs/>
                <w:color w:val="auto"/>
                <w:sz w:val="24"/>
                <w:szCs w:val="32"/>
              </w:rPr>
            </w:pPr>
            <w:r>
              <w:rPr>
                <w:color w:val="auto"/>
                <w:sz w:val="24"/>
              </w:rPr>
              <w:t>简单防渗区：其余区域采用一般地面硬化。</w:t>
            </w:r>
          </w:p>
          <w:p w14:paraId="47735EC1">
            <w:pPr>
              <w:snapToGrid w:val="0"/>
              <w:spacing w:line="360" w:lineRule="auto"/>
              <w:ind w:firstLine="480" w:firstLineChars="200"/>
              <w:rPr>
                <w:b/>
                <w:bCs/>
                <w:color w:val="auto"/>
                <w:sz w:val="24"/>
                <w:szCs w:val="32"/>
              </w:rPr>
            </w:pPr>
            <w:r>
              <w:rPr>
                <w:color w:val="auto"/>
                <w:sz w:val="24"/>
              </w:rPr>
              <w:t>综上所述，在采取上述防渗、防腐措施后，项目对地下水基本不会造成明显影响。</w:t>
            </w:r>
          </w:p>
          <w:p w14:paraId="2741A888">
            <w:pPr>
              <w:snapToGrid w:val="0"/>
              <w:spacing w:line="360" w:lineRule="auto"/>
              <w:ind w:firstLine="482" w:firstLineChars="200"/>
              <w:rPr>
                <w:b/>
                <w:bCs/>
                <w:color w:val="auto"/>
                <w:sz w:val="24"/>
                <w:szCs w:val="32"/>
              </w:rPr>
            </w:pPr>
            <w:r>
              <w:rPr>
                <w:rFonts w:hint="eastAsia"/>
                <w:b/>
                <w:bCs/>
                <w:color w:val="auto"/>
                <w:sz w:val="24"/>
                <w:szCs w:val="32"/>
              </w:rPr>
              <w:t>四、</w:t>
            </w:r>
            <w:r>
              <w:rPr>
                <w:b/>
                <w:bCs/>
                <w:color w:val="auto"/>
                <w:sz w:val="24"/>
                <w:szCs w:val="32"/>
              </w:rPr>
              <w:t>废气</w:t>
            </w:r>
          </w:p>
          <w:p w14:paraId="6099D4D2">
            <w:pPr>
              <w:snapToGrid w:val="0"/>
              <w:spacing w:line="360" w:lineRule="auto"/>
              <w:ind w:firstLine="482" w:firstLineChars="200"/>
              <w:rPr>
                <w:color w:val="auto"/>
                <w:sz w:val="24"/>
                <w:shd w:val="clear" w:color="auto" w:fill="FFFFFF"/>
              </w:rPr>
            </w:pPr>
            <w:r>
              <w:rPr>
                <w:b/>
                <w:color w:val="auto"/>
                <w:sz w:val="24"/>
              </w:rPr>
              <w:t>油烟：</w:t>
            </w:r>
            <w:r>
              <w:rPr>
                <w:color w:val="auto"/>
                <w:sz w:val="24"/>
              </w:rPr>
              <w:t>项目每栋住宅设置</w:t>
            </w:r>
            <w:r>
              <w:rPr>
                <w:rFonts w:eastAsia="serif"/>
                <w:color w:val="auto"/>
                <w:sz w:val="24"/>
                <w:shd w:val="clear" w:color="auto" w:fill="FFFFFF"/>
              </w:rPr>
              <w:t>专用居民油烟排烟竖井</w:t>
            </w:r>
            <w:r>
              <w:rPr>
                <w:rFonts w:hint="eastAsia" w:eastAsia="宋体"/>
                <w:color w:val="auto"/>
                <w:sz w:val="24"/>
                <w:shd w:val="clear" w:color="auto" w:fill="FFFFFF"/>
                <w:lang w:eastAsia="zh-CN"/>
              </w:rPr>
              <w:t>，</w:t>
            </w:r>
            <w:r>
              <w:rPr>
                <w:rFonts w:hint="eastAsia" w:eastAsia="宋体"/>
                <w:color w:val="auto"/>
                <w:sz w:val="24"/>
                <w:shd w:val="clear" w:color="auto" w:fill="FFFFFF"/>
                <w:lang w:val="en-US" w:eastAsia="zh-CN"/>
              </w:rPr>
              <w:t>居民自行安装油烟净化器收集处理油烟，处理后经专用烟道排放</w:t>
            </w:r>
            <w:r>
              <w:rPr>
                <w:rFonts w:hint="eastAsia"/>
                <w:color w:val="auto"/>
                <w:sz w:val="24"/>
                <w:shd w:val="clear" w:color="auto" w:fill="FFFFFF"/>
                <w:lang w:val="en-US" w:eastAsia="zh-CN"/>
              </w:rPr>
              <w:t>。</w:t>
            </w:r>
          </w:p>
          <w:p w14:paraId="0E851EC0">
            <w:pPr>
              <w:snapToGrid w:val="0"/>
              <w:spacing w:line="360" w:lineRule="auto"/>
              <w:ind w:firstLine="482" w:firstLineChars="200"/>
              <w:rPr>
                <w:color w:val="auto"/>
                <w:sz w:val="24"/>
              </w:rPr>
            </w:pPr>
            <w:r>
              <w:rPr>
                <w:b/>
                <w:bCs/>
                <w:color w:val="auto"/>
                <w:sz w:val="24"/>
              </w:rPr>
              <w:t>柴油发电机废气：</w:t>
            </w:r>
            <w:r>
              <w:rPr>
                <w:color w:val="auto"/>
                <w:sz w:val="24"/>
              </w:rPr>
              <w:t>柴油发电机设有独立的排风系统，自然补风。发电机采用0#柴油作为燃料，燃烧尾气经自带消烟除尘处理后，经排风系统收集由通风管道引至屋顶排烟口达标排放。</w:t>
            </w:r>
          </w:p>
          <w:p w14:paraId="1EB13252">
            <w:pPr>
              <w:snapToGrid w:val="0"/>
              <w:spacing w:line="360" w:lineRule="auto"/>
              <w:ind w:firstLine="482" w:firstLineChars="200"/>
              <w:rPr>
                <w:color w:val="auto"/>
                <w:sz w:val="24"/>
                <w:szCs w:val="32"/>
              </w:rPr>
            </w:pPr>
            <w:r>
              <w:rPr>
                <w:b/>
                <w:bCs/>
                <w:color w:val="auto"/>
                <w:sz w:val="24"/>
              </w:rPr>
              <w:t>汽车尾气：</w:t>
            </w:r>
            <w:r>
              <w:rPr>
                <w:color w:val="auto"/>
                <w:sz w:val="24"/>
              </w:rPr>
              <w:t>区域内项目车辆发动时间短且处于开阔环境，尾气产生后能够很快扩散，不会对区域大气造成不良影响。</w:t>
            </w:r>
          </w:p>
          <w:p w14:paraId="073EA914">
            <w:pPr>
              <w:snapToGrid w:val="0"/>
              <w:spacing w:line="360" w:lineRule="auto"/>
              <w:ind w:firstLine="482" w:firstLineChars="200"/>
              <w:rPr>
                <w:b/>
                <w:color w:val="auto"/>
                <w:sz w:val="24"/>
              </w:rPr>
            </w:pPr>
            <w:r>
              <w:rPr>
                <w:rFonts w:hint="eastAsia"/>
                <w:b/>
                <w:color w:val="auto"/>
                <w:sz w:val="24"/>
              </w:rPr>
              <w:t>五</w:t>
            </w:r>
            <w:r>
              <w:rPr>
                <w:b/>
                <w:color w:val="auto"/>
                <w:sz w:val="24"/>
              </w:rPr>
              <w:t>、噪声</w:t>
            </w:r>
          </w:p>
          <w:p w14:paraId="33C467F8">
            <w:pPr>
              <w:adjustRightInd w:val="0"/>
              <w:snapToGrid w:val="0"/>
              <w:spacing w:line="360" w:lineRule="auto"/>
              <w:ind w:firstLine="482" w:firstLineChars="200"/>
              <w:rPr>
                <w:bCs/>
                <w:color w:val="auto"/>
                <w:sz w:val="24"/>
              </w:rPr>
            </w:pPr>
            <w:r>
              <w:rPr>
                <w:rFonts w:hint="eastAsia"/>
                <w:b/>
                <w:bCs/>
                <w:color w:val="auto"/>
                <w:sz w:val="24"/>
                <w:szCs w:val="32"/>
              </w:rPr>
              <w:t>设备噪声源：</w:t>
            </w:r>
            <w:r>
              <w:rPr>
                <w:rFonts w:hint="eastAsia"/>
                <w:color w:val="auto"/>
                <w:sz w:val="24"/>
                <w:szCs w:val="32"/>
              </w:rPr>
              <w:t>本项目所有水泵机组设置橡胶隔振垫或减震器等，泵进、出水管设可曲绕橡胶接头、起到隔振、消声作用；通风系统风机均选用低噪音型，进出口采用柔性连接，并设消声器、软接头隔振消声，风机房设隔声密闭门。水泵房、电机房等房间的墙面、天棚采用矿棉隔音。</w:t>
            </w:r>
          </w:p>
          <w:p w14:paraId="6D8E4651">
            <w:pPr>
              <w:adjustRightInd w:val="0"/>
              <w:snapToGrid w:val="0"/>
              <w:spacing w:line="360" w:lineRule="auto"/>
              <w:ind w:firstLine="482" w:firstLineChars="200"/>
              <w:rPr>
                <w:bCs/>
                <w:color w:val="auto"/>
                <w:sz w:val="24"/>
              </w:rPr>
            </w:pPr>
            <w:r>
              <w:rPr>
                <w:rFonts w:hint="eastAsia"/>
                <w:b/>
                <w:color w:val="auto"/>
                <w:sz w:val="24"/>
              </w:rPr>
              <w:t>生活噪声源：</w:t>
            </w:r>
            <w:r>
              <w:rPr>
                <w:bCs/>
                <w:color w:val="auto"/>
                <w:sz w:val="24"/>
              </w:rPr>
              <w:t>管理单位</w:t>
            </w:r>
            <w:r>
              <w:rPr>
                <w:rFonts w:hint="eastAsia"/>
                <w:bCs/>
                <w:color w:val="auto"/>
                <w:sz w:val="24"/>
              </w:rPr>
              <w:t>经</w:t>
            </w:r>
            <w:r>
              <w:rPr>
                <w:bCs/>
                <w:color w:val="auto"/>
                <w:sz w:val="24"/>
              </w:rPr>
              <w:t>制定完善的噪声管理制度，区内禁止大声喧哗，杜绝人为噪声对周边敏感点产生影响</w:t>
            </w:r>
            <w:r>
              <w:rPr>
                <w:rFonts w:hint="eastAsia"/>
                <w:bCs/>
                <w:color w:val="auto"/>
                <w:sz w:val="24"/>
              </w:rPr>
              <w:t>。</w:t>
            </w:r>
          </w:p>
          <w:p w14:paraId="779AE3BE">
            <w:pPr>
              <w:adjustRightInd w:val="0"/>
              <w:snapToGrid w:val="0"/>
              <w:spacing w:line="360" w:lineRule="auto"/>
              <w:ind w:firstLine="482" w:firstLineChars="200"/>
              <w:rPr>
                <w:bCs/>
                <w:color w:val="auto"/>
                <w:sz w:val="24"/>
              </w:rPr>
            </w:pPr>
            <w:r>
              <w:rPr>
                <w:rFonts w:hint="eastAsia"/>
                <w:b/>
                <w:color w:val="auto"/>
                <w:sz w:val="24"/>
              </w:rPr>
              <w:t>汽车运行噪声源：</w:t>
            </w:r>
            <w:r>
              <w:rPr>
                <w:bCs/>
                <w:color w:val="auto"/>
                <w:sz w:val="24"/>
              </w:rPr>
              <w:t>加强管理，禁止鸣喇叭，尽量减少机动车频繁启动和怠速，规范停车场的秩序，</w:t>
            </w:r>
            <w:r>
              <w:rPr>
                <w:rFonts w:hint="eastAsia"/>
                <w:bCs/>
                <w:color w:val="auto"/>
                <w:sz w:val="24"/>
              </w:rPr>
              <w:t>场地内种植</w:t>
            </w:r>
            <w:r>
              <w:rPr>
                <w:bCs/>
                <w:color w:val="auto"/>
                <w:sz w:val="24"/>
              </w:rPr>
              <w:t>绿化</w:t>
            </w:r>
            <w:r>
              <w:rPr>
                <w:rFonts w:hint="eastAsia"/>
                <w:bCs/>
                <w:color w:val="auto"/>
                <w:sz w:val="24"/>
              </w:rPr>
              <w:t>降噪。</w:t>
            </w:r>
          </w:p>
          <w:p w14:paraId="27C8BADE">
            <w:pPr>
              <w:adjustRightInd w:val="0"/>
              <w:snapToGrid w:val="0"/>
              <w:spacing w:line="360" w:lineRule="auto"/>
              <w:ind w:firstLine="480" w:firstLineChars="200"/>
              <w:rPr>
                <w:rFonts w:hint="eastAsia"/>
                <w:bCs/>
                <w:color w:val="auto"/>
                <w:sz w:val="24"/>
                <w:lang w:eastAsia="zh-CN"/>
              </w:rPr>
            </w:pPr>
            <w:r>
              <w:rPr>
                <w:rFonts w:hint="eastAsia"/>
                <w:bCs/>
                <w:color w:val="auto"/>
                <w:sz w:val="24"/>
                <w:lang w:eastAsia="zh-CN"/>
              </w:rPr>
              <w:t>根据地质公园管理要求：项目还需</w:t>
            </w:r>
            <w:r>
              <w:rPr>
                <w:color w:val="auto"/>
                <w:sz w:val="24"/>
              </w:rPr>
              <w:t>加强</w:t>
            </w:r>
            <w:r>
              <w:rPr>
                <w:rFonts w:hint="eastAsia"/>
                <w:color w:val="auto"/>
                <w:sz w:val="24"/>
                <w:lang w:eastAsia="zh-CN"/>
              </w:rPr>
              <w:t>交通、</w:t>
            </w:r>
            <w:r>
              <w:rPr>
                <w:color w:val="auto"/>
                <w:sz w:val="24"/>
              </w:rPr>
              <w:t>娱乐产生的噪声源的管理。</w:t>
            </w:r>
          </w:p>
          <w:p w14:paraId="1DC1805E">
            <w:pPr>
              <w:adjustRightInd w:val="0"/>
              <w:snapToGrid w:val="0"/>
              <w:spacing w:line="360" w:lineRule="auto"/>
              <w:ind w:firstLine="480" w:firstLineChars="200"/>
              <w:rPr>
                <w:rFonts w:hint="eastAsia" w:eastAsia="宋体"/>
                <w:bCs/>
                <w:color w:val="auto"/>
                <w:sz w:val="24"/>
                <w:lang w:eastAsia="zh-CN"/>
              </w:rPr>
            </w:pPr>
            <w:r>
              <w:rPr>
                <w:rFonts w:hint="eastAsia"/>
                <w:bCs/>
                <w:color w:val="auto"/>
                <w:sz w:val="24"/>
              </w:rPr>
              <w:t>本项目运营期噪声可做到满足《社会生活环境噪声排放标准》（GB 22337—2008）中2类标准排放限值达标排放</w:t>
            </w:r>
            <w:r>
              <w:rPr>
                <w:bCs/>
                <w:color w:val="auto"/>
                <w:sz w:val="24"/>
              </w:rPr>
              <w:t>。</w:t>
            </w:r>
          </w:p>
          <w:p w14:paraId="02D203AB">
            <w:pPr>
              <w:snapToGrid w:val="0"/>
              <w:spacing w:line="360" w:lineRule="auto"/>
              <w:ind w:firstLine="482" w:firstLineChars="200"/>
              <w:rPr>
                <w:b/>
                <w:color w:val="auto"/>
                <w:sz w:val="24"/>
              </w:rPr>
            </w:pPr>
            <w:r>
              <w:rPr>
                <w:rFonts w:hint="eastAsia"/>
                <w:b/>
                <w:bCs/>
                <w:color w:val="auto"/>
                <w:sz w:val="24"/>
              </w:rPr>
              <w:t>六</w:t>
            </w:r>
            <w:r>
              <w:rPr>
                <w:b/>
                <w:color w:val="auto"/>
                <w:sz w:val="24"/>
              </w:rPr>
              <w:t>、固废</w:t>
            </w:r>
          </w:p>
          <w:p w14:paraId="57E39701">
            <w:pPr>
              <w:adjustRightInd w:val="0"/>
              <w:snapToGrid w:val="0"/>
              <w:spacing w:line="360" w:lineRule="auto"/>
              <w:ind w:firstLine="482" w:firstLineChars="200"/>
              <w:rPr>
                <w:bCs/>
                <w:color w:val="auto"/>
                <w:sz w:val="24"/>
              </w:rPr>
            </w:pPr>
            <w:r>
              <w:rPr>
                <w:rFonts w:hint="eastAsia"/>
                <w:b/>
                <w:color w:val="auto"/>
                <w:sz w:val="24"/>
              </w:rPr>
              <w:t>生活垃圾：</w:t>
            </w:r>
            <w:r>
              <w:rPr>
                <w:bCs/>
                <w:color w:val="auto"/>
                <w:sz w:val="24"/>
              </w:rPr>
              <w:t>项目内设置</w:t>
            </w:r>
            <w:r>
              <w:rPr>
                <w:rFonts w:hint="eastAsia"/>
                <w:bCs/>
                <w:color w:val="auto"/>
                <w:sz w:val="24"/>
              </w:rPr>
              <w:t>分类</w:t>
            </w:r>
            <w:r>
              <w:rPr>
                <w:bCs/>
                <w:color w:val="auto"/>
                <w:sz w:val="24"/>
              </w:rPr>
              <w:t>垃圾桶对</w:t>
            </w:r>
            <w:r>
              <w:rPr>
                <w:rFonts w:hint="eastAsia"/>
                <w:bCs/>
                <w:color w:val="auto"/>
                <w:sz w:val="24"/>
              </w:rPr>
              <w:t>住户</w:t>
            </w:r>
            <w:r>
              <w:rPr>
                <w:bCs/>
                <w:color w:val="auto"/>
                <w:sz w:val="24"/>
              </w:rPr>
              <w:t>的生活垃圾进行收集，由环卫工人统一清运，</w:t>
            </w:r>
            <w:r>
              <w:rPr>
                <w:rFonts w:hint="eastAsia"/>
                <w:bCs/>
                <w:color w:val="auto"/>
                <w:sz w:val="24"/>
                <w:lang w:eastAsia="zh-CN"/>
              </w:rPr>
              <w:t>袋装运输，</w:t>
            </w:r>
            <w:r>
              <w:rPr>
                <w:bCs/>
                <w:color w:val="auto"/>
                <w:sz w:val="24"/>
              </w:rPr>
              <w:t>日产日清。</w:t>
            </w:r>
          </w:p>
          <w:p w14:paraId="21A8C5BD">
            <w:pPr>
              <w:snapToGrid w:val="0"/>
              <w:spacing w:line="360" w:lineRule="auto"/>
              <w:ind w:firstLine="482" w:firstLineChars="200"/>
              <w:rPr>
                <w:b/>
                <w:color w:val="auto"/>
                <w:sz w:val="24"/>
              </w:rPr>
            </w:pPr>
            <w:r>
              <w:rPr>
                <w:rFonts w:hint="eastAsia"/>
                <w:b/>
                <w:color w:val="auto"/>
                <w:sz w:val="24"/>
              </w:rPr>
              <w:t>七</w:t>
            </w:r>
            <w:r>
              <w:rPr>
                <w:b/>
                <w:color w:val="auto"/>
                <w:sz w:val="24"/>
              </w:rPr>
              <w:t>、环境风险影响</w:t>
            </w:r>
          </w:p>
          <w:p w14:paraId="68349DBA">
            <w:pPr>
              <w:tabs>
                <w:tab w:val="left" w:pos="630"/>
              </w:tabs>
              <w:adjustRightInd w:val="0"/>
              <w:spacing w:line="360" w:lineRule="auto"/>
              <w:ind w:firstLine="480" w:firstLineChars="200"/>
              <w:rPr>
                <w:color w:val="auto"/>
                <w:sz w:val="24"/>
                <w:szCs w:val="20"/>
              </w:rPr>
            </w:pPr>
            <w:r>
              <w:rPr>
                <w:color w:val="auto"/>
                <w:sz w:val="24"/>
                <w:szCs w:val="20"/>
              </w:rPr>
              <w:t>本项目运营期存在的主要环境风险为</w:t>
            </w:r>
            <w:r>
              <w:rPr>
                <w:rFonts w:hint="eastAsia"/>
                <w:color w:val="auto"/>
                <w:sz w:val="24"/>
                <w:szCs w:val="20"/>
              </w:rPr>
              <w:t>燃油泄漏发生火灾、日常生活管理不当电器等发生火灾</w:t>
            </w:r>
            <w:r>
              <w:rPr>
                <w:color w:val="auto"/>
                <w:sz w:val="24"/>
                <w:szCs w:val="20"/>
              </w:rPr>
              <w:t>，从而对</w:t>
            </w:r>
            <w:r>
              <w:rPr>
                <w:rFonts w:hint="eastAsia"/>
                <w:color w:val="auto"/>
                <w:sz w:val="24"/>
                <w:szCs w:val="20"/>
              </w:rPr>
              <w:t>大气、</w:t>
            </w:r>
            <w:r>
              <w:rPr>
                <w:color w:val="auto"/>
                <w:sz w:val="24"/>
                <w:szCs w:val="20"/>
              </w:rPr>
              <w:t>土壤、地下水、居民造成影响</w:t>
            </w:r>
            <w:r>
              <w:rPr>
                <w:rFonts w:hint="eastAsia"/>
                <w:color w:val="auto"/>
                <w:sz w:val="24"/>
                <w:szCs w:val="20"/>
              </w:rPr>
              <w:t>。</w:t>
            </w:r>
          </w:p>
          <w:p w14:paraId="2DF111B2">
            <w:pPr>
              <w:tabs>
                <w:tab w:val="left" w:pos="630"/>
              </w:tabs>
              <w:adjustRightInd w:val="0"/>
              <w:spacing w:line="360" w:lineRule="auto"/>
              <w:ind w:firstLine="482" w:firstLineChars="200"/>
              <w:rPr>
                <w:b/>
                <w:bCs/>
                <w:color w:val="auto"/>
                <w:sz w:val="24"/>
              </w:rPr>
            </w:pPr>
            <w:r>
              <w:rPr>
                <w:b/>
                <w:bCs/>
                <w:color w:val="auto"/>
                <w:sz w:val="24"/>
              </w:rPr>
              <w:t>1、评价工作等级确定</w:t>
            </w:r>
          </w:p>
          <w:p w14:paraId="0F19D08E">
            <w:pPr>
              <w:adjustRightInd w:val="0"/>
              <w:snapToGrid w:val="0"/>
              <w:spacing w:line="360" w:lineRule="auto"/>
              <w:ind w:firstLine="480" w:firstLineChars="200"/>
              <w:rPr>
                <w:color w:val="auto"/>
                <w:sz w:val="24"/>
              </w:rPr>
            </w:pPr>
            <w:r>
              <w:rPr>
                <w:color w:val="auto"/>
                <w:sz w:val="24"/>
              </w:rPr>
              <w:t>环境风险评价工作等级划分为一级、二级、三级。根据建设项目涉及的物质及工艺系统危险性和所在地的环境敏感性确定环境风险潜势，按照下表确定评价工作等级。</w:t>
            </w:r>
            <w:r>
              <w:rPr>
                <w:rFonts w:hint="eastAsia"/>
                <w:color w:val="auto"/>
                <w:sz w:val="24"/>
                <w:lang w:eastAsia="zh-CN"/>
              </w:rPr>
              <w:t>风险</w:t>
            </w:r>
            <w:r>
              <w:rPr>
                <w:color w:val="auto"/>
                <w:sz w:val="24"/>
              </w:rPr>
              <w:t>潜势为Ⅳ及以上，进行一级评价；风险潜势为Ⅲ，进行二级评价；风险潜势为Ⅱ，进行三级评价；风险潜势为Ⅰ，可简单分析。</w:t>
            </w:r>
          </w:p>
          <w:p w14:paraId="1110663D">
            <w:pPr>
              <w:adjustRightInd w:val="0"/>
              <w:snapToGrid w:val="0"/>
              <w:spacing w:line="360" w:lineRule="auto"/>
              <w:ind w:firstLine="480" w:firstLineChars="200"/>
              <w:rPr>
                <w:color w:val="auto"/>
                <w:sz w:val="24"/>
              </w:rPr>
            </w:pPr>
            <w:r>
              <w:rPr>
                <w:color w:val="auto"/>
                <w:sz w:val="24"/>
              </w:rPr>
              <w:t>1）风险潜势判断</w:t>
            </w:r>
          </w:p>
          <w:p w14:paraId="7031DA38">
            <w:pPr>
              <w:adjustRightInd w:val="0"/>
              <w:snapToGrid w:val="0"/>
              <w:spacing w:line="360" w:lineRule="auto"/>
              <w:ind w:firstLine="480" w:firstLineChars="200"/>
              <w:rPr>
                <w:color w:val="auto"/>
                <w:sz w:val="24"/>
              </w:rPr>
            </w:pPr>
            <w:r>
              <w:rPr>
                <w:color w:val="auto"/>
                <w:sz w:val="24"/>
              </w:rPr>
              <w:t>本项目</w:t>
            </w:r>
            <w:r>
              <w:rPr>
                <w:rFonts w:hint="eastAsia"/>
                <w:color w:val="auto"/>
                <w:sz w:val="24"/>
              </w:rPr>
              <w:t>设置应急柴油发电机，内部灌装柴油约0.3t，</w:t>
            </w:r>
            <w:r>
              <w:rPr>
                <w:rFonts w:hint="eastAsia"/>
                <w:color w:val="auto"/>
                <w:sz w:val="24"/>
                <w:lang w:val="en-US" w:eastAsia="zh-CN"/>
              </w:rPr>
              <w:t>储油间柴油储量不大于1m</w:t>
            </w:r>
            <w:r>
              <w:rPr>
                <w:rFonts w:hint="eastAsia"/>
                <w:color w:val="auto"/>
                <w:sz w:val="24"/>
                <w:vertAlign w:val="superscript"/>
                <w:lang w:val="en-US" w:eastAsia="zh-CN"/>
              </w:rPr>
              <w:t>3</w:t>
            </w:r>
            <w:r>
              <w:rPr>
                <w:rFonts w:hint="eastAsia"/>
                <w:color w:val="auto"/>
                <w:sz w:val="24"/>
                <w:lang w:val="en-US" w:eastAsia="zh-CN"/>
              </w:rPr>
              <w:t>（0.85t）。</w:t>
            </w:r>
            <w:r>
              <w:rPr>
                <w:rFonts w:hint="eastAsia"/>
                <w:color w:val="auto"/>
                <w:sz w:val="24"/>
              </w:rPr>
              <w:t>柴油属于《建设项目环境风险评价技术导则》（HJ169-2018）附录B381油类物质（矿物油类，如石油、汽油、柴油等；生物柴油等），临界量2500t。</w:t>
            </w:r>
            <w:r>
              <w:rPr>
                <w:color w:val="auto"/>
                <w:sz w:val="24"/>
              </w:rPr>
              <w:t>因此本项目Q=</w:t>
            </w:r>
            <w:r>
              <w:rPr>
                <w:rFonts w:hint="eastAsia"/>
                <w:color w:val="auto"/>
                <w:sz w:val="24"/>
              </w:rPr>
              <w:t>0.000</w:t>
            </w:r>
            <w:r>
              <w:rPr>
                <w:rFonts w:hint="eastAsia"/>
                <w:color w:val="auto"/>
                <w:sz w:val="24"/>
                <w:lang w:val="en-US" w:eastAsia="zh-CN"/>
              </w:rPr>
              <w:t>46</w:t>
            </w:r>
            <w:r>
              <w:rPr>
                <w:color w:val="auto"/>
                <w:sz w:val="24"/>
              </w:rPr>
              <w:t>＜1</w:t>
            </w:r>
            <w:r>
              <w:rPr>
                <w:rFonts w:hint="eastAsia"/>
                <w:color w:val="auto"/>
                <w:sz w:val="24"/>
              </w:rPr>
              <w:t>，</w:t>
            </w:r>
            <w:r>
              <w:rPr>
                <w:color w:val="auto"/>
                <w:sz w:val="24"/>
              </w:rPr>
              <w:t>本项目环境风险潜势为Ⅰ。</w:t>
            </w:r>
          </w:p>
          <w:p w14:paraId="4710C273">
            <w:pPr>
              <w:adjustRightInd w:val="0"/>
              <w:snapToGrid w:val="0"/>
              <w:spacing w:line="360" w:lineRule="auto"/>
              <w:ind w:firstLine="480" w:firstLineChars="200"/>
              <w:rPr>
                <w:color w:val="auto"/>
                <w:sz w:val="24"/>
              </w:rPr>
            </w:pPr>
            <w:r>
              <w:rPr>
                <w:color w:val="auto"/>
                <w:sz w:val="24"/>
              </w:rPr>
              <w:t>2）评价等级</w:t>
            </w:r>
          </w:p>
          <w:p w14:paraId="5B6BD1BD">
            <w:pPr>
              <w:adjustRightInd w:val="0"/>
              <w:snapToGrid w:val="0"/>
              <w:jc w:val="center"/>
              <w:rPr>
                <w:b/>
                <w:color w:val="auto"/>
                <w:szCs w:val="21"/>
              </w:rPr>
            </w:pPr>
            <w:r>
              <w:rPr>
                <w:b/>
                <w:color w:val="auto"/>
                <w:szCs w:val="21"/>
              </w:rPr>
              <w:t>表5-</w:t>
            </w:r>
            <w:r>
              <w:rPr>
                <w:rFonts w:hint="eastAsia"/>
                <w:b/>
                <w:color w:val="auto"/>
                <w:szCs w:val="21"/>
              </w:rPr>
              <w:t>3</w:t>
            </w:r>
            <w:r>
              <w:rPr>
                <w:b/>
                <w:color w:val="auto"/>
                <w:szCs w:val="21"/>
              </w:rPr>
              <w:t xml:space="preserve"> </w:t>
            </w:r>
            <w:r>
              <w:rPr>
                <w:rFonts w:hint="eastAsia"/>
                <w:b/>
                <w:color w:val="auto"/>
                <w:szCs w:val="21"/>
              </w:rPr>
              <w:t xml:space="preserve">  </w:t>
            </w:r>
            <w:r>
              <w:rPr>
                <w:b/>
                <w:color w:val="auto"/>
                <w:szCs w:val="21"/>
              </w:rPr>
              <w:t xml:space="preserve"> 项目评价工作等级划分</w:t>
            </w:r>
          </w:p>
          <w:tbl>
            <w:tblPr>
              <w:tblStyle w:val="34"/>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588"/>
              <w:gridCol w:w="1790"/>
              <w:gridCol w:w="885"/>
              <w:gridCol w:w="885"/>
              <w:gridCol w:w="2093"/>
            </w:tblGrid>
            <w:tr w14:paraId="46579B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70" w:type="pct"/>
                  <w:tcBorders>
                    <w:tl2br w:val="nil"/>
                    <w:tr2bl w:val="nil"/>
                  </w:tcBorders>
                  <w:vAlign w:val="center"/>
                </w:tcPr>
                <w:p w14:paraId="00BB5484">
                  <w:pPr>
                    <w:jc w:val="center"/>
                    <w:rPr>
                      <w:b/>
                      <w:bCs/>
                      <w:color w:val="auto"/>
                      <w:szCs w:val="21"/>
                    </w:rPr>
                  </w:pPr>
                  <w:r>
                    <w:rPr>
                      <w:b/>
                      <w:bCs/>
                      <w:color w:val="auto"/>
                      <w:szCs w:val="21"/>
                    </w:rPr>
                    <w:t>环境风险潜势</w:t>
                  </w:r>
                </w:p>
              </w:tc>
              <w:tc>
                <w:tcPr>
                  <w:tcW w:w="1086" w:type="pct"/>
                  <w:tcBorders>
                    <w:tl2br w:val="nil"/>
                    <w:tr2bl w:val="nil"/>
                  </w:tcBorders>
                  <w:vAlign w:val="center"/>
                </w:tcPr>
                <w:p w14:paraId="5BB61E37">
                  <w:pPr>
                    <w:jc w:val="center"/>
                    <w:rPr>
                      <w:color w:val="auto"/>
                      <w:szCs w:val="21"/>
                    </w:rPr>
                  </w:pPr>
                  <w:r>
                    <w:rPr>
                      <w:color w:val="auto"/>
                      <w:szCs w:val="21"/>
                    </w:rPr>
                    <w:t>Ⅳ、Ⅳ</w:t>
                  </w:r>
                  <w:r>
                    <w:rPr>
                      <w:color w:val="auto"/>
                      <w:szCs w:val="21"/>
                      <w:vertAlign w:val="superscript"/>
                    </w:rPr>
                    <w:t>+</w:t>
                  </w:r>
                </w:p>
              </w:tc>
              <w:tc>
                <w:tcPr>
                  <w:tcW w:w="537" w:type="pct"/>
                  <w:tcBorders>
                    <w:tl2br w:val="nil"/>
                    <w:tr2bl w:val="nil"/>
                  </w:tcBorders>
                  <w:vAlign w:val="center"/>
                </w:tcPr>
                <w:p w14:paraId="52F10873">
                  <w:pPr>
                    <w:jc w:val="center"/>
                    <w:rPr>
                      <w:color w:val="auto"/>
                      <w:szCs w:val="21"/>
                    </w:rPr>
                  </w:pPr>
                  <w:r>
                    <w:rPr>
                      <w:color w:val="auto"/>
                      <w:szCs w:val="21"/>
                    </w:rPr>
                    <w:t>Ⅲ</w:t>
                  </w:r>
                </w:p>
              </w:tc>
              <w:tc>
                <w:tcPr>
                  <w:tcW w:w="537" w:type="pct"/>
                  <w:tcBorders>
                    <w:tl2br w:val="nil"/>
                    <w:tr2bl w:val="nil"/>
                  </w:tcBorders>
                  <w:vAlign w:val="center"/>
                </w:tcPr>
                <w:p w14:paraId="0E27960D">
                  <w:pPr>
                    <w:jc w:val="center"/>
                    <w:rPr>
                      <w:color w:val="auto"/>
                      <w:szCs w:val="21"/>
                    </w:rPr>
                  </w:pPr>
                  <w:r>
                    <w:rPr>
                      <w:color w:val="auto"/>
                      <w:szCs w:val="21"/>
                    </w:rPr>
                    <w:t>Ⅱ</w:t>
                  </w:r>
                </w:p>
              </w:tc>
              <w:tc>
                <w:tcPr>
                  <w:tcW w:w="1270" w:type="pct"/>
                  <w:tcBorders>
                    <w:tl2br w:val="nil"/>
                    <w:tr2bl w:val="nil"/>
                  </w:tcBorders>
                  <w:vAlign w:val="center"/>
                </w:tcPr>
                <w:p w14:paraId="078BEB17">
                  <w:pPr>
                    <w:jc w:val="center"/>
                    <w:rPr>
                      <w:b/>
                      <w:bCs/>
                      <w:color w:val="auto"/>
                      <w:szCs w:val="21"/>
                    </w:rPr>
                  </w:pPr>
                  <w:r>
                    <w:rPr>
                      <w:b/>
                      <w:bCs/>
                      <w:color w:val="auto"/>
                      <w:szCs w:val="21"/>
                    </w:rPr>
                    <w:t>Ⅰ</w:t>
                  </w:r>
                </w:p>
              </w:tc>
            </w:tr>
            <w:tr w14:paraId="551712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70" w:type="pct"/>
                  <w:tcBorders>
                    <w:tl2br w:val="nil"/>
                    <w:tr2bl w:val="nil"/>
                  </w:tcBorders>
                  <w:vAlign w:val="center"/>
                </w:tcPr>
                <w:p w14:paraId="38705A56">
                  <w:pPr>
                    <w:jc w:val="center"/>
                    <w:rPr>
                      <w:b/>
                      <w:bCs/>
                      <w:color w:val="auto"/>
                      <w:szCs w:val="21"/>
                    </w:rPr>
                  </w:pPr>
                  <w:r>
                    <w:rPr>
                      <w:b/>
                      <w:bCs/>
                      <w:color w:val="auto"/>
                      <w:szCs w:val="21"/>
                    </w:rPr>
                    <w:t>评价工作等级</w:t>
                  </w:r>
                </w:p>
              </w:tc>
              <w:tc>
                <w:tcPr>
                  <w:tcW w:w="1086" w:type="pct"/>
                  <w:tcBorders>
                    <w:tl2br w:val="nil"/>
                    <w:tr2bl w:val="nil"/>
                  </w:tcBorders>
                  <w:vAlign w:val="center"/>
                </w:tcPr>
                <w:p w14:paraId="1405E42D">
                  <w:pPr>
                    <w:jc w:val="center"/>
                    <w:rPr>
                      <w:color w:val="auto"/>
                      <w:szCs w:val="21"/>
                    </w:rPr>
                  </w:pPr>
                  <w:r>
                    <w:rPr>
                      <w:color w:val="auto"/>
                      <w:szCs w:val="21"/>
                    </w:rPr>
                    <w:t>一</w:t>
                  </w:r>
                </w:p>
              </w:tc>
              <w:tc>
                <w:tcPr>
                  <w:tcW w:w="537" w:type="pct"/>
                  <w:tcBorders>
                    <w:tl2br w:val="nil"/>
                    <w:tr2bl w:val="nil"/>
                  </w:tcBorders>
                  <w:vAlign w:val="center"/>
                </w:tcPr>
                <w:p w14:paraId="66179A06">
                  <w:pPr>
                    <w:jc w:val="center"/>
                    <w:rPr>
                      <w:color w:val="auto"/>
                      <w:szCs w:val="21"/>
                    </w:rPr>
                  </w:pPr>
                  <w:r>
                    <w:rPr>
                      <w:color w:val="auto"/>
                      <w:szCs w:val="21"/>
                    </w:rPr>
                    <w:t>二</w:t>
                  </w:r>
                </w:p>
              </w:tc>
              <w:tc>
                <w:tcPr>
                  <w:tcW w:w="537" w:type="pct"/>
                  <w:tcBorders>
                    <w:tl2br w:val="nil"/>
                    <w:tr2bl w:val="nil"/>
                  </w:tcBorders>
                  <w:vAlign w:val="center"/>
                </w:tcPr>
                <w:p w14:paraId="1679EEB6">
                  <w:pPr>
                    <w:jc w:val="center"/>
                    <w:rPr>
                      <w:color w:val="auto"/>
                      <w:szCs w:val="21"/>
                    </w:rPr>
                  </w:pPr>
                  <w:r>
                    <w:rPr>
                      <w:color w:val="auto"/>
                      <w:szCs w:val="21"/>
                    </w:rPr>
                    <w:t>三</w:t>
                  </w:r>
                </w:p>
              </w:tc>
              <w:tc>
                <w:tcPr>
                  <w:tcW w:w="1270" w:type="pct"/>
                  <w:tcBorders>
                    <w:tl2br w:val="nil"/>
                    <w:tr2bl w:val="nil"/>
                  </w:tcBorders>
                  <w:vAlign w:val="center"/>
                </w:tcPr>
                <w:p w14:paraId="30188E0D">
                  <w:pPr>
                    <w:jc w:val="center"/>
                    <w:rPr>
                      <w:b/>
                      <w:bCs/>
                      <w:color w:val="auto"/>
                      <w:szCs w:val="21"/>
                    </w:rPr>
                  </w:pPr>
                  <w:r>
                    <w:rPr>
                      <w:b/>
                      <w:bCs/>
                      <w:color w:val="auto"/>
                      <w:szCs w:val="21"/>
                    </w:rPr>
                    <w:t>简单分析</w:t>
                  </w:r>
                  <w:r>
                    <w:rPr>
                      <w:b/>
                      <w:bCs/>
                      <w:color w:val="auto"/>
                      <w:szCs w:val="21"/>
                      <w:vertAlign w:val="superscript"/>
                    </w:rPr>
                    <w:t>a</w:t>
                  </w:r>
                </w:p>
              </w:tc>
            </w:tr>
            <w:tr w14:paraId="432340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5"/>
                  <w:tcBorders>
                    <w:tl2br w:val="nil"/>
                    <w:tr2bl w:val="nil"/>
                  </w:tcBorders>
                  <w:vAlign w:val="center"/>
                </w:tcPr>
                <w:p w14:paraId="683EFC61">
                  <w:pPr>
                    <w:jc w:val="left"/>
                    <w:rPr>
                      <w:color w:val="auto"/>
                      <w:szCs w:val="21"/>
                    </w:rPr>
                  </w:pPr>
                  <w:r>
                    <w:rPr>
                      <w:color w:val="auto"/>
                      <w:szCs w:val="21"/>
                    </w:rPr>
                    <w:t>a  是相对于详细评价工作内容而言，在描述危险物质、环境影响途径、环境危害后果、风险防范措施等方面给出的定性的说明。见附录A。</w:t>
                  </w:r>
                </w:p>
              </w:tc>
            </w:tr>
          </w:tbl>
          <w:p w14:paraId="04E12D53">
            <w:pPr>
              <w:adjustRightInd w:val="0"/>
              <w:snapToGrid w:val="0"/>
              <w:spacing w:before="120" w:beforeLines="50" w:line="360" w:lineRule="auto"/>
              <w:ind w:firstLine="480" w:firstLineChars="200"/>
              <w:rPr>
                <w:color w:val="auto"/>
                <w:sz w:val="24"/>
              </w:rPr>
            </w:pPr>
            <w:r>
              <w:rPr>
                <w:color w:val="auto"/>
                <w:sz w:val="24"/>
              </w:rPr>
              <w:t>因此，本项目环境风险评价等级为简单分析。</w:t>
            </w:r>
          </w:p>
          <w:p w14:paraId="70F64018">
            <w:pPr>
              <w:tabs>
                <w:tab w:val="left" w:pos="630"/>
              </w:tabs>
              <w:adjustRightInd w:val="0"/>
              <w:spacing w:line="360" w:lineRule="auto"/>
              <w:ind w:firstLine="482" w:firstLineChars="200"/>
              <w:rPr>
                <w:b/>
                <w:bCs/>
                <w:color w:val="auto"/>
                <w:sz w:val="24"/>
              </w:rPr>
            </w:pPr>
            <w:r>
              <w:rPr>
                <w:b/>
                <w:bCs/>
                <w:color w:val="auto"/>
                <w:sz w:val="24"/>
              </w:rPr>
              <w:t>2、风险识别</w:t>
            </w:r>
          </w:p>
          <w:p w14:paraId="0870FE6F">
            <w:pPr>
              <w:tabs>
                <w:tab w:val="left" w:pos="630"/>
              </w:tabs>
              <w:adjustRightInd w:val="0"/>
              <w:spacing w:line="360" w:lineRule="auto"/>
              <w:ind w:firstLine="480" w:firstLineChars="200"/>
              <w:rPr>
                <w:color w:val="auto"/>
                <w:sz w:val="24"/>
                <w:szCs w:val="20"/>
              </w:rPr>
            </w:pPr>
            <w:r>
              <w:rPr>
                <w:color w:val="auto"/>
                <w:sz w:val="24"/>
                <w:szCs w:val="20"/>
              </w:rPr>
              <w:t>①化学品泄露</w:t>
            </w:r>
            <w:r>
              <w:rPr>
                <w:rFonts w:hint="eastAsia"/>
                <w:color w:val="auto"/>
                <w:sz w:val="24"/>
                <w:szCs w:val="20"/>
              </w:rPr>
              <w:t>风险</w:t>
            </w:r>
          </w:p>
          <w:p w14:paraId="55AB9C93">
            <w:pPr>
              <w:tabs>
                <w:tab w:val="left" w:pos="630"/>
              </w:tabs>
              <w:adjustRightInd w:val="0"/>
              <w:spacing w:line="360" w:lineRule="auto"/>
              <w:ind w:firstLine="480" w:firstLineChars="200"/>
              <w:rPr>
                <w:color w:val="auto"/>
                <w:sz w:val="24"/>
                <w:szCs w:val="20"/>
              </w:rPr>
            </w:pPr>
            <w:r>
              <w:rPr>
                <w:rFonts w:hint="eastAsia"/>
                <w:color w:val="auto"/>
                <w:sz w:val="24"/>
                <w:szCs w:val="20"/>
              </w:rPr>
              <w:t>项目设置柴油发电机房</w:t>
            </w:r>
            <w:r>
              <w:rPr>
                <w:color w:val="auto"/>
                <w:sz w:val="24"/>
                <w:szCs w:val="20"/>
              </w:rPr>
              <w:t>，</w:t>
            </w:r>
            <w:r>
              <w:rPr>
                <w:rFonts w:hint="eastAsia"/>
                <w:color w:val="auto"/>
                <w:sz w:val="24"/>
                <w:szCs w:val="20"/>
              </w:rPr>
              <w:t>柴油</w:t>
            </w:r>
            <w:r>
              <w:rPr>
                <w:color w:val="auto"/>
                <w:sz w:val="24"/>
                <w:szCs w:val="20"/>
              </w:rPr>
              <w:t>在运输、存储和使用过程中，可能发生意外破裂、倒洒等事故</w:t>
            </w:r>
            <w:r>
              <w:rPr>
                <w:rFonts w:hint="eastAsia"/>
                <w:color w:val="auto"/>
                <w:sz w:val="24"/>
                <w:szCs w:val="20"/>
              </w:rPr>
              <w:t>；</w:t>
            </w:r>
            <w:r>
              <w:rPr>
                <w:color w:val="auto"/>
                <w:sz w:val="24"/>
                <w:szCs w:val="20"/>
              </w:rPr>
              <w:t>社会车辆进入保护区，也有发生化学品泄漏的危险。</w:t>
            </w:r>
          </w:p>
          <w:p w14:paraId="47963B4C">
            <w:pPr>
              <w:tabs>
                <w:tab w:val="left" w:pos="630"/>
              </w:tabs>
              <w:adjustRightInd w:val="0"/>
              <w:spacing w:line="360" w:lineRule="auto"/>
              <w:ind w:firstLine="480" w:firstLineChars="200"/>
              <w:rPr>
                <w:color w:val="auto"/>
                <w:sz w:val="24"/>
                <w:szCs w:val="20"/>
              </w:rPr>
            </w:pPr>
            <w:r>
              <w:rPr>
                <w:color w:val="auto"/>
                <w:sz w:val="24"/>
                <w:szCs w:val="20"/>
              </w:rPr>
              <w:t>如果发生化学泄露，将对当地生态系统及环境造成以下三方面的危害。第一，化学泄露影响土壤质量，油料等化学品意外泄露，直接渗透到土层深处，使土壤元素组成成分发生变化，土地质量恶化，间接影响该区域的植物生长发育。第二，化学泄露影响水资源质量，化学品泄露一部分渗透到土壤改变土壤结构，另一部分在雨水的作用下进入附近河流水体，造成局部水污染现象。第三，影响大气环境，化学泄露包含一些易挥发的汽柴油，一旦泄露，迅速挥发并扩散到周围大气环境，使附近区域分布的野生动物，特别是嗅觉灵敏的兽类离开污染区域，影响野生动物的活动范围。</w:t>
            </w:r>
          </w:p>
          <w:p w14:paraId="534165D2">
            <w:pPr>
              <w:tabs>
                <w:tab w:val="left" w:pos="630"/>
              </w:tabs>
              <w:adjustRightInd w:val="0"/>
              <w:spacing w:line="360" w:lineRule="auto"/>
              <w:ind w:firstLine="480" w:firstLineChars="200"/>
              <w:rPr>
                <w:color w:val="auto"/>
                <w:sz w:val="24"/>
                <w:szCs w:val="20"/>
              </w:rPr>
            </w:pPr>
            <w:r>
              <w:rPr>
                <w:color w:val="auto"/>
                <w:sz w:val="24"/>
                <w:szCs w:val="20"/>
              </w:rPr>
              <w:t>②</w:t>
            </w:r>
            <w:r>
              <w:rPr>
                <w:rFonts w:hint="eastAsia"/>
                <w:color w:val="auto"/>
                <w:sz w:val="24"/>
                <w:szCs w:val="20"/>
              </w:rPr>
              <w:t>火灾风险</w:t>
            </w:r>
          </w:p>
          <w:p w14:paraId="288DFDED">
            <w:pPr>
              <w:tabs>
                <w:tab w:val="left" w:pos="630"/>
              </w:tabs>
              <w:adjustRightInd w:val="0"/>
              <w:spacing w:line="360" w:lineRule="auto"/>
              <w:ind w:firstLine="480" w:firstLineChars="200"/>
              <w:rPr>
                <w:color w:val="auto"/>
                <w:sz w:val="24"/>
                <w:szCs w:val="20"/>
              </w:rPr>
            </w:pPr>
            <w:r>
              <w:rPr>
                <w:bCs/>
                <w:color w:val="auto"/>
                <w:sz w:val="24"/>
              </w:rPr>
              <w:t>项目区人员集中，建筑物内部装修易燃材料多，</w:t>
            </w:r>
            <w:r>
              <w:rPr>
                <w:rFonts w:hint="eastAsia"/>
                <w:bCs/>
                <w:color w:val="auto"/>
                <w:sz w:val="24"/>
              </w:rPr>
              <w:t>木质家具、棉质用品等易发生火灾，污染周围环境</w:t>
            </w:r>
            <w:r>
              <w:rPr>
                <w:bCs/>
                <w:color w:val="auto"/>
                <w:sz w:val="24"/>
              </w:rPr>
              <w:t>。</w:t>
            </w:r>
          </w:p>
          <w:p w14:paraId="6FF7C81F">
            <w:pPr>
              <w:tabs>
                <w:tab w:val="left" w:pos="630"/>
              </w:tabs>
              <w:adjustRightInd w:val="0"/>
              <w:spacing w:line="360" w:lineRule="auto"/>
              <w:ind w:firstLine="482" w:firstLineChars="200"/>
              <w:rPr>
                <w:b/>
                <w:bCs/>
                <w:color w:val="auto"/>
                <w:sz w:val="24"/>
                <w:szCs w:val="20"/>
              </w:rPr>
            </w:pPr>
            <w:r>
              <w:rPr>
                <w:b/>
                <w:bCs/>
                <w:color w:val="auto"/>
                <w:sz w:val="24"/>
              </w:rPr>
              <w:t>3、环境</w:t>
            </w:r>
            <w:r>
              <w:rPr>
                <w:b/>
                <w:bCs/>
                <w:color w:val="auto"/>
                <w:sz w:val="24"/>
                <w:szCs w:val="20"/>
              </w:rPr>
              <w:t>风险防范措施</w:t>
            </w:r>
          </w:p>
          <w:p w14:paraId="6DA74FC4">
            <w:pPr>
              <w:tabs>
                <w:tab w:val="left" w:pos="630"/>
              </w:tabs>
              <w:adjustRightInd w:val="0"/>
              <w:spacing w:line="360" w:lineRule="auto"/>
              <w:ind w:firstLine="480" w:firstLineChars="200"/>
              <w:rPr>
                <w:color w:val="auto"/>
                <w:sz w:val="24"/>
                <w:szCs w:val="20"/>
              </w:rPr>
            </w:pPr>
            <w:r>
              <w:rPr>
                <w:color w:val="auto"/>
                <w:sz w:val="24"/>
                <w:szCs w:val="20"/>
              </w:rPr>
              <w:t>①加强对燃油、化学物品的管理</w:t>
            </w:r>
          </w:p>
          <w:p w14:paraId="70E563A0">
            <w:pPr>
              <w:widowControl/>
              <w:spacing w:line="360" w:lineRule="auto"/>
              <w:ind w:firstLine="480"/>
              <w:rPr>
                <w:color w:val="auto"/>
                <w:sz w:val="24"/>
              </w:rPr>
            </w:pPr>
            <w:r>
              <w:rPr>
                <w:color w:val="auto"/>
                <w:sz w:val="24"/>
              </w:rPr>
              <w:t>建立燃油、危险化学物品管理制度和专门的存放场所，并安排专人负责化学物品的管理。严格化学用品的领用和审批制度，使化学物品的使用和管理规范化、科学化，将其带来的环境风险降至最低。建立危险物品泄漏应急预案。</w:t>
            </w:r>
          </w:p>
          <w:p w14:paraId="0378F8FF">
            <w:pPr>
              <w:tabs>
                <w:tab w:val="left" w:pos="630"/>
              </w:tabs>
              <w:adjustRightInd w:val="0"/>
              <w:spacing w:line="360" w:lineRule="auto"/>
              <w:ind w:firstLine="480" w:firstLineChars="200"/>
              <w:rPr>
                <w:color w:val="auto"/>
                <w:sz w:val="24"/>
                <w:szCs w:val="20"/>
              </w:rPr>
            </w:pPr>
            <w:r>
              <w:rPr>
                <w:color w:val="auto"/>
                <w:sz w:val="24"/>
              </w:rPr>
              <w:t>严格管理施工机械和运输车辆，防止化学品在运输、存储和使用过程中可能发生的意外破裂、倒洒等泄露事故。施工期存放的用于施工机械和车辆使用的柴油泄露、爆破化学物质，可能引发森林火灾、污染地表水和人体皮肤接触，要作防渗、防爆处理；要经常检查储油设施，附近不能有易燃物质，断绝火源，装卸时应控制火源流动和明火作业。</w:t>
            </w:r>
          </w:p>
          <w:p w14:paraId="5C1079A3">
            <w:pPr>
              <w:tabs>
                <w:tab w:val="left" w:pos="630"/>
              </w:tabs>
              <w:adjustRightInd w:val="0"/>
              <w:spacing w:line="360" w:lineRule="auto"/>
              <w:ind w:firstLine="480" w:firstLineChars="200"/>
              <w:rPr>
                <w:color w:val="auto"/>
                <w:sz w:val="24"/>
                <w:szCs w:val="20"/>
              </w:rPr>
            </w:pPr>
            <w:r>
              <w:rPr>
                <w:color w:val="auto"/>
                <w:sz w:val="24"/>
                <w:szCs w:val="20"/>
              </w:rPr>
              <w:t>②</w:t>
            </w:r>
            <w:r>
              <w:rPr>
                <w:bCs/>
                <w:color w:val="auto"/>
                <w:sz w:val="24"/>
              </w:rPr>
              <w:t>加强火灾风险控制</w:t>
            </w:r>
          </w:p>
          <w:p w14:paraId="73349570">
            <w:pPr>
              <w:widowControl/>
              <w:spacing w:line="360" w:lineRule="auto"/>
              <w:ind w:firstLine="480" w:firstLineChars="200"/>
              <w:rPr>
                <w:color w:val="auto"/>
                <w:sz w:val="24"/>
                <w:szCs w:val="20"/>
              </w:rPr>
            </w:pPr>
            <w:r>
              <w:rPr>
                <w:color w:val="auto"/>
                <w:sz w:val="24"/>
              </w:rPr>
              <w:t>由于燃油、电器的增多以及</w:t>
            </w:r>
            <w:r>
              <w:rPr>
                <w:rFonts w:hint="eastAsia"/>
                <w:color w:val="auto"/>
                <w:sz w:val="24"/>
              </w:rPr>
              <w:t>住户</w:t>
            </w:r>
            <w:r>
              <w:rPr>
                <w:color w:val="auto"/>
                <w:sz w:val="24"/>
              </w:rPr>
              <w:t>人员增多，将增加火灾风险，为防止火灾事故的发生，</w:t>
            </w:r>
            <w:r>
              <w:rPr>
                <w:rFonts w:hint="eastAsia"/>
                <w:color w:val="auto"/>
                <w:sz w:val="24"/>
              </w:rPr>
              <w:t>定期检查各油料储存单元、定期检查消防设施，</w:t>
            </w:r>
            <w:r>
              <w:rPr>
                <w:color w:val="auto"/>
                <w:sz w:val="24"/>
              </w:rPr>
              <w:t>重视各火灾易发点的安全情况，组成的领导小组需随时巡查，并派遣专业人员，定期排查火灾隐患，把火灾发生率降至最低，及时处置火灾事故及善后工作。本项目消防设施均按国家有关规范设计，在总体布局方面，项目与其他建筑的间距均大于或等于规范要求的防火间距。同时，根据《建筑灭火器配置设计规范》的规定，在各建筑物内的相应地点配置手提式干粉灭火器。运营期加强巡护工作，减少人为因素引起的火灾事故。</w:t>
            </w:r>
          </w:p>
          <w:p w14:paraId="0AF542FE">
            <w:pPr>
              <w:tabs>
                <w:tab w:val="left" w:pos="630"/>
              </w:tabs>
              <w:adjustRightInd w:val="0"/>
              <w:spacing w:line="360" w:lineRule="auto"/>
              <w:ind w:firstLine="482" w:firstLineChars="200"/>
              <w:rPr>
                <w:b/>
                <w:bCs/>
                <w:color w:val="auto"/>
                <w:sz w:val="24"/>
              </w:rPr>
            </w:pPr>
            <w:r>
              <w:rPr>
                <w:b/>
                <w:bCs/>
                <w:color w:val="auto"/>
                <w:sz w:val="24"/>
              </w:rPr>
              <w:t>4、风险事故应急预案</w:t>
            </w:r>
          </w:p>
          <w:p w14:paraId="354806BA">
            <w:pPr>
              <w:spacing w:line="360" w:lineRule="auto"/>
              <w:ind w:firstLine="480"/>
              <w:rPr>
                <w:color w:val="auto"/>
                <w:sz w:val="24"/>
                <w:szCs w:val="22"/>
              </w:rPr>
            </w:pPr>
            <w:r>
              <w:rPr>
                <w:color w:val="auto"/>
                <w:sz w:val="24"/>
                <w:szCs w:val="22"/>
              </w:rPr>
              <w:t>通过对污染事故的风险评价，有关部门单位应制定防止重大环境污染事故发生的工作计划、消除事故隐患的措施及应急处理办法。有重大环境污染事故隐患的单位还应建立紧急救援组织，确定重大事故管理和应急计划，一旦发生重大事故，能有效地组织救援。</w:t>
            </w:r>
          </w:p>
          <w:p w14:paraId="690DBCBE">
            <w:pPr>
              <w:spacing w:line="360" w:lineRule="auto"/>
              <w:ind w:firstLine="480"/>
              <w:rPr>
                <w:color w:val="auto"/>
                <w:sz w:val="24"/>
                <w:szCs w:val="22"/>
              </w:rPr>
            </w:pPr>
            <w:r>
              <w:rPr>
                <w:color w:val="auto"/>
                <w:sz w:val="24"/>
                <w:szCs w:val="22"/>
              </w:rPr>
              <w:t>突发事故发生后，公司全体员工都负有接受应急救援任务的责任，由主任组织，管理人员、技术人员、安全员、修理工是事故应急救援的骨干力量。其任务主要是担负各类事故的应急救援及处置工作。</w:t>
            </w:r>
          </w:p>
          <w:p w14:paraId="0F604C85">
            <w:pPr>
              <w:spacing w:line="360" w:lineRule="auto"/>
              <w:ind w:firstLine="480"/>
              <w:rPr>
                <w:color w:val="auto"/>
                <w:sz w:val="24"/>
                <w:szCs w:val="22"/>
              </w:rPr>
            </w:pPr>
            <w:r>
              <w:rPr>
                <w:color w:val="auto"/>
                <w:sz w:val="24"/>
                <w:szCs w:val="22"/>
              </w:rPr>
              <w:t>针对本项目风险事故的特点，在对事故实施抢险救援的过程中，要注意做好以下工作：</w:t>
            </w:r>
          </w:p>
          <w:p w14:paraId="2154C920">
            <w:pPr>
              <w:spacing w:line="360" w:lineRule="auto"/>
              <w:ind w:firstLine="480"/>
              <w:rPr>
                <w:color w:val="auto"/>
                <w:sz w:val="24"/>
                <w:szCs w:val="22"/>
              </w:rPr>
            </w:pPr>
            <w:r>
              <w:rPr>
                <w:color w:val="auto"/>
                <w:sz w:val="24"/>
                <w:szCs w:val="22"/>
              </w:rPr>
              <w:t>（1）迅速组织事故发生地或险情威胁区域的群众撤离危险区域；</w:t>
            </w:r>
          </w:p>
          <w:p w14:paraId="047A1A90">
            <w:pPr>
              <w:spacing w:line="360" w:lineRule="auto"/>
              <w:ind w:firstLine="480"/>
              <w:rPr>
                <w:color w:val="auto"/>
                <w:sz w:val="24"/>
                <w:szCs w:val="22"/>
              </w:rPr>
            </w:pPr>
            <w:r>
              <w:rPr>
                <w:color w:val="auto"/>
                <w:sz w:val="24"/>
                <w:szCs w:val="22"/>
              </w:rPr>
              <w:t>（2）封锁事故现场和危险区域，设置警示标志，同时设法保护周边重要生产、生活设施，防止引发次生的安全或环境事故；</w:t>
            </w:r>
          </w:p>
          <w:p w14:paraId="09819927">
            <w:pPr>
              <w:spacing w:line="360" w:lineRule="auto"/>
              <w:ind w:firstLine="480"/>
              <w:rPr>
                <w:color w:val="auto"/>
                <w:sz w:val="24"/>
                <w:szCs w:val="22"/>
              </w:rPr>
            </w:pPr>
            <w:r>
              <w:rPr>
                <w:color w:val="auto"/>
                <w:sz w:val="24"/>
                <w:szCs w:val="22"/>
              </w:rPr>
              <w:t>（3）事故现场如有人员伤亡，立即动员、调集当地医疗卫生力量开展医疗卫生救援；</w:t>
            </w:r>
          </w:p>
          <w:p w14:paraId="14D309E0">
            <w:pPr>
              <w:spacing w:line="360" w:lineRule="auto"/>
              <w:ind w:firstLine="480"/>
              <w:rPr>
                <w:color w:val="auto"/>
                <w:sz w:val="24"/>
                <w:szCs w:val="22"/>
              </w:rPr>
            </w:pPr>
            <w:r>
              <w:rPr>
                <w:color w:val="auto"/>
                <w:sz w:val="24"/>
                <w:szCs w:val="22"/>
              </w:rPr>
              <w:t>（4）按照事故应急救援装备保障方案紧急调集相关应急救援设备；</w:t>
            </w:r>
          </w:p>
          <w:p w14:paraId="4D9C97B2">
            <w:pPr>
              <w:spacing w:line="360" w:lineRule="auto"/>
              <w:ind w:firstLine="480"/>
              <w:rPr>
                <w:color w:val="auto"/>
                <w:sz w:val="24"/>
                <w:szCs w:val="22"/>
              </w:rPr>
            </w:pPr>
            <w:r>
              <w:rPr>
                <w:color w:val="auto"/>
                <w:sz w:val="24"/>
                <w:szCs w:val="22"/>
              </w:rPr>
              <w:t>（5）掌握事故发生地气象信息，及时制定科学的事故抢救方案并组织实施；</w:t>
            </w:r>
          </w:p>
          <w:p w14:paraId="6FB8ED2E">
            <w:pPr>
              <w:spacing w:line="360" w:lineRule="auto"/>
              <w:ind w:firstLine="480"/>
              <w:rPr>
                <w:color w:val="auto"/>
                <w:sz w:val="24"/>
                <w:szCs w:val="22"/>
              </w:rPr>
            </w:pPr>
            <w:r>
              <w:rPr>
                <w:color w:val="auto"/>
                <w:sz w:val="24"/>
                <w:szCs w:val="22"/>
              </w:rPr>
              <w:t>（6）做好现场救援人员的安全防护工作，防止救援过程中发生二次伤亡；</w:t>
            </w:r>
          </w:p>
          <w:p w14:paraId="494D50EF">
            <w:pPr>
              <w:spacing w:line="360" w:lineRule="auto"/>
              <w:ind w:firstLine="480"/>
              <w:rPr>
                <w:rFonts w:ascii="Times New Roman" w:hAnsi="Times New Roman" w:eastAsia="宋体" w:cs="Times New Roman"/>
                <w:color w:val="auto"/>
                <w:sz w:val="24"/>
                <w:szCs w:val="22"/>
              </w:rPr>
            </w:pPr>
            <w:r>
              <w:rPr>
                <w:color w:val="auto"/>
                <w:sz w:val="24"/>
                <w:szCs w:val="22"/>
              </w:rPr>
              <w:t>（7）保护国家重要设</w:t>
            </w:r>
            <w:r>
              <w:rPr>
                <w:rFonts w:ascii="Times New Roman" w:hAnsi="Times New Roman" w:eastAsia="宋体" w:cs="Times New Roman"/>
                <w:color w:val="auto"/>
                <w:sz w:val="24"/>
                <w:szCs w:val="22"/>
              </w:rPr>
              <w:t>施和目标，防止对江河、湖泊、交通干线等造成影响；</w:t>
            </w:r>
          </w:p>
          <w:p w14:paraId="5AE93183">
            <w:pPr>
              <w:spacing w:line="360" w:lineRule="auto"/>
              <w:ind w:firstLine="480"/>
              <w:rPr>
                <w:rFonts w:ascii="Times New Roman" w:hAnsi="Times New Roman" w:eastAsia="宋体" w:cs="Times New Roman"/>
                <w:color w:val="auto"/>
                <w:sz w:val="24"/>
                <w:szCs w:val="22"/>
              </w:rPr>
            </w:pPr>
            <w:r>
              <w:rPr>
                <w:rFonts w:ascii="Times New Roman" w:hAnsi="Times New Roman" w:eastAsia="宋体" w:cs="Times New Roman"/>
                <w:color w:val="auto"/>
                <w:sz w:val="24"/>
                <w:szCs w:val="22"/>
              </w:rPr>
              <w:t>（8）必要时，宣传部参加事故现场应急救援指挥部工作，及时通报事故救援情况，协助地方人民政府做好事故现场新闻发布，正确引导媒体和公众舆论；</w:t>
            </w:r>
          </w:p>
          <w:p w14:paraId="44A55727">
            <w:pPr>
              <w:spacing w:line="360" w:lineRule="auto"/>
              <w:ind w:firstLine="480"/>
              <w:rPr>
                <w:rFonts w:ascii="Times New Roman" w:hAnsi="Times New Roman" w:eastAsia="宋体" w:cs="Times New Roman"/>
                <w:color w:val="auto"/>
                <w:sz w:val="24"/>
                <w:szCs w:val="22"/>
              </w:rPr>
            </w:pPr>
            <w:r>
              <w:rPr>
                <w:rFonts w:ascii="Times New Roman" w:hAnsi="Times New Roman" w:eastAsia="宋体" w:cs="Times New Roman"/>
                <w:color w:val="auto"/>
                <w:sz w:val="24"/>
                <w:szCs w:val="22"/>
              </w:rPr>
              <w:t>（9）事故现场得以控制，或已经采取了必要的措施保护公众免受危害，经现场应急救援指挥部批准，现场应急处置工作结束，应急救援队伍撤离现场。现场应急处置工作结束后，参加救援的部门和单位应认真核对参加应急救援人数，清点救援装备、器材；整理应急救援记录、图纸，写出救灾报告。项目的建设必然伴随着潜在的危害，如果安全措施水平高，则事故的概率必然会降低，但不会为零。一旦发生事故，需要采取工程应急措施，控制和减小事故危害。</w:t>
            </w:r>
          </w:p>
          <w:p w14:paraId="57CE4A48">
            <w:pPr>
              <w:spacing w:before="120" w:beforeLines="50" w:line="360" w:lineRule="auto"/>
              <w:ind w:firstLine="482" w:firstLineChars="200"/>
              <w:jc w:val="left"/>
              <w:rPr>
                <w:b/>
                <w:color w:val="auto"/>
                <w:sz w:val="24"/>
              </w:rPr>
            </w:pPr>
            <w:r>
              <w:rPr>
                <w:b/>
                <w:color w:val="auto"/>
                <w:sz w:val="24"/>
              </w:rPr>
              <w:t>5、环境风险结论</w:t>
            </w:r>
          </w:p>
          <w:p w14:paraId="64503A47">
            <w:pPr>
              <w:pStyle w:val="19"/>
              <w:spacing w:line="360" w:lineRule="auto"/>
              <w:ind w:firstLine="480"/>
              <w:rPr>
                <w:color w:val="auto"/>
              </w:rPr>
            </w:pPr>
            <w:r>
              <w:rPr>
                <w:color w:val="auto"/>
                <w:sz w:val="24"/>
                <w:szCs w:val="22"/>
              </w:rPr>
              <w:t>本项目为非重大危险源。建设单位在按照以上风险防范措施后，可降低环境风险事故的发生概率，同时建立健全应急预案体系，一旦发生事故，将环境污染程度降到最低程度。</w:t>
            </w:r>
          </w:p>
        </w:tc>
      </w:tr>
      <w:tr w14:paraId="43DB35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753" w:type="dxa"/>
            <w:vAlign w:val="center"/>
          </w:tcPr>
          <w:p w14:paraId="4213D245">
            <w:pPr>
              <w:adjustRightInd w:val="0"/>
              <w:snapToGrid w:val="0"/>
              <w:jc w:val="center"/>
              <w:rPr>
                <w:bCs/>
                <w:color w:val="auto"/>
                <w:szCs w:val="21"/>
              </w:rPr>
            </w:pPr>
            <w:r>
              <w:rPr>
                <w:bCs/>
                <w:color w:val="auto"/>
                <w:sz w:val="24"/>
              </w:rPr>
              <w:t>其他</w:t>
            </w:r>
          </w:p>
        </w:tc>
        <w:tc>
          <w:tcPr>
            <w:tcW w:w="8457" w:type="dxa"/>
            <w:vAlign w:val="center"/>
          </w:tcPr>
          <w:p w14:paraId="08DB84FF">
            <w:pPr>
              <w:snapToGrid w:val="0"/>
              <w:spacing w:before="120" w:beforeLines="50" w:line="360" w:lineRule="auto"/>
              <w:ind w:firstLine="482" w:firstLineChars="200"/>
              <w:rPr>
                <w:b/>
                <w:color w:val="auto"/>
                <w:sz w:val="24"/>
              </w:rPr>
            </w:pPr>
            <w:r>
              <w:rPr>
                <w:b/>
                <w:color w:val="auto"/>
                <w:sz w:val="24"/>
              </w:rPr>
              <w:t>一、建立环境管理制度</w:t>
            </w:r>
          </w:p>
          <w:p w14:paraId="41AE8DEE">
            <w:pPr>
              <w:adjustRightInd w:val="0"/>
              <w:snapToGrid w:val="0"/>
              <w:spacing w:line="360" w:lineRule="auto"/>
              <w:ind w:firstLine="480" w:firstLineChars="200"/>
              <w:rPr>
                <w:bCs/>
                <w:color w:val="auto"/>
                <w:sz w:val="24"/>
              </w:rPr>
            </w:pPr>
            <w:r>
              <w:rPr>
                <w:bCs/>
                <w:color w:val="auto"/>
                <w:sz w:val="24"/>
              </w:rPr>
              <w:t>根据本项目具体情况加强环境管理，建立健全的环境保护管理制度，要求运营单位设置环保专职人员，具体负责</w:t>
            </w:r>
            <w:r>
              <w:rPr>
                <w:rFonts w:hint="eastAsia"/>
                <w:bCs/>
                <w:color w:val="auto"/>
                <w:sz w:val="24"/>
              </w:rPr>
              <w:t>地质</w:t>
            </w:r>
            <w:r>
              <w:rPr>
                <w:bCs/>
                <w:color w:val="auto"/>
                <w:sz w:val="24"/>
              </w:rPr>
              <w:t>公园的环境管理工作，其主要职责是：</w:t>
            </w:r>
          </w:p>
          <w:p w14:paraId="05C38DF0">
            <w:pPr>
              <w:adjustRightInd w:val="0"/>
              <w:snapToGrid w:val="0"/>
              <w:spacing w:line="360" w:lineRule="auto"/>
              <w:ind w:firstLine="480" w:firstLineChars="200"/>
              <w:rPr>
                <w:bCs/>
                <w:color w:val="auto"/>
                <w:sz w:val="24"/>
              </w:rPr>
            </w:pPr>
            <w:r>
              <w:rPr>
                <w:bCs/>
                <w:color w:val="auto"/>
                <w:sz w:val="24"/>
              </w:rPr>
              <w:t>（1）贯彻执行环境保护法规和标准；</w:t>
            </w:r>
          </w:p>
          <w:p w14:paraId="7616E268">
            <w:pPr>
              <w:adjustRightInd w:val="0"/>
              <w:snapToGrid w:val="0"/>
              <w:spacing w:line="360" w:lineRule="auto"/>
              <w:ind w:firstLine="480" w:firstLineChars="200"/>
              <w:rPr>
                <w:bCs/>
                <w:color w:val="auto"/>
                <w:sz w:val="24"/>
              </w:rPr>
            </w:pPr>
            <w:r>
              <w:rPr>
                <w:bCs/>
                <w:color w:val="auto"/>
                <w:sz w:val="24"/>
              </w:rPr>
              <w:t>（2）组织制定环保规章制度，并监督执行；</w:t>
            </w:r>
          </w:p>
          <w:p w14:paraId="18B372E7">
            <w:pPr>
              <w:adjustRightInd w:val="0"/>
              <w:snapToGrid w:val="0"/>
              <w:spacing w:line="360" w:lineRule="auto"/>
              <w:ind w:firstLine="480" w:firstLineChars="200"/>
              <w:rPr>
                <w:bCs/>
                <w:color w:val="auto"/>
                <w:sz w:val="24"/>
              </w:rPr>
            </w:pPr>
            <w:r>
              <w:rPr>
                <w:bCs/>
                <w:color w:val="auto"/>
                <w:sz w:val="24"/>
              </w:rPr>
              <w:t>（3）建构筑物装修工程施工期，业主应与建设施工单位签订环保责任合同，由施工单位负责场地的环境管理，并接受当地环保部门监督、管理；</w:t>
            </w:r>
          </w:p>
          <w:p w14:paraId="35BFEF3A">
            <w:pPr>
              <w:adjustRightInd w:val="0"/>
              <w:snapToGrid w:val="0"/>
              <w:spacing w:line="360" w:lineRule="auto"/>
              <w:ind w:firstLine="480" w:firstLineChars="200"/>
              <w:rPr>
                <w:bCs/>
                <w:color w:val="auto"/>
                <w:sz w:val="24"/>
              </w:rPr>
            </w:pPr>
            <w:r>
              <w:rPr>
                <w:bCs/>
                <w:color w:val="auto"/>
                <w:sz w:val="24"/>
              </w:rPr>
              <w:t>（4）开展环保教育和培训，增强</w:t>
            </w:r>
            <w:r>
              <w:rPr>
                <w:rFonts w:hint="eastAsia"/>
                <w:bCs/>
                <w:color w:val="auto"/>
                <w:sz w:val="24"/>
              </w:rPr>
              <w:t>项目住户及商业接待人员</w:t>
            </w:r>
            <w:r>
              <w:rPr>
                <w:bCs/>
                <w:color w:val="auto"/>
                <w:sz w:val="24"/>
              </w:rPr>
              <w:t>的环保意识，使本项目成为人与环境协调发展的佳作；</w:t>
            </w:r>
          </w:p>
          <w:p w14:paraId="345223A2">
            <w:pPr>
              <w:adjustRightInd w:val="0"/>
              <w:snapToGrid w:val="0"/>
              <w:spacing w:line="360" w:lineRule="auto"/>
              <w:ind w:firstLine="480" w:firstLineChars="200"/>
              <w:rPr>
                <w:bCs/>
                <w:color w:val="auto"/>
                <w:sz w:val="24"/>
              </w:rPr>
            </w:pPr>
            <w:r>
              <w:rPr>
                <w:bCs/>
                <w:color w:val="auto"/>
                <w:sz w:val="24"/>
              </w:rPr>
              <w:t>（5）保证各环境保护治理设施的正常运行，确保污染物达标排放；</w:t>
            </w:r>
          </w:p>
          <w:p w14:paraId="2FF2BC56">
            <w:pPr>
              <w:adjustRightInd w:val="0"/>
              <w:snapToGrid w:val="0"/>
              <w:spacing w:line="360" w:lineRule="auto"/>
              <w:ind w:firstLine="480" w:firstLineChars="200"/>
              <w:rPr>
                <w:bCs/>
                <w:color w:val="auto"/>
                <w:sz w:val="24"/>
              </w:rPr>
            </w:pPr>
            <w:r>
              <w:rPr>
                <w:bCs/>
                <w:color w:val="auto"/>
                <w:sz w:val="24"/>
              </w:rPr>
              <w:t>（6）建立环境保护档案资料；</w:t>
            </w:r>
          </w:p>
          <w:p w14:paraId="16C4CA9C">
            <w:pPr>
              <w:snapToGrid w:val="0"/>
              <w:spacing w:line="360" w:lineRule="auto"/>
              <w:ind w:firstLine="480" w:firstLineChars="200"/>
              <w:rPr>
                <w:bCs/>
                <w:color w:val="auto"/>
                <w:sz w:val="24"/>
              </w:rPr>
            </w:pPr>
            <w:r>
              <w:rPr>
                <w:bCs/>
                <w:color w:val="auto"/>
                <w:sz w:val="24"/>
              </w:rPr>
              <w:t>（7）接受环保部门指导工作和监督、管理。</w:t>
            </w:r>
          </w:p>
          <w:p w14:paraId="32A821AF">
            <w:pPr>
              <w:pStyle w:val="19"/>
              <w:spacing w:line="360" w:lineRule="auto"/>
              <w:ind w:firstLine="480"/>
              <w:rPr>
                <w:bCs/>
                <w:color w:val="auto"/>
                <w:szCs w:val="21"/>
              </w:rPr>
            </w:pPr>
            <w:r>
              <w:rPr>
                <w:color w:val="auto"/>
                <w:sz w:val="24"/>
              </w:rPr>
              <w:t>（8）生活垃圾的收集管理应由专人负责，做到日产日清，对分散布置的垃圾桶应定期清洗消毒。</w:t>
            </w:r>
          </w:p>
        </w:tc>
      </w:tr>
      <w:tr w14:paraId="65BF40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753" w:type="dxa"/>
            <w:vAlign w:val="center"/>
          </w:tcPr>
          <w:p w14:paraId="500D01B3">
            <w:pPr>
              <w:adjustRightInd w:val="0"/>
              <w:snapToGrid w:val="0"/>
              <w:jc w:val="center"/>
              <w:rPr>
                <w:bCs/>
                <w:color w:val="auto"/>
                <w:szCs w:val="21"/>
              </w:rPr>
            </w:pPr>
            <w:r>
              <w:rPr>
                <w:bCs/>
                <w:color w:val="auto"/>
                <w:sz w:val="24"/>
              </w:rPr>
              <w:t>环保投资</w:t>
            </w:r>
          </w:p>
        </w:tc>
        <w:tc>
          <w:tcPr>
            <w:tcW w:w="8457" w:type="dxa"/>
          </w:tcPr>
          <w:p w14:paraId="74BCCBD8">
            <w:pPr>
              <w:adjustRightInd w:val="0"/>
              <w:snapToGrid w:val="0"/>
              <w:spacing w:before="120" w:beforeLines="50" w:line="360" w:lineRule="auto"/>
              <w:ind w:firstLine="480" w:firstLineChars="200"/>
              <w:rPr>
                <w:bCs/>
                <w:color w:val="auto"/>
                <w:sz w:val="24"/>
                <w:highlight w:val="yellow"/>
              </w:rPr>
            </w:pPr>
            <w:r>
              <w:rPr>
                <w:bCs/>
                <w:color w:val="auto"/>
                <w:sz w:val="24"/>
              </w:rPr>
              <w:t>环保投资包括环保设施、设备以及水土保持等费用。根据本项目的环境特点以及本报告表中提出的环保措施及建议，环保措施直接投资见表5-</w:t>
            </w:r>
            <w:r>
              <w:rPr>
                <w:rFonts w:hint="eastAsia"/>
                <w:bCs/>
                <w:color w:val="auto"/>
                <w:sz w:val="24"/>
              </w:rPr>
              <w:t>5</w:t>
            </w:r>
            <w:r>
              <w:rPr>
                <w:bCs/>
                <w:color w:val="auto"/>
                <w:sz w:val="24"/>
              </w:rPr>
              <w:t>。本项目总投资</w:t>
            </w:r>
            <w:r>
              <w:rPr>
                <w:rFonts w:hint="eastAsia"/>
                <w:color w:val="auto"/>
                <w:sz w:val="24"/>
                <w:lang w:val="en-US" w:eastAsia="zh-CN"/>
              </w:rPr>
              <w:t>15036</w:t>
            </w:r>
            <w:r>
              <w:rPr>
                <w:bCs/>
                <w:color w:val="auto"/>
                <w:sz w:val="24"/>
              </w:rPr>
              <w:t>万元，其中环保投资为</w:t>
            </w:r>
            <w:r>
              <w:rPr>
                <w:rFonts w:hint="eastAsia"/>
                <w:color w:val="auto"/>
                <w:sz w:val="24"/>
                <w:lang w:val="en-US" w:eastAsia="zh-CN"/>
              </w:rPr>
              <w:t>159</w:t>
            </w:r>
            <w:r>
              <w:rPr>
                <w:bCs/>
                <w:color w:val="auto"/>
                <w:sz w:val="24"/>
              </w:rPr>
              <w:t>万元，占总投资的</w:t>
            </w:r>
            <w:r>
              <w:rPr>
                <w:rFonts w:hint="eastAsia"/>
                <w:bCs/>
                <w:color w:val="auto"/>
                <w:sz w:val="24"/>
                <w:lang w:val="en-US" w:eastAsia="zh-CN"/>
              </w:rPr>
              <w:t>1.06</w:t>
            </w:r>
            <w:r>
              <w:rPr>
                <w:bCs/>
                <w:color w:val="auto"/>
                <w:sz w:val="24"/>
              </w:rPr>
              <w:t>%。</w:t>
            </w:r>
          </w:p>
          <w:p w14:paraId="1746391F">
            <w:pPr>
              <w:pStyle w:val="12"/>
              <w:spacing w:before="0"/>
              <w:jc w:val="center"/>
              <w:rPr>
                <w:rFonts w:ascii="Times New Roman" w:hAnsi="Times New Roman" w:cs="Times New Roman"/>
                <w:b/>
                <w:color w:val="auto"/>
                <w:sz w:val="21"/>
                <w:szCs w:val="21"/>
              </w:rPr>
            </w:pPr>
            <w:r>
              <w:rPr>
                <w:rFonts w:ascii="Times New Roman" w:hAnsi="Times New Roman" w:cs="Times New Roman"/>
                <w:b/>
                <w:color w:val="auto"/>
                <w:sz w:val="21"/>
                <w:szCs w:val="21"/>
              </w:rPr>
              <w:t>表5-</w:t>
            </w:r>
            <w:r>
              <w:rPr>
                <w:rFonts w:hint="eastAsia" w:ascii="Times New Roman" w:hAnsi="Times New Roman" w:cs="Times New Roman"/>
                <w:b/>
                <w:color w:val="auto"/>
                <w:sz w:val="21"/>
                <w:szCs w:val="21"/>
              </w:rPr>
              <w:t>5</w:t>
            </w:r>
            <w:r>
              <w:rPr>
                <w:rFonts w:ascii="Times New Roman" w:hAnsi="Times New Roman" w:cs="Times New Roman"/>
                <w:b/>
                <w:color w:val="auto"/>
                <w:sz w:val="21"/>
                <w:szCs w:val="21"/>
              </w:rPr>
              <w:t xml:space="preserve">    环境保护投资估算表</w:t>
            </w:r>
            <w:r>
              <w:rPr>
                <w:rFonts w:hint="eastAsia" w:ascii="Times New Roman" w:hAnsi="Times New Roman" w:cs="Times New Roman"/>
                <w:b/>
                <w:color w:val="auto"/>
                <w:sz w:val="21"/>
                <w:szCs w:val="21"/>
              </w:rPr>
              <w:t>（单位：万元）</w:t>
            </w:r>
          </w:p>
          <w:tbl>
            <w:tblPr>
              <w:tblStyle w:val="34"/>
              <w:tblW w:w="8241"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741"/>
              <w:gridCol w:w="795"/>
              <w:gridCol w:w="5720"/>
              <w:gridCol w:w="985"/>
            </w:tblGrid>
            <w:tr w14:paraId="730BF4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tcBorders>
                    <w:tl2br w:val="nil"/>
                    <w:tr2bl w:val="nil"/>
                  </w:tcBorders>
                  <w:vAlign w:val="center"/>
                </w:tcPr>
                <w:p w14:paraId="48CE2108">
                  <w:pPr>
                    <w:adjustRightInd w:val="0"/>
                    <w:snapToGrid w:val="0"/>
                    <w:jc w:val="center"/>
                    <w:rPr>
                      <w:b/>
                      <w:color w:val="auto"/>
                      <w:szCs w:val="21"/>
                    </w:rPr>
                  </w:pPr>
                  <w:r>
                    <w:rPr>
                      <w:b/>
                      <w:color w:val="auto"/>
                      <w:szCs w:val="21"/>
                    </w:rPr>
                    <w:t>项目</w:t>
                  </w:r>
                </w:p>
              </w:tc>
              <w:tc>
                <w:tcPr>
                  <w:tcW w:w="6515" w:type="dxa"/>
                  <w:gridSpan w:val="2"/>
                  <w:tcBorders>
                    <w:tl2br w:val="nil"/>
                    <w:tr2bl w:val="nil"/>
                  </w:tcBorders>
                  <w:vAlign w:val="center"/>
                </w:tcPr>
                <w:p w14:paraId="5CA67FFC">
                  <w:pPr>
                    <w:adjustRightInd w:val="0"/>
                    <w:snapToGrid w:val="0"/>
                    <w:jc w:val="center"/>
                    <w:rPr>
                      <w:b/>
                      <w:color w:val="auto"/>
                      <w:szCs w:val="21"/>
                    </w:rPr>
                  </w:pPr>
                  <w:r>
                    <w:rPr>
                      <w:b/>
                      <w:color w:val="auto"/>
                      <w:szCs w:val="21"/>
                    </w:rPr>
                    <w:t>措施内容</w:t>
                  </w:r>
                </w:p>
              </w:tc>
              <w:tc>
                <w:tcPr>
                  <w:tcW w:w="985" w:type="dxa"/>
                  <w:tcBorders>
                    <w:tl2br w:val="nil"/>
                    <w:tr2bl w:val="nil"/>
                  </w:tcBorders>
                  <w:vAlign w:val="center"/>
                </w:tcPr>
                <w:p w14:paraId="5A8FFF8B">
                  <w:pPr>
                    <w:adjustRightInd w:val="0"/>
                    <w:snapToGrid w:val="0"/>
                    <w:jc w:val="center"/>
                    <w:rPr>
                      <w:b/>
                      <w:color w:val="auto"/>
                      <w:szCs w:val="21"/>
                    </w:rPr>
                  </w:pPr>
                  <w:r>
                    <w:rPr>
                      <w:b/>
                      <w:color w:val="auto"/>
                      <w:szCs w:val="21"/>
                    </w:rPr>
                    <w:t>金额</w:t>
                  </w:r>
                </w:p>
              </w:tc>
            </w:tr>
            <w:tr w14:paraId="6135A7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restart"/>
                  <w:tcBorders>
                    <w:tl2br w:val="nil"/>
                    <w:tr2bl w:val="nil"/>
                  </w:tcBorders>
                  <w:vAlign w:val="center"/>
                </w:tcPr>
                <w:p w14:paraId="3331815D">
                  <w:pPr>
                    <w:adjustRightInd w:val="0"/>
                    <w:snapToGrid w:val="0"/>
                    <w:jc w:val="center"/>
                    <w:rPr>
                      <w:bCs/>
                      <w:color w:val="auto"/>
                      <w:szCs w:val="21"/>
                    </w:rPr>
                  </w:pPr>
                  <w:r>
                    <w:rPr>
                      <w:bCs/>
                      <w:color w:val="auto"/>
                      <w:szCs w:val="21"/>
                    </w:rPr>
                    <w:t>生态环境保护及恢复</w:t>
                  </w:r>
                </w:p>
              </w:tc>
              <w:tc>
                <w:tcPr>
                  <w:tcW w:w="795" w:type="dxa"/>
                  <w:tcBorders>
                    <w:tl2br w:val="nil"/>
                    <w:tr2bl w:val="nil"/>
                  </w:tcBorders>
                  <w:vAlign w:val="center"/>
                </w:tcPr>
                <w:p w14:paraId="3C6A4334">
                  <w:pPr>
                    <w:adjustRightInd w:val="0"/>
                    <w:snapToGrid w:val="0"/>
                    <w:jc w:val="center"/>
                    <w:rPr>
                      <w:b/>
                      <w:color w:val="auto"/>
                      <w:szCs w:val="21"/>
                    </w:rPr>
                  </w:pPr>
                  <w:r>
                    <w:rPr>
                      <w:bCs/>
                      <w:color w:val="auto"/>
                      <w:szCs w:val="21"/>
                    </w:rPr>
                    <w:t>施工期</w:t>
                  </w:r>
                </w:p>
              </w:tc>
              <w:tc>
                <w:tcPr>
                  <w:tcW w:w="5720" w:type="dxa"/>
                  <w:tcBorders>
                    <w:tl2br w:val="nil"/>
                    <w:tr2bl w:val="nil"/>
                  </w:tcBorders>
                  <w:vAlign w:val="center"/>
                </w:tcPr>
                <w:p w14:paraId="7378E760">
                  <w:pPr>
                    <w:widowControl/>
                    <w:jc w:val="center"/>
                    <w:rPr>
                      <w:color w:val="auto"/>
                      <w:kern w:val="0"/>
                      <w:szCs w:val="21"/>
                      <w:lang w:bidi="ar"/>
                    </w:rPr>
                  </w:pPr>
                  <w:r>
                    <w:rPr>
                      <w:color w:val="auto"/>
                      <w:kern w:val="0"/>
                      <w:szCs w:val="21"/>
                      <w:lang w:bidi="ar"/>
                    </w:rPr>
                    <w:t>禁止捕杀野生动物、加强宣传管理、合理安排施工时间；表土剥离后集中堆放，压实加盖，用于覆土</w:t>
                  </w:r>
                  <w:r>
                    <w:rPr>
                      <w:rFonts w:hint="eastAsia"/>
                      <w:color w:val="auto"/>
                      <w:kern w:val="0"/>
                      <w:szCs w:val="21"/>
                      <w:lang w:bidi="ar"/>
                    </w:rPr>
                    <w:t>绿化</w:t>
                  </w:r>
                  <w:r>
                    <w:rPr>
                      <w:color w:val="auto"/>
                      <w:kern w:val="0"/>
                      <w:szCs w:val="21"/>
                      <w:lang w:bidi="ar"/>
                    </w:rPr>
                    <w:t>；</w:t>
                  </w:r>
                  <w:r>
                    <w:rPr>
                      <w:rFonts w:hint="eastAsia"/>
                      <w:color w:val="auto"/>
                      <w:kern w:val="0"/>
                      <w:szCs w:val="21"/>
                      <w:lang w:bidi="ar"/>
                    </w:rPr>
                    <w:t>施工场地设置截排水沟及围挡</w:t>
                  </w:r>
                </w:p>
              </w:tc>
              <w:tc>
                <w:tcPr>
                  <w:tcW w:w="985" w:type="dxa"/>
                  <w:tcBorders>
                    <w:tl2br w:val="nil"/>
                    <w:tr2bl w:val="nil"/>
                  </w:tcBorders>
                  <w:vAlign w:val="center"/>
                </w:tcPr>
                <w:p w14:paraId="70DD04B3">
                  <w:pPr>
                    <w:adjustRightInd w:val="0"/>
                    <w:snapToGrid w:val="0"/>
                    <w:jc w:val="center"/>
                    <w:rPr>
                      <w:rFonts w:hint="default" w:eastAsia="宋体"/>
                      <w:bCs/>
                      <w:color w:val="auto"/>
                      <w:szCs w:val="21"/>
                      <w:lang w:val="en-US" w:eastAsia="zh-CN"/>
                    </w:rPr>
                  </w:pPr>
                  <w:r>
                    <w:rPr>
                      <w:rFonts w:hint="eastAsia"/>
                      <w:bCs/>
                      <w:color w:val="auto"/>
                      <w:szCs w:val="21"/>
                      <w:lang w:val="en-US" w:eastAsia="zh-CN"/>
                    </w:rPr>
                    <w:t>50</w:t>
                  </w:r>
                </w:p>
              </w:tc>
            </w:tr>
            <w:tr w14:paraId="2CD4A6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continue"/>
                  <w:tcBorders>
                    <w:tl2br w:val="nil"/>
                    <w:tr2bl w:val="nil"/>
                  </w:tcBorders>
                  <w:vAlign w:val="center"/>
                </w:tcPr>
                <w:p w14:paraId="6B9A421D">
                  <w:pPr>
                    <w:widowControl/>
                    <w:jc w:val="center"/>
                    <w:rPr>
                      <w:color w:val="auto"/>
                    </w:rPr>
                  </w:pPr>
                </w:p>
              </w:tc>
              <w:tc>
                <w:tcPr>
                  <w:tcW w:w="795" w:type="dxa"/>
                  <w:tcBorders>
                    <w:tl2br w:val="nil"/>
                    <w:tr2bl w:val="nil"/>
                  </w:tcBorders>
                  <w:vAlign w:val="center"/>
                </w:tcPr>
                <w:p w14:paraId="4C51E7E0">
                  <w:pPr>
                    <w:adjustRightInd w:val="0"/>
                    <w:snapToGrid w:val="0"/>
                    <w:jc w:val="center"/>
                    <w:rPr>
                      <w:color w:val="auto"/>
                    </w:rPr>
                  </w:pPr>
                  <w:r>
                    <w:rPr>
                      <w:bCs/>
                      <w:color w:val="auto"/>
                      <w:szCs w:val="21"/>
                    </w:rPr>
                    <w:t>运营期</w:t>
                  </w:r>
                </w:p>
              </w:tc>
              <w:tc>
                <w:tcPr>
                  <w:tcW w:w="5720" w:type="dxa"/>
                  <w:tcBorders>
                    <w:tl2br w:val="nil"/>
                    <w:tr2bl w:val="nil"/>
                  </w:tcBorders>
                  <w:vAlign w:val="center"/>
                </w:tcPr>
                <w:p w14:paraId="4D23283E">
                  <w:pPr>
                    <w:widowControl/>
                    <w:jc w:val="center"/>
                    <w:rPr>
                      <w:color w:val="auto"/>
                      <w:kern w:val="0"/>
                      <w:szCs w:val="21"/>
                      <w:lang w:bidi="ar"/>
                    </w:rPr>
                  </w:pPr>
                  <w:r>
                    <w:rPr>
                      <w:rFonts w:hint="eastAsia"/>
                      <w:color w:val="auto"/>
                      <w:kern w:val="0"/>
                      <w:szCs w:val="21"/>
                      <w:lang w:bidi="ar"/>
                    </w:rPr>
                    <w:t>加强</w:t>
                  </w:r>
                  <w:r>
                    <w:rPr>
                      <w:color w:val="auto"/>
                      <w:kern w:val="0"/>
                      <w:szCs w:val="21"/>
                      <w:lang w:bidi="ar"/>
                    </w:rPr>
                    <w:t>管理</w:t>
                  </w:r>
                  <w:r>
                    <w:rPr>
                      <w:rFonts w:hint="eastAsia"/>
                      <w:color w:val="auto"/>
                      <w:kern w:val="0"/>
                      <w:szCs w:val="21"/>
                      <w:lang w:bidi="ar"/>
                    </w:rPr>
                    <w:t>、宣传</w:t>
                  </w:r>
                </w:p>
              </w:tc>
              <w:tc>
                <w:tcPr>
                  <w:tcW w:w="985" w:type="dxa"/>
                  <w:tcBorders>
                    <w:tl2br w:val="nil"/>
                    <w:tr2bl w:val="nil"/>
                  </w:tcBorders>
                  <w:vAlign w:val="center"/>
                </w:tcPr>
                <w:p w14:paraId="16AA5044">
                  <w:pPr>
                    <w:widowControl/>
                    <w:jc w:val="center"/>
                    <w:rPr>
                      <w:color w:val="auto"/>
                      <w:kern w:val="0"/>
                      <w:szCs w:val="21"/>
                      <w:lang w:bidi="ar"/>
                    </w:rPr>
                  </w:pPr>
                  <w:r>
                    <w:rPr>
                      <w:rFonts w:hint="eastAsia"/>
                      <w:color w:val="auto"/>
                      <w:kern w:val="0"/>
                      <w:szCs w:val="21"/>
                      <w:lang w:bidi="ar"/>
                    </w:rPr>
                    <w:t>1</w:t>
                  </w:r>
                </w:p>
              </w:tc>
            </w:tr>
            <w:tr w14:paraId="2DD34D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restart"/>
                  <w:tcBorders>
                    <w:tl2br w:val="nil"/>
                    <w:tr2bl w:val="nil"/>
                  </w:tcBorders>
                  <w:vAlign w:val="center"/>
                </w:tcPr>
                <w:p w14:paraId="1FE64DB7">
                  <w:pPr>
                    <w:adjustRightInd w:val="0"/>
                    <w:snapToGrid w:val="0"/>
                    <w:jc w:val="center"/>
                    <w:rPr>
                      <w:bCs/>
                      <w:color w:val="auto"/>
                      <w:szCs w:val="21"/>
                    </w:rPr>
                  </w:pPr>
                  <w:r>
                    <w:rPr>
                      <w:bCs/>
                      <w:color w:val="auto"/>
                      <w:szCs w:val="21"/>
                    </w:rPr>
                    <w:t>噪声防治</w:t>
                  </w:r>
                </w:p>
              </w:tc>
              <w:tc>
                <w:tcPr>
                  <w:tcW w:w="795" w:type="dxa"/>
                  <w:tcBorders>
                    <w:tl2br w:val="nil"/>
                    <w:tr2bl w:val="nil"/>
                  </w:tcBorders>
                  <w:vAlign w:val="center"/>
                </w:tcPr>
                <w:p w14:paraId="78E1A778">
                  <w:pPr>
                    <w:adjustRightInd w:val="0"/>
                    <w:snapToGrid w:val="0"/>
                    <w:jc w:val="center"/>
                    <w:rPr>
                      <w:bCs/>
                      <w:color w:val="auto"/>
                      <w:szCs w:val="21"/>
                    </w:rPr>
                  </w:pPr>
                  <w:r>
                    <w:rPr>
                      <w:bCs/>
                      <w:color w:val="auto"/>
                      <w:szCs w:val="21"/>
                    </w:rPr>
                    <w:t>施工期</w:t>
                  </w:r>
                </w:p>
              </w:tc>
              <w:tc>
                <w:tcPr>
                  <w:tcW w:w="5720" w:type="dxa"/>
                  <w:tcBorders>
                    <w:tl2br w:val="nil"/>
                    <w:tr2bl w:val="nil"/>
                  </w:tcBorders>
                  <w:vAlign w:val="center"/>
                </w:tcPr>
                <w:p w14:paraId="1C0E1355">
                  <w:pPr>
                    <w:widowControl/>
                    <w:jc w:val="left"/>
                    <w:rPr>
                      <w:bCs/>
                      <w:color w:val="auto"/>
                      <w:szCs w:val="21"/>
                    </w:rPr>
                  </w:pPr>
                  <w:r>
                    <w:rPr>
                      <w:color w:val="auto"/>
                      <w:kern w:val="0"/>
                      <w:szCs w:val="21"/>
                      <w:lang w:bidi="ar"/>
                    </w:rPr>
                    <w:t>优化施工布局，合理安排施工时段；加强施工管理，采用低噪音施工机械设备等。</w:t>
                  </w:r>
                </w:p>
              </w:tc>
              <w:tc>
                <w:tcPr>
                  <w:tcW w:w="985" w:type="dxa"/>
                  <w:tcBorders>
                    <w:tl2br w:val="nil"/>
                    <w:tr2bl w:val="nil"/>
                  </w:tcBorders>
                  <w:vAlign w:val="center"/>
                </w:tcPr>
                <w:p w14:paraId="5E1FBF97">
                  <w:pPr>
                    <w:adjustRightInd w:val="0"/>
                    <w:snapToGrid w:val="0"/>
                    <w:jc w:val="center"/>
                    <w:rPr>
                      <w:bCs/>
                      <w:color w:val="auto"/>
                      <w:szCs w:val="21"/>
                    </w:rPr>
                  </w:pPr>
                  <w:r>
                    <w:rPr>
                      <w:rFonts w:hint="eastAsia"/>
                      <w:bCs/>
                      <w:color w:val="auto"/>
                      <w:szCs w:val="21"/>
                    </w:rPr>
                    <w:t>5</w:t>
                  </w:r>
                </w:p>
              </w:tc>
            </w:tr>
            <w:tr w14:paraId="1B46D6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continue"/>
                  <w:tcBorders>
                    <w:tl2br w:val="nil"/>
                    <w:tr2bl w:val="nil"/>
                  </w:tcBorders>
                  <w:vAlign w:val="center"/>
                </w:tcPr>
                <w:p w14:paraId="230EDFC6">
                  <w:pPr>
                    <w:adjustRightInd w:val="0"/>
                    <w:snapToGrid w:val="0"/>
                    <w:jc w:val="center"/>
                    <w:rPr>
                      <w:bCs/>
                      <w:color w:val="auto"/>
                      <w:szCs w:val="21"/>
                    </w:rPr>
                  </w:pPr>
                </w:p>
              </w:tc>
              <w:tc>
                <w:tcPr>
                  <w:tcW w:w="795" w:type="dxa"/>
                  <w:tcBorders>
                    <w:tl2br w:val="nil"/>
                    <w:tr2bl w:val="nil"/>
                  </w:tcBorders>
                  <w:vAlign w:val="center"/>
                </w:tcPr>
                <w:p w14:paraId="054F7F15">
                  <w:pPr>
                    <w:adjustRightInd w:val="0"/>
                    <w:snapToGrid w:val="0"/>
                    <w:jc w:val="center"/>
                    <w:rPr>
                      <w:bCs/>
                      <w:color w:val="auto"/>
                      <w:szCs w:val="21"/>
                    </w:rPr>
                  </w:pPr>
                  <w:r>
                    <w:rPr>
                      <w:bCs/>
                      <w:color w:val="auto"/>
                      <w:szCs w:val="21"/>
                    </w:rPr>
                    <w:t>运营期</w:t>
                  </w:r>
                </w:p>
              </w:tc>
              <w:tc>
                <w:tcPr>
                  <w:tcW w:w="5720" w:type="dxa"/>
                  <w:tcBorders>
                    <w:tl2br w:val="nil"/>
                    <w:tr2bl w:val="nil"/>
                  </w:tcBorders>
                  <w:vAlign w:val="center"/>
                </w:tcPr>
                <w:p w14:paraId="34BC4084">
                  <w:pPr>
                    <w:widowControl/>
                    <w:jc w:val="left"/>
                    <w:rPr>
                      <w:color w:val="auto"/>
                      <w:kern w:val="0"/>
                      <w:szCs w:val="21"/>
                      <w:lang w:bidi="ar"/>
                    </w:rPr>
                  </w:pPr>
                  <w:r>
                    <w:rPr>
                      <w:color w:val="auto"/>
                      <w:kern w:val="0"/>
                      <w:szCs w:val="21"/>
                      <w:lang w:bidi="ar"/>
                    </w:rPr>
                    <w:t>加强管理，</w:t>
                  </w:r>
                  <w:r>
                    <w:rPr>
                      <w:rFonts w:hint="eastAsia"/>
                      <w:color w:val="auto"/>
                      <w:kern w:val="0"/>
                      <w:szCs w:val="21"/>
                      <w:lang w:bidi="ar"/>
                    </w:rPr>
                    <w:t>合理设置柴油发电机等设备位置，优化绿化</w:t>
                  </w:r>
                  <w:r>
                    <w:rPr>
                      <w:color w:val="auto"/>
                      <w:kern w:val="0"/>
                      <w:szCs w:val="21"/>
                      <w:lang w:bidi="ar"/>
                    </w:rPr>
                    <w:t>等。</w:t>
                  </w:r>
                </w:p>
              </w:tc>
              <w:tc>
                <w:tcPr>
                  <w:tcW w:w="985" w:type="dxa"/>
                  <w:tcBorders>
                    <w:tl2br w:val="nil"/>
                    <w:tr2bl w:val="nil"/>
                  </w:tcBorders>
                  <w:vAlign w:val="center"/>
                </w:tcPr>
                <w:p w14:paraId="0BAB2874">
                  <w:pPr>
                    <w:adjustRightInd w:val="0"/>
                    <w:snapToGrid w:val="0"/>
                    <w:jc w:val="center"/>
                    <w:rPr>
                      <w:rFonts w:hint="eastAsia" w:eastAsia="宋体"/>
                      <w:bCs/>
                      <w:color w:val="auto"/>
                      <w:szCs w:val="21"/>
                      <w:lang w:eastAsia="zh-CN"/>
                    </w:rPr>
                  </w:pPr>
                  <w:r>
                    <w:rPr>
                      <w:rFonts w:hint="eastAsia"/>
                      <w:bCs/>
                      <w:color w:val="auto"/>
                      <w:szCs w:val="21"/>
                      <w:lang w:val="en-US" w:eastAsia="zh-CN"/>
                    </w:rPr>
                    <w:t>5</w:t>
                  </w:r>
                </w:p>
              </w:tc>
            </w:tr>
            <w:tr w14:paraId="0EEE4F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restart"/>
                  <w:tcBorders>
                    <w:tl2br w:val="nil"/>
                    <w:tr2bl w:val="nil"/>
                  </w:tcBorders>
                  <w:vAlign w:val="center"/>
                </w:tcPr>
                <w:p w14:paraId="48D216C7">
                  <w:pPr>
                    <w:adjustRightInd w:val="0"/>
                    <w:snapToGrid w:val="0"/>
                    <w:jc w:val="center"/>
                    <w:rPr>
                      <w:bCs/>
                      <w:color w:val="auto"/>
                      <w:szCs w:val="21"/>
                    </w:rPr>
                  </w:pPr>
                  <w:r>
                    <w:rPr>
                      <w:bCs/>
                      <w:color w:val="auto"/>
                      <w:szCs w:val="21"/>
                    </w:rPr>
                    <w:t>水污染防治</w:t>
                  </w:r>
                </w:p>
              </w:tc>
              <w:tc>
                <w:tcPr>
                  <w:tcW w:w="795" w:type="dxa"/>
                  <w:tcBorders>
                    <w:tl2br w:val="nil"/>
                    <w:tr2bl w:val="nil"/>
                  </w:tcBorders>
                  <w:vAlign w:val="center"/>
                </w:tcPr>
                <w:p w14:paraId="52C27A53">
                  <w:pPr>
                    <w:adjustRightInd w:val="0"/>
                    <w:snapToGrid w:val="0"/>
                    <w:jc w:val="center"/>
                    <w:rPr>
                      <w:bCs/>
                      <w:color w:val="auto"/>
                      <w:szCs w:val="21"/>
                    </w:rPr>
                  </w:pPr>
                  <w:r>
                    <w:rPr>
                      <w:bCs/>
                      <w:color w:val="auto"/>
                      <w:szCs w:val="21"/>
                    </w:rPr>
                    <w:t>施工期</w:t>
                  </w:r>
                </w:p>
              </w:tc>
              <w:tc>
                <w:tcPr>
                  <w:tcW w:w="5720" w:type="dxa"/>
                  <w:tcBorders>
                    <w:tl2br w:val="nil"/>
                    <w:tr2bl w:val="nil"/>
                  </w:tcBorders>
                  <w:vAlign w:val="center"/>
                </w:tcPr>
                <w:p w14:paraId="690E722A">
                  <w:pPr>
                    <w:widowControl/>
                    <w:jc w:val="left"/>
                    <w:rPr>
                      <w:bCs/>
                      <w:color w:val="auto"/>
                      <w:szCs w:val="21"/>
                    </w:rPr>
                  </w:pPr>
                  <w:r>
                    <w:rPr>
                      <w:color w:val="auto"/>
                      <w:szCs w:val="21"/>
                    </w:rPr>
                    <w:t>施工场地设置临时排水沟，施工废水收集后进入沉淀池处理</w:t>
                  </w:r>
                  <w:r>
                    <w:rPr>
                      <w:bCs/>
                      <w:color w:val="auto"/>
                      <w:szCs w:val="21"/>
                    </w:rPr>
                    <w:t>，最后作为生产用水进行循环使用</w:t>
                  </w:r>
                  <w:r>
                    <w:rPr>
                      <w:rFonts w:hint="eastAsia"/>
                      <w:color w:val="auto"/>
                      <w:szCs w:val="21"/>
                      <w:lang w:eastAsia="zh-CN"/>
                    </w:rPr>
                    <w:t>。</w:t>
                  </w:r>
                </w:p>
              </w:tc>
              <w:tc>
                <w:tcPr>
                  <w:tcW w:w="985" w:type="dxa"/>
                  <w:tcBorders>
                    <w:tl2br w:val="nil"/>
                    <w:tr2bl w:val="nil"/>
                  </w:tcBorders>
                  <w:vAlign w:val="center"/>
                </w:tcPr>
                <w:p w14:paraId="3C0843F0">
                  <w:pPr>
                    <w:adjustRightInd w:val="0"/>
                    <w:snapToGrid w:val="0"/>
                    <w:jc w:val="center"/>
                    <w:rPr>
                      <w:rFonts w:hint="default" w:eastAsia="宋体"/>
                      <w:bCs/>
                      <w:color w:val="auto"/>
                      <w:szCs w:val="21"/>
                      <w:lang w:val="en-US" w:eastAsia="zh-CN"/>
                    </w:rPr>
                  </w:pPr>
                  <w:r>
                    <w:rPr>
                      <w:rFonts w:hint="eastAsia"/>
                      <w:bCs/>
                      <w:color w:val="auto"/>
                      <w:szCs w:val="21"/>
                      <w:lang w:val="en-US" w:eastAsia="zh-CN"/>
                    </w:rPr>
                    <w:t>10</w:t>
                  </w:r>
                </w:p>
              </w:tc>
            </w:tr>
            <w:tr w14:paraId="386802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continue"/>
                  <w:tcBorders>
                    <w:tl2br w:val="nil"/>
                    <w:tr2bl w:val="nil"/>
                  </w:tcBorders>
                  <w:vAlign w:val="center"/>
                </w:tcPr>
                <w:p w14:paraId="3C71BE9D">
                  <w:pPr>
                    <w:adjustRightInd w:val="0"/>
                    <w:snapToGrid w:val="0"/>
                    <w:jc w:val="center"/>
                    <w:rPr>
                      <w:bCs/>
                      <w:color w:val="auto"/>
                      <w:szCs w:val="21"/>
                    </w:rPr>
                  </w:pPr>
                </w:p>
              </w:tc>
              <w:tc>
                <w:tcPr>
                  <w:tcW w:w="795" w:type="dxa"/>
                  <w:tcBorders>
                    <w:tl2br w:val="nil"/>
                    <w:tr2bl w:val="nil"/>
                  </w:tcBorders>
                  <w:vAlign w:val="center"/>
                </w:tcPr>
                <w:p w14:paraId="3A334213">
                  <w:pPr>
                    <w:adjustRightInd w:val="0"/>
                    <w:snapToGrid w:val="0"/>
                    <w:jc w:val="center"/>
                    <w:rPr>
                      <w:bCs/>
                      <w:color w:val="auto"/>
                      <w:szCs w:val="21"/>
                    </w:rPr>
                  </w:pPr>
                  <w:r>
                    <w:rPr>
                      <w:bCs/>
                      <w:color w:val="auto"/>
                      <w:szCs w:val="21"/>
                    </w:rPr>
                    <w:t>运营期</w:t>
                  </w:r>
                </w:p>
              </w:tc>
              <w:tc>
                <w:tcPr>
                  <w:tcW w:w="5720" w:type="dxa"/>
                  <w:tcBorders>
                    <w:tl2br w:val="nil"/>
                    <w:tr2bl w:val="nil"/>
                  </w:tcBorders>
                  <w:vAlign w:val="center"/>
                </w:tcPr>
                <w:p w14:paraId="638BA7D1">
                  <w:pPr>
                    <w:widowControl/>
                    <w:jc w:val="left"/>
                    <w:rPr>
                      <w:bCs/>
                      <w:color w:val="auto"/>
                      <w:szCs w:val="21"/>
                    </w:rPr>
                  </w:pPr>
                  <w:r>
                    <w:rPr>
                      <w:rFonts w:hint="eastAsia"/>
                      <w:bCs/>
                      <w:color w:val="auto"/>
                      <w:szCs w:val="21"/>
                    </w:rPr>
                    <w:t>南侧</w:t>
                  </w:r>
                  <w:r>
                    <w:rPr>
                      <w:bCs/>
                      <w:color w:val="auto"/>
                      <w:szCs w:val="21"/>
                    </w:rPr>
                    <w:t>设置一个生活污水预处理池</w:t>
                  </w:r>
                  <w:r>
                    <w:rPr>
                      <w:rFonts w:hint="eastAsia"/>
                      <w:bCs/>
                      <w:color w:val="auto"/>
                      <w:szCs w:val="21"/>
                    </w:rPr>
                    <w:t>（</w:t>
                  </w:r>
                  <w:r>
                    <w:rPr>
                      <w:rFonts w:hint="eastAsia"/>
                      <w:bCs/>
                      <w:color w:val="auto"/>
                      <w:szCs w:val="21"/>
                      <w:lang w:val="en-US" w:eastAsia="zh-CN"/>
                    </w:rPr>
                    <w:t>100</w:t>
                  </w:r>
                  <w:r>
                    <w:rPr>
                      <w:rFonts w:hint="eastAsia"/>
                      <w:bCs/>
                      <w:color w:val="auto"/>
                      <w:szCs w:val="21"/>
                    </w:rPr>
                    <w:t>m</w:t>
                  </w:r>
                  <w:r>
                    <w:rPr>
                      <w:rFonts w:hint="eastAsia"/>
                      <w:bCs/>
                      <w:color w:val="auto"/>
                      <w:szCs w:val="21"/>
                      <w:vertAlign w:val="superscript"/>
                    </w:rPr>
                    <w:t>3</w:t>
                  </w:r>
                  <w:r>
                    <w:rPr>
                      <w:rFonts w:hint="eastAsia"/>
                      <w:bCs/>
                      <w:color w:val="auto"/>
                      <w:szCs w:val="21"/>
                    </w:rPr>
                    <w:t>）</w:t>
                  </w:r>
                  <w:r>
                    <w:rPr>
                      <w:bCs/>
                      <w:color w:val="auto"/>
                      <w:szCs w:val="21"/>
                    </w:rPr>
                    <w:t>，生活污水经预处理池处理之后</w:t>
                  </w:r>
                  <w:r>
                    <w:rPr>
                      <w:rFonts w:hint="eastAsia"/>
                      <w:color w:val="auto"/>
                      <w:szCs w:val="21"/>
                    </w:rPr>
                    <w:t>通过市政污水管网排放至</w:t>
                  </w:r>
                  <w:r>
                    <w:rPr>
                      <w:color w:val="auto"/>
                      <w:szCs w:val="21"/>
                    </w:rPr>
                    <w:t>南江县</w:t>
                  </w:r>
                  <w:r>
                    <w:rPr>
                      <w:rFonts w:hint="eastAsia"/>
                      <w:color w:val="auto"/>
                      <w:szCs w:val="21"/>
                    </w:rPr>
                    <w:t>关坝镇</w:t>
                  </w:r>
                  <w:r>
                    <w:rPr>
                      <w:color w:val="auto"/>
                      <w:szCs w:val="21"/>
                    </w:rPr>
                    <w:t>污水处理站</w:t>
                  </w:r>
                  <w:r>
                    <w:rPr>
                      <w:bCs/>
                      <w:color w:val="auto"/>
                      <w:szCs w:val="21"/>
                    </w:rPr>
                    <w:t>。</w:t>
                  </w:r>
                </w:p>
              </w:tc>
              <w:tc>
                <w:tcPr>
                  <w:tcW w:w="985" w:type="dxa"/>
                  <w:tcBorders>
                    <w:tl2br w:val="nil"/>
                    <w:tr2bl w:val="nil"/>
                  </w:tcBorders>
                  <w:vAlign w:val="center"/>
                </w:tcPr>
                <w:p w14:paraId="24C804E7">
                  <w:pPr>
                    <w:adjustRightInd w:val="0"/>
                    <w:snapToGrid w:val="0"/>
                    <w:jc w:val="center"/>
                    <w:rPr>
                      <w:rFonts w:hint="default" w:eastAsia="宋体"/>
                      <w:bCs/>
                      <w:color w:val="auto"/>
                      <w:szCs w:val="21"/>
                      <w:lang w:val="en-US" w:eastAsia="zh-CN"/>
                    </w:rPr>
                  </w:pPr>
                  <w:r>
                    <w:rPr>
                      <w:rFonts w:hint="eastAsia"/>
                      <w:bCs/>
                      <w:color w:val="auto"/>
                      <w:szCs w:val="21"/>
                      <w:lang w:val="en-US" w:eastAsia="zh-CN"/>
                    </w:rPr>
                    <w:t>20</w:t>
                  </w:r>
                </w:p>
              </w:tc>
            </w:tr>
            <w:tr w14:paraId="63F373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restart"/>
                  <w:tcBorders>
                    <w:tl2br w:val="nil"/>
                    <w:tr2bl w:val="nil"/>
                  </w:tcBorders>
                  <w:vAlign w:val="center"/>
                </w:tcPr>
                <w:p w14:paraId="21152A13">
                  <w:pPr>
                    <w:adjustRightInd w:val="0"/>
                    <w:snapToGrid w:val="0"/>
                    <w:jc w:val="center"/>
                    <w:rPr>
                      <w:bCs/>
                      <w:color w:val="auto"/>
                      <w:szCs w:val="21"/>
                    </w:rPr>
                  </w:pPr>
                  <w:r>
                    <w:rPr>
                      <w:bCs/>
                      <w:color w:val="auto"/>
                      <w:szCs w:val="21"/>
                    </w:rPr>
                    <w:t>大气污染防治</w:t>
                  </w:r>
                </w:p>
              </w:tc>
              <w:tc>
                <w:tcPr>
                  <w:tcW w:w="795" w:type="dxa"/>
                  <w:tcBorders>
                    <w:tl2br w:val="nil"/>
                    <w:tr2bl w:val="nil"/>
                  </w:tcBorders>
                  <w:vAlign w:val="center"/>
                </w:tcPr>
                <w:p w14:paraId="71AB8839">
                  <w:pPr>
                    <w:adjustRightInd w:val="0"/>
                    <w:snapToGrid w:val="0"/>
                    <w:jc w:val="center"/>
                    <w:rPr>
                      <w:bCs/>
                      <w:color w:val="auto"/>
                      <w:szCs w:val="21"/>
                    </w:rPr>
                  </w:pPr>
                  <w:r>
                    <w:rPr>
                      <w:bCs/>
                      <w:color w:val="auto"/>
                      <w:szCs w:val="21"/>
                    </w:rPr>
                    <w:t>施工期</w:t>
                  </w:r>
                </w:p>
              </w:tc>
              <w:tc>
                <w:tcPr>
                  <w:tcW w:w="5720" w:type="dxa"/>
                  <w:tcBorders>
                    <w:tl2br w:val="nil"/>
                    <w:tr2bl w:val="nil"/>
                  </w:tcBorders>
                  <w:vAlign w:val="center"/>
                </w:tcPr>
                <w:p w14:paraId="07C5AF42">
                  <w:pPr>
                    <w:widowControl/>
                    <w:jc w:val="left"/>
                    <w:rPr>
                      <w:bCs/>
                      <w:color w:val="auto"/>
                      <w:szCs w:val="21"/>
                    </w:rPr>
                  </w:pPr>
                  <w:r>
                    <w:rPr>
                      <w:bCs/>
                      <w:color w:val="auto"/>
                      <w:szCs w:val="21"/>
                    </w:rPr>
                    <w:t>施工场地设置硬质密闭围挡，洒水抑尘；表土及裸露地表采用密目网遮盖等</w:t>
                  </w:r>
                </w:p>
              </w:tc>
              <w:tc>
                <w:tcPr>
                  <w:tcW w:w="985" w:type="dxa"/>
                  <w:tcBorders>
                    <w:tl2br w:val="nil"/>
                    <w:tr2bl w:val="nil"/>
                  </w:tcBorders>
                  <w:vAlign w:val="center"/>
                </w:tcPr>
                <w:p w14:paraId="0F370B97">
                  <w:pPr>
                    <w:adjustRightInd w:val="0"/>
                    <w:snapToGrid w:val="0"/>
                    <w:jc w:val="center"/>
                    <w:rPr>
                      <w:bCs/>
                      <w:color w:val="auto"/>
                      <w:szCs w:val="21"/>
                    </w:rPr>
                  </w:pPr>
                  <w:r>
                    <w:rPr>
                      <w:rFonts w:hint="eastAsia"/>
                      <w:bCs/>
                      <w:color w:val="auto"/>
                      <w:szCs w:val="21"/>
                    </w:rPr>
                    <w:t>5</w:t>
                  </w:r>
                </w:p>
              </w:tc>
            </w:tr>
            <w:tr w14:paraId="603216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continue"/>
                  <w:tcBorders>
                    <w:tl2br w:val="nil"/>
                    <w:tr2bl w:val="nil"/>
                  </w:tcBorders>
                  <w:vAlign w:val="center"/>
                </w:tcPr>
                <w:p w14:paraId="24EF8CD0">
                  <w:pPr>
                    <w:adjustRightInd w:val="0"/>
                    <w:snapToGrid w:val="0"/>
                    <w:jc w:val="center"/>
                    <w:rPr>
                      <w:bCs/>
                      <w:color w:val="auto"/>
                      <w:szCs w:val="21"/>
                    </w:rPr>
                  </w:pPr>
                </w:p>
              </w:tc>
              <w:tc>
                <w:tcPr>
                  <w:tcW w:w="795" w:type="dxa"/>
                  <w:tcBorders>
                    <w:tl2br w:val="nil"/>
                    <w:tr2bl w:val="nil"/>
                  </w:tcBorders>
                  <w:vAlign w:val="center"/>
                </w:tcPr>
                <w:p w14:paraId="69CE57B3">
                  <w:pPr>
                    <w:adjustRightInd w:val="0"/>
                    <w:snapToGrid w:val="0"/>
                    <w:jc w:val="center"/>
                    <w:rPr>
                      <w:bCs/>
                      <w:color w:val="auto"/>
                      <w:szCs w:val="21"/>
                    </w:rPr>
                  </w:pPr>
                  <w:r>
                    <w:rPr>
                      <w:bCs/>
                      <w:color w:val="auto"/>
                      <w:szCs w:val="21"/>
                    </w:rPr>
                    <w:t>营运期</w:t>
                  </w:r>
                </w:p>
              </w:tc>
              <w:tc>
                <w:tcPr>
                  <w:tcW w:w="5720" w:type="dxa"/>
                  <w:tcBorders>
                    <w:tl2br w:val="nil"/>
                    <w:tr2bl w:val="nil"/>
                  </w:tcBorders>
                  <w:vAlign w:val="center"/>
                </w:tcPr>
                <w:p w14:paraId="0D29F650">
                  <w:pPr>
                    <w:widowControl/>
                    <w:jc w:val="left"/>
                    <w:rPr>
                      <w:bCs/>
                      <w:color w:val="auto"/>
                      <w:szCs w:val="21"/>
                    </w:rPr>
                  </w:pPr>
                  <w:r>
                    <w:rPr>
                      <w:rFonts w:hint="eastAsia"/>
                      <w:bCs/>
                      <w:color w:val="auto"/>
                      <w:szCs w:val="21"/>
                    </w:rPr>
                    <w:t>每栋住宅设置专用居民油烟排烟竖井</w:t>
                  </w:r>
                </w:p>
              </w:tc>
              <w:tc>
                <w:tcPr>
                  <w:tcW w:w="985" w:type="dxa"/>
                  <w:tcBorders>
                    <w:tl2br w:val="nil"/>
                    <w:tr2bl w:val="nil"/>
                  </w:tcBorders>
                  <w:vAlign w:val="center"/>
                </w:tcPr>
                <w:p w14:paraId="63248244">
                  <w:pPr>
                    <w:adjustRightInd w:val="0"/>
                    <w:snapToGrid w:val="0"/>
                    <w:jc w:val="center"/>
                    <w:rPr>
                      <w:rFonts w:hint="default"/>
                      <w:bCs/>
                      <w:color w:val="auto"/>
                      <w:szCs w:val="21"/>
                      <w:lang w:val="en-US"/>
                    </w:rPr>
                  </w:pPr>
                  <w:r>
                    <w:rPr>
                      <w:rFonts w:hint="eastAsia"/>
                      <w:bCs/>
                      <w:color w:val="auto"/>
                      <w:szCs w:val="21"/>
                      <w:lang w:eastAsia="zh-CN"/>
                    </w:rPr>
                    <w:t>计入主体工程</w:t>
                  </w:r>
                </w:p>
              </w:tc>
            </w:tr>
            <w:tr w14:paraId="05964B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restart"/>
                  <w:tcBorders>
                    <w:tl2br w:val="nil"/>
                    <w:tr2bl w:val="nil"/>
                  </w:tcBorders>
                  <w:vAlign w:val="center"/>
                </w:tcPr>
                <w:p w14:paraId="66F2AAC2">
                  <w:pPr>
                    <w:adjustRightInd w:val="0"/>
                    <w:snapToGrid w:val="0"/>
                    <w:jc w:val="center"/>
                    <w:rPr>
                      <w:bCs/>
                      <w:color w:val="auto"/>
                      <w:szCs w:val="21"/>
                    </w:rPr>
                  </w:pPr>
                  <w:r>
                    <w:rPr>
                      <w:bCs/>
                      <w:color w:val="auto"/>
                      <w:szCs w:val="21"/>
                    </w:rPr>
                    <w:t>固体废物</w:t>
                  </w:r>
                </w:p>
              </w:tc>
              <w:tc>
                <w:tcPr>
                  <w:tcW w:w="795" w:type="dxa"/>
                  <w:tcBorders>
                    <w:tl2br w:val="nil"/>
                    <w:tr2bl w:val="nil"/>
                  </w:tcBorders>
                  <w:vAlign w:val="center"/>
                </w:tcPr>
                <w:p w14:paraId="0BA3B5D5">
                  <w:pPr>
                    <w:adjustRightInd w:val="0"/>
                    <w:snapToGrid w:val="0"/>
                    <w:jc w:val="center"/>
                    <w:rPr>
                      <w:bCs/>
                      <w:color w:val="auto"/>
                      <w:szCs w:val="21"/>
                    </w:rPr>
                  </w:pPr>
                  <w:r>
                    <w:rPr>
                      <w:bCs/>
                      <w:color w:val="auto"/>
                      <w:szCs w:val="21"/>
                    </w:rPr>
                    <w:t>施工期</w:t>
                  </w:r>
                </w:p>
              </w:tc>
              <w:tc>
                <w:tcPr>
                  <w:tcW w:w="5720" w:type="dxa"/>
                  <w:tcBorders>
                    <w:tl2br w:val="nil"/>
                    <w:tr2bl w:val="nil"/>
                  </w:tcBorders>
                  <w:vAlign w:val="center"/>
                </w:tcPr>
                <w:p w14:paraId="1B2BC6D5">
                  <w:pPr>
                    <w:widowControl/>
                    <w:jc w:val="left"/>
                    <w:rPr>
                      <w:bCs/>
                      <w:color w:val="auto"/>
                      <w:szCs w:val="21"/>
                    </w:rPr>
                  </w:pPr>
                  <w:r>
                    <w:rPr>
                      <w:bCs/>
                      <w:color w:val="auto"/>
                      <w:szCs w:val="21"/>
                    </w:rPr>
                    <w:t>委托专业渣土清运公司进行建渣的清运；</w:t>
                  </w:r>
                  <w:r>
                    <w:rPr>
                      <w:color w:val="auto"/>
                      <w:szCs w:val="21"/>
                    </w:rPr>
                    <w:t>生活垃圾日产日清，由环卫部门统一清运处理等</w:t>
                  </w:r>
                </w:p>
              </w:tc>
              <w:tc>
                <w:tcPr>
                  <w:tcW w:w="985" w:type="dxa"/>
                  <w:tcBorders>
                    <w:tl2br w:val="nil"/>
                    <w:tr2bl w:val="nil"/>
                  </w:tcBorders>
                  <w:vAlign w:val="center"/>
                </w:tcPr>
                <w:p w14:paraId="5D0354D1">
                  <w:pPr>
                    <w:adjustRightInd w:val="0"/>
                    <w:snapToGrid w:val="0"/>
                    <w:jc w:val="center"/>
                    <w:rPr>
                      <w:bCs/>
                      <w:color w:val="auto"/>
                      <w:szCs w:val="21"/>
                    </w:rPr>
                  </w:pPr>
                  <w:r>
                    <w:rPr>
                      <w:bCs/>
                      <w:color w:val="auto"/>
                      <w:szCs w:val="21"/>
                    </w:rPr>
                    <w:t>20</w:t>
                  </w:r>
                </w:p>
              </w:tc>
            </w:tr>
            <w:tr w14:paraId="34B31E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continue"/>
                  <w:tcBorders>
                    <w:tl2br w:val="nil"/>
                    <w:tr2bl w:val="nil"/>
                  </w:tcBorders>
                  <w:vAlign w:val="center"/>
                </w:tcPr>
                <w:p w14:paraId="1C383E05">
                  <w:pPr>
                    <w:adjustRightInd w:val="0"/>
                    <w:snapToGrid w:val="0"/>
                    <w:jc w:val="center"/>
                    <w:rPr>
                      <w:bCs/>
                      <w:color w:val="auto"/>
                      <w:szCs w:val="21"/>
                    </w:rPr>
                  </w:pPr>
                </w:p>
              </w:tc>
              <w:tc>
                <w:tcPr>
                  <w:tcW w:w="795" w:type="dxa"/>
                  <w:tcBorders>
                    <w:tl2br w:val="nil"/>
                    <w:tr2bl w:val="nil"/>
                  </w:tcBorders>
                  <w:vAlign w:val="center"/>
                </w:tcPr>
                <w:p w14:paraId="4DEB00DD">
                  <w:pPr>
                    <w:adjustRightInd w:val="0"/>
                    <w:snapToGrid w:val="0"/>
                    <w:jc w:val="center"/>
                    <w:rPr>
                      <w:bCs/>
                      <w:color w:val="auto"/>
                      <w:szCs w:val="21"/>
                    </w:rPr>
                  </w:pPr>
                  <w:r>
                    <w:rPr>
                      <w:bCs/>
                      <w:color w:val="auto"/>
                      <w:szCs w:val="21"/>
                    </w:rPr>
                    <w:t>运营期</w:t>
                  </w:r>
                </w:p>
              </w:tc>
              <w:tc>
                <w:tcPr>
                  <w:tcW w:w="5720" w:type="dxa"/>
                  <w:tcBorders>
                    <w:tl2br w:val="nil"/>
                    <w:tr2bl w:val="nil"/>
                  </w:tcBorders>
                  <w:vAlign w:val="center"/>
                </w:tcPr>
                <w:p w14:paraId="4AB698BB">
                  <w:pPr>
                    <w:widowControl/>
                    <w:jc w:val="left"/>
                    <w:rPr>
                      <w:bCs/>
                      <w:color w:val="auto"/>
                      <w:szCs w:val="21"/>
                    </w:rPr>
                  </w:pPr>
                  <w:r>
                    <w:rPr>
                      <w:color w:val="auto"/>
                      <w:szCs w:val="21"/>
                    </w:rPr>
                    <w:t>设置垃圾桶，生活垃圾由环卫部门统一清运处理</w:t>
                  </w:r>
                  <w:r>
                    <w:rPr>
                      <w:rFonts w:hint="eastAsia"/>
                      <w:color w:val="auto"/>
                      <w:szCs w:val="21"/>
                    </w:rPr>
                    <w:t>。</w:t>
                  </w:r>
                </w:p>
              </w:tc>
              <w:tc>
                <w:tcPr>
                  <w:tcW w:w="985" w:type="dxa"/>
                  <w:tcBorders>
                    <w:tl2br w:val="nil"/>
                    <w:tr2bl w:val="nil"/>
                  </w:tcBorders>
                  <w:vAlign w:val="center"/>
                </w:tcPr>
                <w:p w14:paraId="46011AA8">
                  <w:pPr>
                    <w:adjustRightInd w:val="0"/>
                    <w:snapToGrid w:val="0"/>
                    <w:jc w:val="center"/>
                    <w:rPr>
                      <w:bCs/>
                      <w:color w:val="auto"/>
                      <w:szCs w:val="21"/>
                    </w:rPr>
                  </w:pPr>
                  <w:r>
                    <w:rPr>
                      <w:rFonts w:hint="eastAsia"/>
                      <w:bCs/>
                      <w:color w:val="auto"/>
                      <w:szCs w:val="21"/>
                    </w:rPr>
                    <w:t>8</w:t>
                  </w:r>
                </w:p>
              </w:tc>
            </w:tr>
            <w:tr w14:paraId="45A878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tcBorders>
                    <w:tl2br w:val="nil"/>
                    <w:tr2bl w:val="nil"/>
                  </w:tcBorders>
                  <w:vAlign w:val="center"/>
                </w:tcPr>
                <w:p w14:paraId="562BF228">
                  <w:pPr>
                    <w:adjustRightInd w:val="0"/>
                    <w:snapToGrid w:val="0"/>
                    <w:jc w:val="center"/>
                    <w:rPr>
                      <w:bCs/>
                      <w:color w:val="auto"/>
                      <w:szCs w:val="21"/>
                    </w:rPr>
                  </w:pPr>
                  <w:r>
                    <w:rPr>
                      <w:bCs/>
                      <w:color w:val="auto"/>
                      <w:szCs w:val="21"/>
                    </w:rPr>
                    <w:t>风险防范措施</w:t>
                  </w:r>
                </w:p>
              </w:tc>
              <w:tc>
                <w:tcPr>
                  <w:tcW w:w="6515" w:type="dxa"/>
                  <w:gridSpan w:val="2"/>
                  <w:tcBorders>
                    <w:tl2br w:val="nil"/>
                    <w:tr2bl w:val="nil"/>
                  </w:tcBorders>
                  <w:vAlign w:val="center"/>
                </w:tcPr>
                <w:p w14:paraId="18446828">
                  <w:pPr>
                    <w:widowControl/>
                    <w:jc w:val="left"/>
                    <w:rPr>
                      <w:color w:val="auto"/>
                      <w:kern w:val="0"/>
                      <w:szCs w:val="21"/>
                      <w:lang w:bidi="ar"/>
                    </w:rPr>
                  </w:pPr>
                  <w:r>
                    <w:rPr>
                      <w:bCs/>
                      <w:color w:val="auto"/>
                      <w:szCs w:val="21"/>
                    </w:rPr>
                    <w:t>设置警示牌，事故应急抢救设备和器材等。</w:t>
                  </w:r>
                </w:p>
              </w:tc>
              <w:tc>
                <w:tcPr>
                  <w:tcW w:w="985" w:type="dxa"/>
                  <w:tcBorders>
                    <w:tl2br w:val="nil"/>
                    <w:tr2bl w:val="nil"/>
                  </w:tcBorders>
                  <w:vAlign w:val="center"/>
                </w:tcPr>
                <w:p w14:paraId="5129F568">
                  <w:pPr>
                    <w:widowControl/>
                    <w:jc w:val="center"/>
                    <w:rPr>
                      <w:bCs/>
                      <w:color w:val="auto"/>
                      <w:szCs w:val="21"/>
                    </w:rPr>
                  </w:pPr>
                  <w:r>
                    <w:rPr>
                      <w:bCs/>
                      <w:color w:val="auto"/>
                      <w:szCs w:val="21"/>
                    </w:rPr>
                    <w:t>5</w:t>
                  </w:r>
                </w:p>
              </w:tc>
            </w:tr>
            <w:tr w14:paraId="263D5B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tcBorders>
                    <w:tl2br w:val="nil"/>
                    <w:tr2bl w:val="nil"/>
                  </w:tcBorders>
                  <w:vAlign w:val="center"/>
                </w:tcPr>
                <w:p w14:paraId="5ACD10DB">
                  <w:pPr>
                    <w:adjustRightInd w:val="0"/>
                    <w:snapToGrid w:val="0"/>
                    <w:jc w:val="center"/>
                    <w:rPr>
                      <w:bCs/>
                      <w:color w:val="auto"/>
                      <w:szCs w:val="21"/>
                    </w:rPr>
                  </w:pPr>
                  <w:r>
                    <w:rPr>
                      <w:bCs/>
                      <w:color w:val="auto"/>
                      <w:szCs w:val="21"/>
                    </w:rPr>
                    <w:t>环境监测、监理、管理</w:t>
                  </w:r>
                </w:p>
              </w:tc>
              <w:tc>
                <w:tcPr>
                  <w:tcW w:w="6515" w:type="dxa"/>
                  <w:gridSpan w:val="2"/>
                  <w:tcBorders>
                    <w:tl2br w:val="nil"/>
                    <w:tr2bl w:val="nil"/>
                  </w:tcBorders>
                  <w:vAlign w:val="center"/>
                </w:tcPr>
                <w:p w14:paraId="4A1CBBC0">
                  <w:pPr>
                    <w:widowControl/>
                    <w:jc w:val="left"/>
                    <w:rPr>
                      <w:color w:val="auto"/>
                      <w:kern w:val="0"/>
                      <w:szCs w:val="21"/>
                      <w:lang w:bidi="ar"/>
                    </w:rPr>
                  </w:pPr>
                  <w:r>
                    <w:rPr>
                      <w:bCs/>
                      <w:color w:val="auto"/>
                      <w:szCs w:val="21"/>
                    </w:rPr>
                    <w:t>施工期实施环境监理；加强施工期和运营期人员管理、环境监测。</w:t>
                  </w:r>
                </w:p>
              </w:tc>
              <w:tc>
                <w:tcPr>
                  <w:tcW w:w="985" w:type="dxa"/>
                  <w:tcBorders>
                    <w:tl2br w:val="nil"/>
                    <w:tr2bl w:val="nil"/>
                  </w:tcBorders>
                  <w:vAlign w:val="center"/>
                </w:tcPr>
                <w:p w14:paraId="1FA479A6">
                  <w:pPr>
                    <w:widowControl/>
                    <w:jc w:val="center"/>
                    <w:rPr>
                      <w:bCs/>
                      <w:color w:val="auto"/>
                      <w:szCs w:val="21"/>
                    </w:rPr>
                  </w:pPr>
                  <w:r>
                    <w:rPr>
                      <w:rFonts w:hint="eastAsia"/>
                      <w:bCs/>
                      <w:color w:val="auto"/>
                      <w:szCs w:val="21"/>
                    </w:rPr>
                    <w:t>30</w:t>
                  </w:r>
                </w:p>
              </w:tc>
            </w:tr>
            <w:tr w14:paraId="65FFC4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256" w:type="dxa"/>
                  <w:gridSpan w:val="3"/>
                  <w:tcBorders>
                    <w:tl2br w:val="nil"/>
                    <w:tr2bl w:val="nil"/>
                  </w:tcBorders>
                  <w:vAlign w:val="center"/>
                </w:tcPr>
                <w:p w14:paraId="451B5CD4">
                  <w:pPr>
                    <w:adjustRightInd w:val="0"/>
                    <w:snapToGrid w:val="0"/>
                    <w:jc w:val="center"/>
                    <w:rPr>
                      <w:bCs/>
                      <w:color w:val="auto"/>
                      <w:szCs w:val="21"/>
                    </w:rPr>
                  </w:pPr>
                  <w:r>
                    <w:rPr>
                      <w:bCs/>
                      <w:color w:val="auto"/>
                      <w:szCs w:val="21"/>
                    </w:rPr>
                    <w:t>合计</w:t>
                  </w:r>
                </w:p>
              </w:tc>
              <w:tc>
                <w:tcPr>
                  <w:tcW w:w="985" w:type="dxa"/>
                  <w:tcBorders>
                    <w:tl2br w:val="nil"/>
                    <w:tr2bl w:val="nil"/>
                  </w:tcBorders>
                  <w:vAlign w:val="center"/>
                </w:tcPr>
                <w:p w14:paraId="48346CBA">
                  <w:pPr>
                    <w:adjustRightInd w:val="0"/>
                    <w:snapToGrid w:val="0"/>
                    <w:jc w:val="center"/>
                    <w:rPr>
                      <w:rFonts w:hint="default" w:eastAsia="宋体"/>
                      <w:bCs/>
                      <w:color w:val="auto"/>
                      <w:szCs w:val="21"/>
                      <w:lang w:val="en-US" w:eastAsia="zh-CN"/>
                    </w:rPr>
                  </w:pPr>
                  <w:r>
                    <w:rPr>
                      <w:rFonts w:hint="eastAsia"/>
                      <w:bCs/>
                      <w:color w:val="auto"/>
                      <w:szCs w:val="21"/>
                      <w:lang w:val="en-US" w:eastAsia="zh-CN"/>
                    </w:rPr>
                    <w:t>159</w:t>
                  </w:r>
                </w:p>
              </w:tc>
            </w:tr>
          </w:tbl>
          <w:p w14:paraId="79C075C5">
            <w:pPr>
              <w:pStyle w:val="19"/>
              <w:adjustRightInd w:val="0"/>
              <w:snapToGrid w:val="0"/>
              <w:spacing w:line="360" w:lineRule="auto"/>
              <w:ind w:firstLine="0" w:firstLineChars="0"/>
              <w:rPr>
                <w:color w:val="auto"/>
              </w:rPr>
            </w:pPr>
          </w:p>
          <w:p w14:paraId="126953C7">
            <w:pPr>
              <w:pStyle w:val="19"/>
              <w:adjustRightInd w:val="0"/>
              <w:snapToGrid w:val="0"/>
              <w:spacing w:line="360" w:lineRule="auto"/>
              <w:ind w:firstLine="0" w:firstLineChars="0"/>
              <w:rPr>
                <w:rFonts w:hint="eastAsia"/>
                <w:color w:val="auto"/>
                <w:lang w:eastAsia="zh-CN"/>
              </w:rPr>
            </w:pPr>
          </w:p>
          <w:p w14:paraId="461A0258">
            <w:pPr>
              <w:pStyle w:val="19"/>
              <w:adjustRightInd w:val="0"/>
              <w:snapToGrid w:val="0"/>
              <w:spacing w:line="360" w:lineRule="auto"/>
              <w:ind w:firstLine="0" w:firstLineChars="0"/>
              <w:rPr>
                <w:rFonts w:hint="eastAsia"/>
                <w:color w:val="auto"/>
                <w:lang w:eastAsia="zh-CN"/>
              </w:rPr>
            </w:pPr>
          </w:p>
          <w:p w14:paraId="75E1B171">
            <w:pPr>
              <w:pStyle w:val="19"/>
              <w:adjustRightInd w:val="0"/>
              <w:snapToGrid w:val="0"/>
              <w:spacing w:line="360" w:lineRule="auto"/>
              <w:ind w:firstLine="0" w:firstLineChars="0"/>
              <w:rPr>
                <w:rFonts w:hint="eastAsia"/>
                <w:color w:val="auto"/>
                <w:lang w:eastAsia="zh-CN"/>
              </w:rPr>
            </w:pPr>
          </w:p>
          <w:p w14:paraId="537A9967">
            <w:pPr>
              <w:pStyle w:val="19"/>
              <w:adjustRightInd w:val="0"/>
              <w:snapToGrid w:val="0"/>
              <w:spacing w:line="360" w:lineRule="auto"/>
              <w:ind w:firstLine="0" w:firstLineChars="0"/>
              <w:rPr>
                <w:rFonts w:hint="eastAsia"/>
                <w:color w:val="auto"/>
                <w:lang w:eastAsia="zh-CN"/>
              </w:rPr>
            </w:pPr>
          </w:p>
          <w:p w14:paraId="6E1F7E07">
            <w:pPr>
              <w:pStyle w:val="19"/>
              <w:adjustRightInd w:val="0"/>
              <w:snapToGrid w:val="0"/>
              <w:spacing w:line="360" w:lineRule="auto"/>
              <w:ind w:firstLine="0" w:firstLineChars="0"/>
              <w:rPr>
                <w:rFonts w:hint="eastAsia"/>
                <w:color w:val="auto"/>
                <w:lang w:eastAsia="zh-CN"/>
              </w:rPr>
            </w:pPr>
          </w:p>
          <w:p w14:paraId="3636B1C7">
            <w:pPr>
              <w:pStyle w:val="19"/>
              <w:adjustRightInd w:val="0"/>
              <w:snapToGrid w:val="0"/>
              <w:spacing w:line="360" w:lineRule="auto"/>
              <w:ind w:firstLine="0" w:firstLineChars="0"/>
              <w:rPr>
                <w:rFonts w:hint="eastAsia"/>
                <w:color w:val="auto"/>
                <w:lang w:eastAsia="zh-CN"/>
              </w:rPr>
            </w:pPr>
          </w:p>
          <w:p w14:paraId="7769A52B">
            <w:pPr>
              <w:pStyle w:val="19"/>
              <w:adjustRightInd w:val="0"/>
              <w:snapToGrid w:val="0"/>
              <w:spacing w:line="360" w:lineRule="auto"/>
              <w:ind w:firstLine="0" w:firstLineChars="0"/>
              <w:rPr>
                <w:rFonts w:hint="eastAsia"/>
                <w:color w:val="auto"/>
                <w:lang w:eastAsia="zh-CN"/>
              </w:rPr>
            </w:pPr>
          </w:p>
          <w:p w14:paraId="269B461D">
            <w:pPr>
              <w:pStyle w:val="19"/>
              <w:adjustRightInd w:val="0"/>
              <w:snapToGrid w:val="0"/>
              <w:spacing w:line="360" w:lineRule="auto"/>
              <w:ind w:firstLine="0" w:firstLineChars="0"/>
              <w:rPr>
                <w:rFonts w:hint="eastAsia"/>
                <w:color w:val="auto"/>
                <w:lang w:eastAsia="zh-CN"/>
              </w:rPr>
            </w:pPr>
          </w:p>
          <w:p w14:paraId="3C1E26FB">
            <w:pPr>
              <w:pStyle w:val="19"/>
              <w:adjustRightInd w:val="0"/>
              <w:snapToGrid w:val="0"/>
              <w:spacing w:line="360" w:lineRule="auto"/>
              <w:ind w:firstLine="0" w:firstLineChars="0"/>
              <w:rPr>
                <w:rFonts w:hint="eastAsia"/>
                <w:color w:val="auto"/>
                <w:lang w:eastAsia="zh-CN"/>
              </w:rPr>
            </w:pPr>
          </w:p>
          <w:p w14:paraId="7E3F28ED">
            <w:pPr>
              <w:pStyle w:val="19"/>
              <w:adjustRightInd w:val="0"/>
              <w:snapToGrid w:val="0"/>
              <w:spacing w:line="360" w:lineRule="auto"/>
              <w:ind w:firstLine="0" w:firstLineChars="0"/>
              <w:rPr>
                <w:rFonts w:hint="eastAsia" w:eastAsia="宋体"/>
                <w:color w:val="auto"/>
                <w:lang w:eastAsia="zh-CN"/>
              </w:rPr>
            </w:pPr>
          </w:p>
        </w:tc>
      </w:tr>
    </w:tbl>
    <w:p w14:paraId="2370A29C">
      <w:pPr>
        <w:rPr>
          <w:color w:val="auto"/>
        </w:rPr>
        <w:sectPr>
          <w:pgSz w:w="11907" w:h="16840"/>
          <w:pgMar w:top="1440" w:right="1797" w:bottom="1440" w:left="1797" w:header="851" w:footer="1077" w:gutter="0"/>
          <w:pgBorders>
            <w:top w:val="none" w:sz="0" w:space="0"/>
            <w:left w:val="none" w:sz="0" w:space="0"/>
            <w:bottom w:val="none" w:sz="0" w:space="0"/>
            <w:right w:val="none" w:sz="0" w:space="0"/>
          </w:pgBorders>
          <w:cols w:space="720" w:num="1"/>
          <w:docGrid w:linePitch="312" w:charSpace="0"/>
        </w:sectPr>
      </w:pPr>
    </w:p>
    <w:p w14:paraId="570B14A5">
      <w:pPr>
        <w:pStyle w:val="30"/>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sz w:val="30"/>
          <w:szCs w:val="30"/>
        </w:rPr>
        <w:t>六、生态环境保护措施监督检查清单</w:t>
      </w:r>
    </w:p>
    <w:tbl>
      <w:tblPr>
        <w:tblStyle w:val="3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117"/>
        <w:gridCol w:w="2272"/>
        <w:gridCol w:w="1908"/>
        <w:gridCol w:w="1645"/>
        <w:gridCol w:w="1384"/>
      </w:tblGrid>
      <w:tr w14:paraId="4ABB62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Merge w:val="restart"/>
            <w:tcBorders>
              <w:tl2br w:val="single" w:color="auto" w:sz="4" w:space="0"/>
            </w:tcBorders>
          </w:tcPr>
          <w:p w14:paraId="18B5BF8F">
            <w:pPr>
              <w:pStyle w:val="30"/>
              <w:adjustRightInd w:val="0"/>
              <w:snapToGrid w:val="0"/>
              <w:spacing w:before="0" w:beforeAutospacing="0" w:after="0" w:afterAutospacing="0"/>
              <w:jc w:val="right"/>
              <w:outlineLvl w:val="0"/>
              <w:rPr>
                <w:rFonts w:ascii="Times New Roman" w:hAnsi="Times New Roman"/>
                <w:color w:val="auto"/>
                <w:kern w:val="2"/>
              </w:rPr>
            </w:pPr>
            <w:r>
              <w:rPr>
                <w:rFonts w:ascii="Times New Roman" w:hAnsi="Times New Roman"/>
                <w:color w:val="auto"/>
                <w:kern w:val="2"/>
              </w:rPr>
              <w:t>内容</w:t>
            </w:r>
          </w:p>
          <w:p w14:paraId="0A6B7E5F">
            <w:pPr>
              <w:pStyle w:val="30"/>
              <w:adjustRightInd w:val="0"/>
              <w:snapToGrid w:val="0"/>
              <w:spacing w:before="0" w:beforeAutospacing="0" w:after="0" w:afterAutospacing="0"/>
              <w:outlineLvl w:val="0"/>
              <w:rPr>
                <w:rFonts w:ascii="Times New Roman" w:hAnsi="Times New Roman"/>
                <w:color w:val="auto"/>
                <w:kern w:val="2"/>
              </w:rPr>
            </w:pPr>
            <w:r>
              <w:rPr>
                <w:rFonts w:ascii="Times New Roman" w:hAnsi="Times New Roman"/>
                <w:color w:val="auto"/>
                <w:kern w:val="2"/>
              </w:rPr>
              <w:t>要素</w:t>
            </w:r>
          </w:p>
        </w:tc>
        <w:tc>
          <w:tcPr>
            <w:tcW w:w="2510" w:type="pct"/>
            <w:gridSpan w:val="2"/>
            <w:vAlign w:val="center"/>
          </w:tcPr>
          <w:p w14:paraId="2BAF0372">
            <w:pPr>
              <w:pStyle w:val="30"/>
              <w:adjustRightInd w:val="0"/>
              <w:snapToGrid w:val="0"/>
              <w:spacing w:before="0" w:beforeAutospacing="0" w:after="0" w:afterAutospacing="0"/>
              <w:jc w:val="center"/>
              <w:outlineLvl w:val="0"/>
              <w:rPr>
                <w:rFonts w:ascii="Times New Roman" w:hAnsi="Times New Roman"/>
                <w:color w:val="auto"/>
                <w:kern w:val="2"/>
              </w:rPr>
            </w:pPr>
            <w:r>
              <w:rPr>
                <w:rFonts w:ascii="Times New Roman" w:hAnsi="Times New Roman"/>
                <w:color w:val="auto"/>
                <w:kern w:val="2"/>
              </w:rPr>
              <w:t>施工期</w:t>
            </w:r>
          </w:p>
        </w:tc>
        <w:tc>
          <w:tcPr>
            <w:tcW w:w="1819" w:type="pct"/>
            <w:gridSpan w:val="2"/>
            <w:vAlign w:val="center"/>
          </w:tcPr>
          <w:p w14:paraId="176DB83A">
            <w:pPr>
              <w:pStyle w:val="30"/>
              <w:adjustRightInd w:val="0"/>
              <w:snapToGrid w:val="0"/>
              <w:spacing w:before="0" w:beforeAutospacing="0" w:after="0" w:afterAutospacing="0"/>
              <w:jc w:val="center"/>
              <w:outlineLvl w:val="0"/>
              <w:rPr>
                <w:rFonts w:ascii="Times New Roman" w:hAnsi="Times New Roman"/>
                <w:color w:val="auto"/>
                <w:kern w:val="2"/>
              </w:rPr>
            </w:pPr>
            <w:r>
              <w:rPr>
                <w:rFonts w:ascii="Times New Roman" w:hAnsi="Times New Roman"/>
                <w:color w:val="auto"/>
                <w:kern w:val="2"/>
              </w:rPr>
              <w:t>运营期</w:t>
            </w:r>
          </w:p>
        </w:tc>
      </w:tr>
      <w:tr w14:paraId="041BC4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Merge w:val="continue"/>
          </w:tcPr>
          <w:p w14:paraId="13C869E5">
            <w:pPr>
              <w:pStyle w:val="30"/>
              <w:adjustRightInd w:val="0"/>
              <w:snapToGrid w:val="0"/>
              <w:spacing w:before="0" w:beforeAutospacing="0" w:after="0" w:afterAutospacing="0"/>
              <w:jc w:val="center"/>
              <w:outlineLvl w:val="0"/>
              <w:rPr>
                <w:rFonts w:ascii="Times New Roman" w:hAnsi="Times New Roman"/>
                <w:color w:val="auto"/>
                <w:kern w:val="2"/>
              </w:rPr>
            </w:pPr>
          </w:p>
        </w:tc>
        <w:tc>
          <w:tcPr>
            <w:tcW w:w="1364" w:type="pct"/>
            <w:vAlign w:val="center"/>
          </w:tcPr>
          <w:p w14:paraId="17F13618">
            <w:pPr>
              <w:pStyle w:val="30"/>
              <w:adjustRightInd w:val="0"/>
              <w:snapToGrid w:val="0"/>
              <w:spacing w:before="0" w:beforeAutospacing="0" w:after="0" w:afterAutospacing="0"/>
              <w:jc w:val="center"/>
              <w:outlineLvl w:val="0"/>
              <w:rPr>
                <w:rFonts w:ascii="Times New Roman" w:hAnsi="Times New Roman"/>
                <w:color w:val="auto"/>
                <w:kern w:val="2"/>
              </w:rPr>
            </w:pPr>
            <w:r>
              <w:rPr>
                <w:rFonts w:ascii="Times New Roman" w:hAnsi="Times New Roman"/>
                <w:color w:val="auto"/>
                <w:kern w:val="2"/>
              </w:rPr>
              <w:t>环境保护措施</w:t>
            </w:r>
          </w:p>
        </w:tc>
        <w:tc>
          <w:tcPr>
            <w:tcW w:w="1145" w:type="pct"/>
            <w:vAlign w:val="center"/>
          </w:tcPr>
          <w:p w14:paraId="68F93890">
            <w:pPr>
              <w:pStyle w:val="30"/>
              <w:adjustRightInd w:val="0"/>
              <w:snapToGrid w:val="0"/>
              <w:spacing w:before="0" w:beforeAutospacing="0" w:after="0" w:afterAutospacing="0"/>
              <w:jc w:val="center"/>
              <w:outlineLvl w:val="0"/>
              <w:rPr>
                <w:rFonts w:ascii="Times New Roman" w:hAnsi="Times New Roman"/>
                <w:color w:val="auto"/>
                <w:kern w:val="2"/>
              </w:rPr>
            </w:pPr>
            <w:r>
              <w:rPr>
                <w:rFonts w:ascii="Times New Roman" w:hAnsi="Times New Roman"/>
                <w:color w:val="auto"/>
                <w:kern w:val="2"/>
              </w:rPr>
              <w:t>验收要求</w:t>
            </w:r>
          </w:p>
        </w:tc>
        <w:tc>
          <w:tcPr>
            <w:tcW w:w="988" w:type="pct"/>
            <w:vAlign w:val="center"/>
          </w:tcPr>
          <w:p w14:paraId="37975B3A">
            <w:pPr>
              <w:pStyle w:val="30"/>
              <w:adjustRightInd w:val="0"/>
              <w:snapToGrid w:val="0"/>
              <w:spacing w:before="0" w:beforeAutospacing="0" w:after="0" w:afterAutospacing="0"/>
              <w:jc w:val="center"/>
              <w:outlineLvl w:val="0"/>
              <w:rPr>
                <w:rFonts w:ascii="Times New Roman" w:hAnsi="Times New Roman"/>
                <w:color w:val="auto"/>
                <w:kern w:val="2"/>
              </w:rPr>
            </w:pPr>
            <w:r>
              <w:rPr>
                <w:rFonts w:ascii="Times New Roman" w:hAnsi="Times New Roman"/>
                <w:color w:val="auto"/>
                <w:kern w:val="2"/>
              </w:rPr>
              <w:t>环境保护措施</w:t>
            </w:r>
          </w:p>
        </w:tc>
        <w:tc>
          <w:tcPr>
            <w:tcW w:w="831" w:type="pct"/>
            <w:vAlign w:val="center"/>
          </w:tcPr>
          <w:p w14:paraId="06E614FA">
            <w:pPr>
              <w:pStyle w:val="30"/>
              <w:adjustRightInd w:val="0"/>
              <w:snapToGrid w:val="0"/>
              <w:spacing w:before="0" w:beforeAutospacing="0" w:after="0" w:afterAutospacing="0"/>
              <w:jc w:val="center"/>
              <w:outlineLvl w:val="0"/>
              <w:rPr>
                <w:rFonts w:ascii="Times New Roman" w:hAnsi="Times New Roman"/>
                <w:color w:val="auto"/>
                <w:kern w:val="2"/>
              </w:rPr>
            </w:pPr>
            <w:r>
              <w:rPr>
                <w:rFonts w:ascii="Times New Roman" w:hAnsi="Times New Roman"/>
                <w:color w:val="auto"/>
                <w:kern w:val="2"/>
              </w:rPr>
              <w:t>验收要求</w:t>
            </w:r>
          </w:p>
        </w:tc>
      </w:tr>
      <w:tr w14:paraId="74D819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Align w:val="center"/>
          </w:tcPr>
          <w:p w14:paraId="4F9E3640">
            <w:pPr>
              <w:adjustRightInd w:val="0"/>
              <w:snapToGrid w:val="0"/>
              <w:jc w:val="center"/>
              <w:rPr>
                <w:color w:val="auto"/>
                <w:sz w:val="24"/>
              </w:rPr>
            </w:pPr>
            <w:r>
              <w:rPr>
                <w:color w:val="auto"/>
                <w:sz w:val="24"/>
              </w:rPr>
              <w:t>陆生生态</w:t>
            </w:r>
          </w:p>
        </w:tc>
        <w:tc>
          <w:tcPr>
            <w:tcW w:w="1364" w:type="pct"/>
            <w:vAlign w:val="center"/>
          </w:tcPr>
          <w:p w14:paraId="16A1918E">
            <w:pPr>
              <w:adjustRightInd w:val="0"/>
              <w:snapToGrid w:val="0"/>
              <w:rPr>
                <w:color w:val="auto"/>
                <w:sz w:val="24"/>
              </w:rPr>
            </w:pPr>
            <w:r>
              <w:rPr>
                <w:color w:val="auto"/>
                <w:sz w:val="24"/>
              </w:rPr>
              <w:t>禁止捕杀野生动物、加强宣传管理、合理安排施工时间；取土分层进行，表土剥离后集中堆放，压实加盖，用于覆土</w:t>
            </w:r>
            <w:r>
              <w:rPr>
                <w:rFonts w:hint="eastAsia"/>
                <w:color w:val="auto"/>
                <w:sz w:val="24"/>
              </w:rPr>
              <w:t>绿化</w:t>
            </w:r>
            <w:r>
              <w:rPr>
                <w:color w:val="auto"/>
                <w:sz w:val="24"/>
              </w:rPr>
              <w:t>；</w:t>
            </w:r>
            <w:r>
              <w:rPr>
                <w:rFonts w:hint="eastAsia"/>
                <w:color w:val="auto"/>
                <w:sz w:val="24"/>
              </w:rPr>
              <w:t>施工场地设置截排水沟及围挡</w:t>
            </w:r>
          </w:p>
        </w:tc>
        <w:tc>
          <w:tcPr>
            <w:tcW w:w="1145" w:type="pct"/>
            <w:vAlign w:val="center"/>
          </w:tcPr>
          <w:p w14:paraId="3253C627">
            <w:pPr>
              <w:adjustRightInd w:val="0"/>
              <w:snapToGrid w:val="0"/>
              <w:rPr>
                <w:color w:val="auto"/>
                <w:sz w:val="24"/>
              </w:rPr>
            </w:pPr>
            <w:r>
              <w:rPr>
                <w:color w:val="auto"/>
                <w:sz w:val="24"/>
              </w:rPr>
              <w:t>施工期的表土防护、植被恢复、水土保持等保护措施均得到落实，未对陆生生态产生明显影响</w:t>
            </w:r>
          </w:p>
        </w:tc>
        <w:tc>
          <w:tcPr>
            <w:tcW w:w="988" w:type="pct"/>
            <w:vAlign w:val="center"/>
          </w:tcPr>
          <w:p w14:paraId="4E93B26F">
            <w:pPr>
              <w:adjustRightInd w:val="0"/>
              <w:snapToGrid w:val="0"/>
              <w:jc w:val="center"/>
              <w:rPr>
                <w:color w:val="auto"/>
                <w:sz w:val="24"/>
              </w:rPr>
            </w:pPr>
            <w:r>
              <w:rPr>
                <w:color w:val="auto"/>
                <w:sz w:val="24"/>
              </w:rPr>
              <w:t>定期进行绿化维护和管理等措施</w:t>
            </w:r>
          </w:p>
        </w:tc>
        <w:tc>
          <w:tcPr>
            <w:tcW w:w="831" w:type="pct"/>
            <w:vAlign w:val="center"/>
          </w:tcPr>
          <w:p w14:paraId="66FC306B">
            <w:pPr>
              <w:adjustRightInd w:val="0"/>
              <w:snapToGrid w:val="0"/>
              <w:jc w:val="center"/>
              <w:rPr>
                <w:color w:val="auto"/>
                <w:sz w:val="24"/>
              </w:rPr>
            </w:pPr>
            <w:r>
              <w:rPr>
                <w:color w:val="auto"/>
                <w:sz w:val="24"/>
              </w:rPr>
              <w:t>绿化维护和管理等保护措施均得到落实，未对陆生生态产生明显影响</w:t>
            </w:r>
          </w:p>
        </w:tc>
      </w:tr>
      <w:tr w14:paraId="6A991B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Align w:val="center"/>
          </w:tcPr>
          <w:p w14:paraId="349C3034">
            <w:pPr>
              <w:adjustRightInd w:val="0"/>
              <w:snapToGrid w:val="0"/>
              <w:jc w:val="center"/>
              <w:rPr>
                <w:color w:val="auto"/>
                <w:sz w:val="24"/>
              </w:rPr>
            </w:pPr>
            <w:r>
              <w:rPr>
                <w:color w:val="auto"/>
                <w:sz w:val="24"/>
              </w:rPr>
              <w:t>水生生态</w:t>
            </w:r>
          </w:p>
        </w:tc>
        <w:tc>
          <w:tcPr>
            <w:tcW w:w="1364" w:type="pct"/>
            <w:vAlign w:val="center"/>
          </w:tcPr>
          <w:p w14:paraId="232C5D07">
            <w:pPr>
              <w:adjustRightInd w:val="0"/>
              <w:snapToGrid w:val="0"/>
              <w:jc w:val="center"/>
              <w:rPr>
                <w:color w:val="auto"/>
                <w:sz w:val="24"/>
              </w:rPr>
            </w:pPr>
            <w:r>
              <w:rPr>
                <w:color w:val="auto"/>
                <w:sz w:val="24"/>
              </w:rPr>
              <w:t>/</w:t>
            </w:r>
          </w:p>
        </w:tc>
        <w:tc>
          <w:tcPr>
            <w:tcW w:w="1145" w:type="pct"/>
            <w:vAlign w:val="center"/>
          </w:tcPr>
          <w:p w14:paraId="1E47C6FF">
            <w:pPr>
              <w:adjustRightInd w:val="0"/>
              <w:snapToGrid w:val="0"/>
              <w:jc w:val="center"/>
              <w:rPr>
                <w:color w:val="auto"/>
                <w:sz w:val="24"/>
              </w:rPr>
            </w:pPr>
            <w:r>
              <w:rPr>
                <w:color w:val="auto"/>
                <w:sz w:val="24"/>
              </w:rPr>
              <w:t>/</w:t>
            </w:r>
          </w:p>
        </w:tc>
        <w:tc>
          <w:tcPr>
            <w:tcW w:w="988" w:type="pct"/>
            <w:vAlign w:val="center"/>
          </w:tcPr>
          <w:p w14:paraId="419F8463">
            <w:pPr>
              <w:adjustRightInd w:val="0"/>
              <w:snapToGrid w:val="0"/>
              <w:jc w:val="center"/>
              <w:rPr>
                <w:color w:val="auto"/>
                <w:sz w:val="24"/>
              </w:rPr>
            </w:pPr>
            <w:r>
              <w:rPr>
                <w:rFonts w:hint="eastAsia"/>
                <w:color w:val="auto"/>
                <w:sz w:val="24"/>
              </w:rPr>
              <w:t>/</w:t>
            </w:r>
          </w:p>
        </w:tc>
        <w:tc>
          <w:tcPr>
            <w:tcW w:w="831" w:type="pct"/>
            <w:vAlign w:val="center"/>
          </w:tcPr>
          <w:p w14:paraId="546A3786">
            <w:pPr>
              <w:adjustRightInd w:val="0"/>
              <w:snapToGrid w:val="0"/>
              <w:jc w:val="center"/>
              <w:rPr>
                <w:color w:val="auto"/>
                <w:sz w:val="24"/>
              </w:rPr>
            </w:pPr>
            <w:r>
              <w:rPr>
                <w:rFonts w:hint="eastAsia"/>
                <w:color w:val="auto"/>
                <w:sz w:val="24"/>
              </w:rPr>
              <w:t>/</w:t>
            </w:r>
          </w:p>
        </w:tc>
      </w:tr>
      <w:tr w14:paraId="6C94F3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Align w:val="center"/>
          </w:tcPr>
          <w:p w14:paraId="5CB2B405">
            <w:pPr>
              <w:adjustRightInd w:val="0"/>
              <w:snapToGrid w:val="0"/>
              <w:jc w:val="center"/>
              <w:rPr>
                <w:color w:val="auto"/>
                <w:sz w:val="24"/>
              </w:rPr>
            </w:pPr>
            <w:r>
              <w:rPr>
                <w:color w:val="auto"/>
                <w:sz w:val="24"/>
              </w:rPr>
              <w:t>地表水</w:t>
            </w:r>
          </w:p>
          <w:p w14:paraId="50FAF9DE">
            <w:pPr>
              <w:adjustRightInd w:val="0"/>
              <w:snapToGrid w:val="0"/>
              <w:jc w:val="center"/>
              <w:rPr>
                <w:color w:val="auto"/>
                <w:sz w:val="24"/>
              </w:rPr>
            </w:pPr>
            <w:r>
              <w:rPr>
                <w:color w:val="auto"/>
                <w:sz w:val="24"/>
              </w:rPr>
              <w:t>环境</w:t>
            </w:r>
          </w:p>
        </w:tc>
        <w:tc>
          <w:tcPr>
            <w:tcW w:w="1364" w:type="pct"/>
            <w:vAlign w:val="center"/>
          </w:tcPr>
          <w:p w14:paraId="5B4F2FDC">
            <w:pPr>
              <w:adjustRightInd w:val="0"/>
              <w:snapToGrid w:val="0"/>
              <w:rPr>
                <w:color w:val="auto"/>
                <w:sz w:val="24"/>
              </w:rPr>
            </w:pPr>
            <w:r>
              <w:rPr>
                <w:color w:val="auto"/>
                <w:sz w:val="24"/>
              </w:rPr>
              <w:t>合理规划施工场地内物料堆场的位置；施工场地产生的扬尘废水经临时排水沟收集后进入沉淀池处理</w:t>
            </w:r>
            <w:r>
              <w:rPr>
                <w:bCs/>
                <w:color w:val="auto"/>
                <w:sz w:val="24"/>
              </w:rPr>
              <w:t>，最后作为生产用水进行循环使用</w:t>
            </w:r>
            <w:r>
              <w:rPr>
                <w:color w:val="auto"/>
                <w:sz w:val="24"/>
              </w:rPr>
              <w:t>；生活污水经预处理池处理后排至南江县</w:t>
            </w:r>
            <w:r>
              <w:rPr>
                <w:rFonts w:hint="eastAsia"/>
                <w:color w:val="auto"/>
                <w:sz w:val="24"/>
              </w:rPr>
              <w:t>关坝镇</w:t>
            </w:r>
            <w:r>
              <w:rPr>
                <w:color w:val="auto"/>
                <w:sz w:val="24"/>
              </w:rPr>
              <w:t>污水处理</w:t>
            </w:r>
            <w:r>
              <w:rPr>
                <w:rFonts w:hint="eastAsia"/>
                <w:color w:val="auto"/>
                <w:sz w:val="24"/>
              </w:rPr>
              <w:t>站</w:t>
            </w:r>
            <w:r>
              <w:rPr>
                <w:bCs/>
                <w:color w:val="auto"/>
                <w:sz w:val="24"/>
              </w:rPr>
              <w:t>进行处理等措施</w:t>
            </w:r>
          </w:p>
        </w:tc>
        <w:tc>
          <w:tcPr>
            <w:tcW w:w="1145" w:type="pct"/>
            <w:vAlign w:val="center"/>
          </w:tcPr>
          <w:p w14:paraId="4AE171F9">
            <w:pPr>
              <w:adjustRightInd w:val="0"/>
              <w:snapToGrid w:val="0"/>
              <w:jc w:val="center"/>
              <w:rPr>
                <w:color w:val="auto"/>
                <w:sz w:val="24"/>
              </w:rPr>
            </w:pPr>
            <w:r>
              <w:rPr>
                <w:color w:val="auto"/>
                <w:sz w:val="24"/>
              </w:rPr>
              <w:t>施工期间临时预处理池、临时沉淀池、截排水沟等措施均得到落实，施工废水无外排，其余措施已按要求执行，未对地表水环境产生明显影响</w:t>
            </w:r>
          </w:p>
        </w:tc>
        <w:tc>
          <w:tcPr>
            <w:tcW w:w="988" w:type="pct"/>
            <w:vAlign w:val="center"/>
          </w:tcPr>
          <w:p w14:paraId="6A5869A4">
            <w:pPr>
              <w:adjustRightInd w:val="0"/>
              <w:snapToGrid w:val="0"/>
              <w:jc w:val="center"/>
              <w:rPr>
                <w:color w:val="auto"/>
                <w:sz w:val="24"/>
              </w:rPr>
            </w:pPr>
            <w:r>
              <w:rPr>
                <w:rFonts w:hint="eastAsia"/>
                <w:color w:val="auto"/>
                <w:sz w:val="24"/>
              </w:rPr>
              <w:t>设置预处理池，</w:t>
            </w:r>
            <w:r>
              <w:rPr>
                <w:color w:val="auto"/>
                <w:sz w:val="24"/>
              </w:rPr>
              <w:t>完善应急处理措施等措施</w:t>
            </w:r>
          </w:p>
        </w:tc>
        <w:tc>
          <w:tcPr>
            <w:tcW w:w="831" w:type="pct"/>
            <w:vAlign w:val="center"/>
          </w:tcPr>
          <w:p w14:paraId="663F662A">
            <w:pPr>
              <w:adjustRightInd w:val="0"/>
              <w:snapToGrid w:val="0"/>
              <w:jc w:val="center"/>
              <w:rPr>
                <w:color w:val="auto"/>
                <w:sz w:val="24"/>
              </w:rPr>
            </w:pPr>
            <w:r>
              <w:rPr>
                <w:rFonts w:hint="eastAsia"/>
                <w:color w:val="auto"/>
                <w:sz w:val="24"/>
                <w:lang w:eastAsia="zh-CN"/>
              </w:rPr>
              <w:t>预处理池、</w:t>
            </w:r>
            <w:r>
              <w:rPr>
                <w:color w:val="auto"/>
                <w:sz w:val="24"/>
              </w:rPr>
              <w:t>应急设施配置完整，其余措施已按要求执行相关措施，未对地表水环境产生明显影响</w:t>
            </w:r>
          </w:p>
        </w:tc>
      </w:tr>
      <w:tr w14:paraId="4D2CD3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Align w:val="center"/>
          </w:tcPr>
          <w:p w14:paraId="191906EB">
            <w:pPr>
              <w:adjustRightInd w:val="0"/>
              <w:snapToGrid w:val="0"/>
              <w:jc w:val="center"/>
              <w:rPr>
                <w:color w:val="auto"/>
                <w:sz w:val="24"/>
              </w:rPr>
            </w:pPr>
            <w:r>
              <w:rPr>
                <w:color w:val="auto"/>
                <w:sz w:val="24"/>
              </w:rPr>
              <w:t>地下水及土壤环境</w:t>
            </w:r>
          </w:p>
        </w:tc>
        <w:tc>
          <w:tcPr>
            <w:tcW w:w="1364" w:type="pct"/>
            <w:vAlign w:val="center"/>
          </w:tcPr>
          <w:p w14:paraId="759BACC8">
            <w:pPr>
              <w:adjustRightInd w:val="0"/>
              <w:snapToGrid w:val="0"/>
              <w:jc w:val="center"/>
              <w:rPr>
                <w:color w:val="auto"/>
                <w:sz w:val="24"/>
              </w:rPr>
            </w:pPr>
            <w:r>
              <w:rPr>
                <w:rFonts w:hint="eastAsia"/>
                <w:color w:val="auto"/>
                <w:sz w:val="24"/>
              </w:rPr>
              <w:t>/</w:t>
            </w:r>
          </w:p>
        </w:tc>
        <w:tc>
          <w:tcPr>
            <w:tcW w:w="1145" w:type="pct"/>
            <w:vAlign w:val="center"/>
          </w:tcPr>
          <w:p w14:paraId="4AA99EAD">
            <w:pPr>
              <w:adjustRightInd w:val="0"/>
              <w:snapToGrid w:val="0"/>
              <w:jc w:val="center"/>
              <w:rPr>
                <w:color w:val="auto"/>
                <w:sz w:val="24"/>
              </w:rPr>
            </w:pPr>
            <w:r>
              <w:rPr>
                <w:rFonts w:hint="eastAsia"/>
                <w:color w:val="auto"/>
                <w:sz w:val="24"/>
              </w:rPr>
              <w:t>/</w:t>
            </w:r>
          </w:p>
        </w:tc>
        <w:tc>
          <w:tcPr>
            <w:tcW w:w="988" w:type="pct"/>
            <w:vAlign w:val="center"/>
          </w:tcPr>
          <w:p w14:paraId="599496ED">
            <w:pPr>
              <w:adjustRightInd w:val="0"/>
              <w:snapToGrid w:val="0"/>
              <w:jc w:val="center"/>
              <w:rPr>
                <w:color w:val="auto"/>
                <w:sz w:val="24"/>
              </w:rPr>
            </w:pPr>
            <w:r>
              <w:rPr>
                <w:color w:val="auto"/>
                <w:sz w:val="24"/>
              </w:rPr>
              <w:t>/</w:t>
            </w:r>
          </w:p>
        </w:tc>
        <w:tc>
          <w:tcPr>
            <w:tcW w:w="831" w:type="pct"/>
            <w:vAlign w:val="center"/>
          </w:tcPr>
          <w:p w14:paraId="0566C195">
            <w:pPr>
              <w:adjustRightInd w:val="0"/>
              <w:snapToGrid w:val="0"/>
              <w:jc w:val="center"/>
              <w:rPr>
                <w:color w:val="auto"/>
                <w:sz w:val="24"/>
              </w:rPr>
            </w:pPr>
            <w:r>
              <w:rPr>
                <w:color w:val="auto"/>
                <w:sz w:val="24"/>
              </w:rPr>
              <w:t>/</w:t>
            </w:r>
          </w:p>
        </w:tc>
      </w:tr>
      <w:tr w14:paraId="361490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Align w:val="center"/>
          </w:tcPr>
          <w:p w14:paraId="4A647EA1">
            <w:pPr>
              <w:adjustRightInd w:val="0"/>
              <w:snapToGrid w:val="0"/>
              <w:jc w:val="center"/>
              <w:rPr>
                <w:color w:val="auto"/>
                <w:sz w:val="24"/>
              </w:rPr>
            </w:pPr>
            <w:r>
              <w:rPr>
                <w:color w:val="auto"/>
                <w:sz w:val="24"/>
              </w:rPr>
              <w:t>声环境</w:t>
            </w:r>
          </w:p>
        </w:tc>
        <w:tc>
          <w:tcPr>
            <w:tcW w:w="1364" w:type="pct"/>
            <w:vAlign w:val="center"/>
          </w:tcPr>
          <w:p w14:paraId="3BC8E9BF">
            <w:pPr>
              <w:widowControl/>
              <w:adjustRightInd w:val="0"/>
              <w:jc w:val="left"/>
              <w:rPr>
                <w:color w:val="auto"/>
                <w:sz w:val="24"/>
                <w:szCs w:val="24"/>
              </w:rPr>
            </w:pPr>
            <w:r>
              <w:rPr>
                <w:color w:val="auto"/>
                <w:kern w:val="0"/>
                <w:sz w:val="24"/>
                <w:szCs w:val="24"/>
                <w:lang w:bidi="ar"/>
              </w:rPr>
              <w:t>加强施工管理，采用低噪音施工机械设备；严禁夜间进行产生环境噪声污染的建筑施工作业；合理安排施工时间，合理布置高噪声施工设备；进出车辆禁鸣等措施</w:t>
            </w:r>
          </w:p>
        </w:tc>
        <w:tc>
          <w:tcPr>
            <w:tcW w:w="1145" w:type="pct"/>
            <w:vAlign w:val="center"/>
          </w:tcPr>
          <w:p w14:paraId="1696CF41">
            <w:pPr>
              <w:adjustRightInd w:val="0"/>
              <w:snapToGrid w:val="0"/>
              <w:jc w:val="center"/>
              <w:rPr>
                <w:color w:val="auto"/>
                <w:sz w:val="24"/>
                <w:szCs w:val="24"/>
              </w:rPr>
            </w:pPr>
            <w:r>
              <w:rPr>
                <w:color w:val="auto"/>
                <w:sz w:val="24"/>
                <w:szCs w:val="24"/>
              </w:rPr>
              <w:t>满足《建筑施工噪声排放标准》（GB12523-20</w:t>
            </w:r>
            <w:r>
              <w:rPr>
                <w:rFonts w:hint="eastAsia"/>
                <w:color w:val="auto"/>
                <w:sz w:val="24"/>
                <w:szCs w:val="24"/>
                <w:lang w:val="en-US" w:eastAsia="zh-CN"/>
              </w:rPr>
              <w:t>25</w:t>
            </w:r>
            <w:r>
              <w:rPr>
                <w:color w:val="auto"/>
                <w:sz w:val="24"/>
                <w:szCs w:val="24"/>
              </w:rPr>
              <w:t>）</w:t>
            </w:r>
          </w:p>
        </w:tc>
        <w:tc>
          <w:tcPr>
            <w:tcW w:w="988" w:type="pct"/>
            <w:vAlign w:val="center"/>
          </w:tcPr>
          <w:p w14:paraId="56DC9C25">
            <w:pPr>
              <w:adjustRightInd w:val="0"/>
              <w:snapToGrid w:val="0"/>
              <w:jc w:val="center"/>
              <w:rPr>
                <w:color w:val="auto"/>
                <w:sz w:val="24"/>
                <w:szCs w:val="24"/>
              </w:rPr>
            </w:pPr>
            <w:r>
              <w:rPr>
                <w:rStyle w:val="42"/>
                <w:rFonts w:hint="eastAsia"/>
                <w:color w:val="auto"/>
                <w:kern w:val="0"/>
                <w:sz w:val="24"/>
                <w:szCs w:val="24"/>
              </w:rPr>
              <w:t>加强管理、环保宣传等</w:t>
            </w:r>
          </w:p>
        </w:tc>
        <w:tc>
          <w:tcPr>
            <w:tcW w:w="831" w:type="pct"/>
            <w:vAlign w:val="center"/>
          </w:tcPr>
          <w:p w14:paraId="47035C28">
            <w:pPr>
              <w:adjustRightInd w:val="0"/>
              <w:snapToGrid w:val="0"/>
              <w:jc w:val="center"/>
              <w:rPr>
                <w:color w:val="auto"/>
                <w:sz w:val="24"/>
                <w:szCs w:val="24"/>
              </w:rPr>
            </w:pPr>
            <w:r>
              <w:rPr>
                <w:color w:val="auto"/>
                <w:sz w:val="24"/>
                <w:szCs w:val="24"/>
              </w:rPr>
              <w:t>满足《社会生活环境噪声排放标准》（GB22337-2008）2类标准</w:t>
            </w:r>
          </w:p>
        </w:tc>
      </w:tr>
      <w:tr w14:paraId="1392C4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Align w:val="center"/>
          </w:tcPr>
          <w:p w14:paraId="42E77567">
            <w:pPr>
              <w:adjustRightInd w:val="0"/>
              <w:snapToGrid w:val="0"/>
              <w:jc w:val="center"/>
              <w:rPr>
                <w:color w:val="auto"/>
                <w:sz w:val="24"/>
              </w:rPr>
            </w:pPr>
            <w:r>
              <w:rPr>
                <w:color w:val="auto"/>
                <w:sz w:val="24"/>
              </w:rPr>
              <w:t>振动</w:t>
            </w:r>
          </w:p>
        </w:tc>
        <w:tc>
          <w:tcPr>
            <w:tcW w:w="1364" w:type="pct"/>
            <w:vAlign w:val="center"/>
          </w:tcPr>
          <w:p w14:paraId="1D45BADD">
            <w:pPr>
              <w:adjustRightInd w:val="0"/>
              <w:snapToGrid w:val="0"/>
              <w:jc w:val="center"/>
              <w:rPr>
                <w:color w:val="auto"/>
                <w:sz w:val="24"/>
              </w:rPr>
            </w:pPr>
            <w:r>
              <w:rPr>
                <w:color w:val="auto"/>
                <w:sz w:val="24"/>
              </w:rPr>
              <w:t>/</w:t>
            </w:r>
          </w:p>
        </w:tc>
        <w:tc>
          <w:tcPr>
            <w:tcW w:w="1145" w:type="pct"/>
            <w:vAlign w:val="center"/>
          </w:tcPr>
          <w:p w14:paraId="0EB19B4D">
            <w:pPr>
              <w:adjustRightInd w:val="0"/>
              <w:snapToGrid w:val="0"/>
              <w:jc w:val="center"/>
              <w:rPr>
                <w:color w:val="auto"/>
                <w:sz w:val="24"/>
              </w:rPr>
            </w:pPr>
            <w:r>
              <w:rPr>
                <w:color w:val="auto"/>
                <w:sz w:val="24"/>
              </w:rPr>
              <w:t>/</w:t>
            </w:r>
          </w:p>
        </w:tc>
        <w:tc>
          <w:tcPr>
            <w:tcW w:w="988" w:type="pct"/>
            <w:vAlign w:val="center"/>
          </w:tcPr>
          <w:p w14:paraId="1D3A1132">
            <w:pPr>
              <w:adjustRightInd w:val="0"/>
              <w:snapToGrid w:val="0"/>
              <w:jc w:val="center"/>
              <w:rPr>
                <w:color w:val="auto"/>
                <w:sz w:val="24"/>
              </w:rPr>
            </w:pPr>
            <w:r>
              <w:rPr>
                <w:color w:val="auto"/>
                <w:sz w:val="24"/>
              </w:rPr>
              <w:t>/</w:t>
            </w:r>
          </w:p>
        </w:tc>
        <w:tc>
          <w:tcPr>
            <w:tcW w:w="831" w:type="pct"/>
            <w:vAlign w:val="center"/>
          </w:tcPr>
          <w:p w14:paraId="5902C74F">
            <w:pPr>
              <w:adjustRightInd w:val="0"/>
              <w:snapToGrid w:val="0"/>
              <w:jc w:val="center"/>
              <w:rPr>
                <w:color w:val="auto"/>
                <w:sz w:val="24"/>
              </w:rPr>
            </w:pPr>
            <w:r>
              <w:rPr>
                <w:color w:val="auto"/>
                <w:sz w:val="24"/>
              </w:rPr>
              <w:t>/</w:t>
            </w:r>
          </w:p>
        </w:tc>
      </w:tr>
      <w:tr w14:paraId="050C88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Align w:val="center"/>
          </w:tcPr>
          <w:p w14:paraId="06FB5D90">
            <w:pPr>
              <w:adjustRightInd w:val="0"/>
              <w:snapToGrid w:val="0"/>
              <w:jc w:val="center"/>
              <w:rPr>
                <w:color w:val="auto"/>
                <w:sz w:val="24"/>
              </w:rPr>
            </w:pPr>
            <w:r>
              <w:rPr>
                <w:color w:val="auto"/>
                <w:sz w:val="24"/>
              </w:rPr>
              <w:t>大气环境</w:t>
            </w:r>
          </w:p>
        </w:tc>
        <w:tc>
          <w:tcPr>
            <w:tcW w:w="1364" w:type="pct"/>
            <w:vAlign w:val="center"/>
          </w:tcPr>
          <w:p w14:paraId="43A0798C">
            <w:pPr>
              <w:adjustRightInd w:val="0"/>
              <w:snapToGrid w:val="0"/>
              <w:rPr>
                <w:color w:val="auto"/>
                <w:sz w:val="24"/>
              </w:rPr>
            </w:pPr>
            <w:r>
              <w:rPr>
                <w:bCs/>
                <w:color w:val="auto"/>
                <w:sz w:val="24"/>
              </w:rPr>
              <w:t>施工场地设置硬质密闭围挡，洒水抑尘；表土及裸露地表采用密目网遮盖；</w:t>
            </w:r>
            <w:r>
              <w:rPr>
                <w:color w:val="auto"/>
                <w:kern w:val="0"/>
                <w:sz w:val="24"/>
              </w:rPr>
              <w:t>施工车辆限速限载，运输路线洒水抑尘；临时堆土场采用密目网覆盖；文明施工，</w:t>
            </w:r>
            <w:r>
              <w:rPr>
                <w:bCs/>
                <w:color w:val="auto"/>
                <w:sz w:val="24"/>
              </w:rPr>
              <w:t>合理安排施工工序</w:t>
            </w:r>
          </w:p>
        </w:tc>
        <w:tc>
          <w:tcPr>
            <w:tcW w:w="1145" w:type="pct"/>
            <w:vAlign w:val="center"/>
          </w:tcPr>
          <w:p w14:paraId="4F1F8FB0">
            <w:pPr>
              <w:wordWrap w:val="0"/>
              <w:adjustRightInd w:val="0"/>
              <w:snapToGrid w:val="0"/>
              <w:jc w:val="center"/>
              <w:rPr>
                <w:color w:val="auto"/>
                <w:sz w:val="24"/>
              </w:rPr>
            </w:pPr>
            <w:r>
              <w:rPr>
                <w:color w:val="auto"/>
                <w:sz w:val="24"/>
              </w:rPr>
              <w:t>满足《四川省施工场地扬尘排放标准（DB51/2682-2020）》的规定；</w:t>
            </w:r>
            <w:r>
              <w:rPr>
                <w:color w:val="auto"/>
                <w:kern w:val="0"/>
                <w:sz w:val="24"/>
              </w:rPr>
              <w:t>围挡、覆盖等措施已落实</w:t>
            </w:r>
          </w:p>
        </w:tc>
        <w:tc>
          <w:tcPr>
            <w:tcW w:w="988" w:type="pct"/>
            <w:vAlign w:val="center"/>
          </w:tcPr>
          <w:p w14:paraId="4362DE24">
            <w:pPr>
              <w:adjustRightInd w:val="0"/>
              <w:snapToGrid w:val="0"/>
              <w:jc w:val="center"/>
              <w:rPr>
                <w:color w:val="auto"/>
                <w:sz w:val="24"/>
              </w:rPr>
            </w:pPr>
            <w:r>
              <w:rPr>
                <w:color w:val="auto"/>
                <w:sz w:val="24"/>
              </w:rPr>
              <w:t>加强绿化、有针对性优化植物物种结构；每栋住宅设置专用居民油烟排烟竖井</w:t>
            </w:r>
          </w:p>
        </w:tc>
        <w:tc>
          <w:tcPr>
            <w:tcW w:w="831" w:type="pct"/>
            <w:vAlign w:val="center"/>
          </w:tcPr>
          <w:p w14:paraId="58C4860F">
            <w:pPr>
              <w:adjustRightInd w:val="0"/>
              <w:snapToGrid w:val="0"/>
              <w:jc w:val="center"/>
              <w:rPr>
                <w:color w:val="auto"/>
                <w:sz w:val="24"/>
              </w:rPr>
            </w:pPr>
            <w:r>
              <w:rPr>
                <w:rFonts w:hint="eastAsia"/>
                <w:color w:val="auto"/>
                <w:sz w:val="24"/>
              </w:rPr>
              <w:t>/</w:t>
            </w:r>
          </w:p>
        </w:tc>
      </w:tr>
      <w:tr w14:paraId="6C7992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Align w:val="center"/>
          </w:tcPr>
          <w:p w14:paraId="1BBFFD9E">
            <w:pPr>
              <w:adjustRightInd w:val="0"/>
              <w:snapToGrid w:val="0"/>
              <w:jc w:val="center"/>
              <w:rPr>
                <w:color w:val="auto"/>
                <w:sz w:val="24"/>
              </w:rPr>
            </w:pPr>
            <w:r>
              <w:rPr>
                <w:color w:val="auto"/>
                <w:sz w:val="24"/>
              </w:rPr>
              <w:t>固体废物</w:t>
            </w:r>
          </w:p>
        </w:tc>
        <w:tc>
          <w:tcPr>
            <w:tcW w:w="1364" w:type="pct"/>
            <w:vAlign w:val="center"/>
          </w:tcPr>
          <w:p w14:paraId="3DD8581D">
            <w:pPr>
              <w:adjustRightInd w:val="0"/>
              <w:snapToGrid w:val="0"/>
              <w:jc w:val="center"/>
              <w:rPr>
                <w:color w:val="auto"/>
                <w:sz w:val="24"/>
              </w:rPr>
            </w:pPr>
            <w:r>
              <w:rPr>
                <w:color w:val="auto"/>
                <w:sz w:val="24"/>
              </w:rPr>
              <w:t>建筑弃渣统一清运至政府指定地点进行处理；生活垃圾日产日清由环卫部门统一清运等措施</w:t>
            </w:r>
          </w:p>
        </w:tc>
        <w:tc>
          <w:tcPr>
            <w:tcW w:w="1145" w:type="pct"/>
            <w:vAlign w:val="center"/>
          </w:tcPr>
          <w:p w14:paraId="217ED96B">
            <w:pPr>
              <w:adjustRightInd w:val="0"/>
              <w:snapToGrid w:val="0"/>
              <w:jc w:val="center"/>
              <w:rPr>
                <w:color w:val="auto"/>
                <w:sz w:val="24"/>
              </w:rPr>
            </w:pPr>
            <w:r>
              <w:rPr>
                <w:color w:val="auto"/>
                <w:sz w:val="24"/>
              </w:rPr>
              <w:t>建筑垃圾、生活垃圾均已按措施要求处理</w:t>
            </w:r>
          </w:p>
        </w:tc>
        <w:tc>
          <w:tcPr>
            <w:tcW w:w="988" w:type="pct"/>
            <w:vAlign w:val="center"/>
          </w:tcPr>
          <w:p w14:paraId="0F0EC471">
            <w:pPr>
              <w:adjustRightInd w:val="0"/>
              <w:snapToGrid w:val="0"/>
              <w:jc w:val="center"/>
              <w:rPr>
                <w:color w:val="auto"/>
                <w:sz w:val="24"/>
              </w:rPr>
            </w:pPr>
            <w:r>
              <w:rPr>
                <w:color w:val="auto"/>
                <w:sz w:val="24"/>
              </w:rPr>
              <w:t>生活垃圾经环卫工人收集后定期由环卫部门收集后统一清运等措施</w:t>
            </w:r>
          </w:p>
        </w:tc>
        <w:tc>
          <w:tcPr>
            <w:tcW w:w="831" w:type="pct"/>
            <w:vAlign w:val="center"/>
          </w:tcPr>
          <w:p w14:paraId="6F08810F">
            <w:pPr>
              <w:widowControl/>
              <w:adjustRightInd w:val="0"/>
              <w:jc w:val="left"/>
              <w:rPr>
                <w:color w:val="auto"/>
                <w:sz w:val="24"/>
              </w:rPr>
            </w:pPr>
            <w:r>
              <w:rPr>
                <w:color w:val="auto"/>
                <w:sz w:val="24"/>
              </w:rPr>
              <w:t>未出现生活垃圾堆积现象，运营期固体废物均得到妥善处理</w:t>
            </w:r>
          </w:p>
        </w:tc>
      </w:tr>
      <w:tr w14:paraId="7927AB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Align w:val="center"/>
          </w:tcPr>
          <w:p w14:paraId="4EC1B66A">
            <w:pPr>
              <w:adjustRightInd w:val="0"/>
              <w:snapToGrid w:val="0"/>
              <w:jc w:val="center"/>
              <w:rPr>
                <w:color w:val="auto"/>
                <w:sz w:val="24"/>
              </w:rPr>
            </w:pPr>
            <w:r>
              <w:rPr>
                <w:color w:val="auto"/>
                <w:sz w:val="24"/>
              </w:rPr>
              <w:t>电磁环境</w:t>
            </w:r>
          </w:p>
        </w:tc>
        <w:tc>
          <w:tcPr>
            <w:tcW w:w="1364" w:type="pct"/>
            <w:vAlign w:val="center"/>
          </w:tcPr>
          <w:p w14:paraId="3A481965">
            <w:pPr>
              <w:adjustRightInd w:val="0"/>
              <w:snapToGrid w:val="0"/>
              <w:jc w:val="center"/>
              <w:rPr>
                <w:color w:val="auto"/>
                <w:sz w:val="24"/>
              </w:rPr>
            </w:pPr>
            <w:r>
              <w:rPr>
                <w:color w:val="auto"/>
                <w:sz w:val="24"/>
              </w:rPr>
              <w:t>/</w:t>
            </w:r>
          </w:p>
        </w:tc>
        <w:tc>
          <w:tcPr>
            <w:tcW w:w="1145" w:type="pct"/>
            <w:vAlign w:val="center"/>
          </w:tcPr>
          <w:p w14:paraId="1426D739">
            <w:pPr>
              <w:adjustRightInd w:val="0"/>
              <w:snapToGrid w:val="0"/>
              <w:jc w:val="center"/>
              <w:rPr>
                <w:color w:val="auto"/>
                <w:sz w:val="24"/>
              </w:rPr>
            </w:pPr>
            <w:r>
              <w:rPr>
                <w:color w:val="auto"/>
                <w:sz w:val="24"/>
              </w:rPr>
              <w:t>/</w:t>
            </w:r>
          </w:p>
        </w:tc>
        <w:tc>
          <w:tcPr>
            <w:tcW w:w="988" w:type="pct"/>
            <w:vAlign w:val="center"/>
          </w:tcPr>
          <w:p w14:paraId="59A86337">
            <w:pPr>
              <w:adjustRightInd w:val="0"/>
              <w:snapToGrid w:val="0"/>
              <w:jc w:val="center"/>
              <w:rPr>
                <w:color w:val="auto"/>
                <w:sz w:val="24"/>
              </w:rPr>
            </w:pPr>
            <w:r>
              <w:rPr>
                <w:color w:val="auto"/>
                <w:sz w:val="24"/>
              </w:rPr>
              <w:t>/</w:t>
            </w:r>
          </w:p>
        </w:tc>
        <w:tc>
          <w:tcPr>
            <w:tcW w:w="831" w:type="pct"/>
            <w:vAlign w:val="center"/>
          </w:tcPr>
          <w:p w14:paraId="7AC34156">
            <w:pPr>
              <w:adjustRightInd w:val="0"/>
              <w:snapToGrid w:val="0"/>
              <w:jc w:val="center"/>
              <w:rPr>
                <w:color w:val="auto"/>
                <w:sz w:val="24"/>
              </w:rPr>
            </w:pPr>
            <w:r>
              <w:rPr>
                <w:color w:val="auto"/>
                <w:sz w:val="24"/>
              </w:rPr>
              <w:t>/</w:t>
            </w:r>
          </w:p>
        </w:tc>
      </w:tr>
      <w:tr w14:paraId="625A1B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Align w:val="center"/>
          </w:tcPr>
          <w:p w14:paraId="6723C16B">
            <w:pPr>
              <w:adjustRightInd w:val="0"/>
              <w:snapToGrid w:val="0"/>
              <w:jc w:val="center"/>
              <w:rPr>
                <w:color w:val="auto"/>
                <w:sz w:val="24"/>
              </w:rPr>
            </w:pPr>
            <w:r>
              <w:rPr>
                <w:color w:val="auto"/>
                <w:sz w:val="24"/>
              </w:rPr>
              <w:t>环境风险</w:t>
            </w:r>
          </w:p>
        </w:tc>
        <w:tc>
          <w:tcPr>
            <w:tcW w:w="1364" w:type="pct"/>
            <w:vAlign w:val="center"/>
          </w:tcPr>
          <w:p w14:paraId="4FA26BB0">
            <w:pPr>
              <w:adjustRightInd w:val="0"/>
              <w:snapToGrid w:val="0"/>
              <w:jc w:val="center"/>
              <w:rPr>
                <w:color w:val="auto"/>
                <w:sz w:val="24"/>
              </w:rPr>
            </w:pPr>
            <w:r>
              <w:rPr>
                <w:color w:val="auto"/>
                <w:sz w:val="24"/>
              </w:rPr>
              <w:t>加强管理，配备应急设施并制定相关规范等措施</w:t>
            </w:r>
          </w:p>
        </w:tc>
        <w:tc>
          <w:tcPr>
            <w:tcW w:w="1145" w:type="pct"/>
            <w:vAlign w:val="center"/>
          </w:tcPr>
          <w:p w14:paraId="40E4E122">
            <w:pPr>
              <w:adjustRightInd w:val="0"/>
              <w:snapToGrid w:val="0"/>
              <w:jc w:val="center"/>
              <w:rPr>
                <w:color w:val="auto"/>
                <w:sz w:val="24"/>
              </w:rPr>
            </w:pPr>
            <w:r>
              <w:rPr>
                <w:color w:val="auto"/>
                <w:sz w:val="24"/>
              </w:rPr>
              <w:t>已配置应急设备</w:t>
            </w:r>
          </w:p>
        </w:tc>
        <w:tc>
          <w:tcPr>
            <w:tcW w:w="988" w:type="pct"/>
            <w:vAlign w:val="center"/>
          </w:tcPr>
          <w:p w14:paraId="6409C1E6">
            <w:pPr>
              <w:adjustRightInd w:val="0"/>
              <w:snapToGrid w:val="0"/>
              <w:jc w:val="center"/>
              <w:rPr>
                <w:color w:val="auto"/>
                <w:sz w:val="24"/>
              </w:rPr>
            </w:pPr>
            <w:r>
              <w:rPr>
                <w:color w:val="auto"/>
                <w:sz w:val="24"/>
              </w:rPr>
              <w:t>加强管理等措施</w:t>
            </w:r>
            <w:r>
              <w:rPr>
                <w:rFonts w:hint="eastAsia"/>
                <w:color w:val="auto"/>
                <w:sz w:val="24"/>
              </w:rPr>
              <w:t>，配备各应急物资，风险防范措施</w:t>
            </w:r>
          </w:p>
        </w:tc>
        <w:tc>
          <w:tcPr>
            <w:tcW w:w="831" w:type="pct"/>
            <w:vAlign w:val="center"/>
          </w:tcPr>
          <w:p w14:paraId="75C4A45F">
            <w:pPr>
              <w:adjustRightInd w:val="0"/>
              <w:snapToGrid w:val="0"/>
              <w:jc w:val="center"/>
              <w:rPr>
                <w:color w:val="auto"/>
                <w:sz w:val="24"/>
              </w:rPr>
            </w:pPr>
            <w:r>
              <w:rPr>
                <w:color w:val="auto"/>
                <w:sz w:val="24"/>
              </w:rPr>
              <w:t>已落实运营期</w:t>
            </w:r>
            <w:r>
              <w:rPr>
                <w:rFonts w:hint="eastAsia"/>
                <w:color w:val="auto"/>
                <w:sz w:val="24"/>
              </w:rPr>
              <w:t>风险</w:t>
            </w:r>
            <w:r>
              <w:rPr>
                <w:color w:val="auto"/>
                <w:sz w:val="24"/>
              </w:rPr>
              <w:t>管理措施</w:t>
            </w:r>
          </w:p>
        </w:tc>
      </w:tr>
      <w:tr w14:paraId="6A6101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Align w:val="center"/>
          </w:tcPr>
          <w:p w14:paraId="029B681D">
            <w:pPr>
              <w:adjustRightInd w:val="0"/>
              <w:snapToGrid w:val="0"/>
              <w:jc w:val="center"/>
              <w:rPr>
                <w:color w:val="auto"/>
                <w:sz w:val="24"/>
              </w:rPr>
            </w:pPr>
            <w:r>
              <w:rPr>
                <w:color w:val="auto"/>
                <w:sz w:val="24"/>
              </w:rPr>
              <w:t>环境监测</w:t>
            </w:r>
          </w:p>
        </w:tc>
        <w:tc>
          <w:tcPr>
            <w:tcW w:w="1364" w:type="pct"/>
            <w:vAlign w:val="center"/>
          </w:tcPr>
          <w:p w14:paraId="58BA2782">
            <w:pPr>
              <w:adjustRightInd w:val="0"/>
              <w:snapToGrid w:val="0"/>
              <w:jc w:val="center"/>
              <w:rPr>
                <w:color w:val="auto"/>
                <w:sz w:val="24"/>
              </w:rPr>
            </w:pPr>
            <w:r>
              <w:rPr>
                <w:color w:val="auto"/>
                <w:sz w:val="24"/>
              </w:rPr>
              <w:t>制定并严格执行环保监理；合理安排施工等措施</w:t>
            </w:r>
          </w:p>
        </w:tc>
        <w:tc>
          <w:tcPr>
            <w:tcW w:w="1145" w:type="pct"/>
            <w:vAlign w:val="center"/>
          </w:tcPr>
          <w:p w14:paraId="46D87789">
            <w:pPr>
              <w:adjustRightInd w:val="0"/>
              <w:snapToGrid w:val="0"/>
              <w:jc w:val="center"/>
              <w:rPr>
                <w:color w:val="auto"/>
                <w:sz w:val="24"/>
              </w:rPr>
            </w:pPr>
            <w:r>
              <w:rPr>
                <w:color w:val="auto"/>
                <w:sz w:val="24"/>
              </w:rPr>
              <w:t>安排环保监理，施工安排合理</w:t>
            </w:r>
          </w:p>
        </w:tc>
        <w:tc>
          <w:tcPr>
            <w:tcW w:w="988" w:type="pct"/>
            <w:vAlign w:val="center"/>
          </w:tcPr>
          <w:p w14:paraId="5E047DBE">
            <w:pPr>
              <w:adjustRightInd w:val="0"/>
              <w:snapToGrid w:val="0"/>
              <w:jc w:val="center"/>
              <w:rPr>
                <w:color w:val="auto"/>
                <w:sz w:val="24"/>
              </w:rPr>
            </w:pPr>
            <w:r>
              <w:rPr>
                <w:rFonts w:hint="eastAsia"/>
                <w:color w:val="auto"/>
                <w:sz w:val="24"/>
              </w:rPr>
              <w:t>/</w:t>
            </w:r>
          </w:p>
          <w:p w14:paraId="32CD1A57">
            <w:pPr>
              <w:rPr>
                <w:color w:val="auto"/>
              </w:rPr>
            </w:pPr>
          </w:p>
        </w:tc>
        <w:tc>
          <w:tcPr>
            <w:tcW w:w="831" w:type="pct"/>
            <w:vAlign w:val="center"/>
          </w:tcPr>
          <w:p w14:paraId="5D2CEBC0">
            <w:pPr>
              <w:adjustRightInd w:val="0"/>
              <w:snapToGrid w:val="0"/>
              <w:jc w:val="center"/>
              <w:rPr>
                <w:color w:val="auto"/>
                <w:sz w:val="24"/>
              </w:rPr>
            </w:pPr>
            <w:r>
              <w:rPr>
                <w:rFonts w:hint="eastAsia"/>
                <w:color w:val="auto"/>
                <w:sz w:val="24"/>
              </w:rPr>
              <w:t>/</w:t>
            </w:r>
          </w:p>
        </w:tc>
      </w:tr>
      <w:tr w14:paraId="5A23D5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Align w:val="center"/>
          </w:tcPr>
          <w:p w14:paraId="5DF55E4E">
            <w:pPr>
              <w:adjustRightInd w:val="0"/>
              <w:snapToGrid w:val="0"/>
              <w:jc w:val="center"/>
              <w:rPr>
                <w:color w:val="auto"/>
                <w:sz w:val="24"/>
              </w:rPr>
            </w:pPr>
            <w:r>
              <w:rPr>
                <w:color w:val="auto"/>
                <w:sz w:val="24"/>
              </w:rPr>
              <w:t>其他</w:t>
            </w:r>
          </w:p>
        </w:tc>
        <w:tc>
          <w:tcPr>
            <w:tcW w:w="1364" w:type="pct"/>
            <w:vAlign w:val="center"/>
          </w:tcPr>
          <w:p w14:paraId="3A8C2105">
            <w:pPr>
              <w:adjustRightInd w:val="0"/>
              <w:snapToGrid w:val="0"/>
              <w:jc w:val="center"/>
              <w:rPr>
                <w:color w:val="auto"/>
                <w:sz w:val="24"/>
              </w:rPr>
            </w:pPr>
            <w:r>
              <w:rPr>
                <w:color w:val="auto"/>
                <w:sz w:val="24"/>
              </w:rPr>
              <w:t>加强环境管理、监理；信息公开；加强水土保持验收管理等措施</w:t>
            </w:r>
          </w:p>
        </w:tc>
        <w:tc>
          <w:tcPr>
            <w:tcW w:w="1145" w:type="pct"/>
            <w:vAlign w:val="center"/>
          </w:tcPr>
          <w:p w14:paraId="070CC602">
            <w:pPr>
              <w:adjustRightInd w:val="0"/>
              <w:snapToGrid w:val="0"/>
              <w:jc w:val="center"/>
              <w:rPr>
                <w:color w:val="auto"/>
                <w:sz w:val="24"/>
              </w:rPr>
            </w:pPr>
            <w:r>
              <w:rPr>
                <w:color w:val="auto"/>
                <w:sz w:val="24"/>
              </w:rPr>
              <w:t>相关措施已落实</w:t>
            </w:r>
          </w:p>
        </w:tc>
        <w:tc>
          <w:tcPr>
            <w:tcW w:w="988" w:type="pct"/>
            <w:vAlign w:val="center"/>
          </w:tcPr>
          <w:p w14:paraId="48D116FC">
            <w:pPr>
              <w:adjustRightInd w:val="0"/>
              <w:snapToGrid w:val="0"/>
              <w:jc w:val="center"/>
              <w:rPr>
                <w:color w:val="auto"/>
                <w:sz w:val="24"/>
              </w:rPr>
            </w:pPr>
            <w:r>
              <w:rPr>
                <w:color w:val="auto"/>
                <w:sz w:val="24"/>
              </w:rPr>
              <w:t>/</w:t>
            </w:r>
          </w:p>
        </w:tc>
        <w:tc>
          <w:tcPr>
            <w:tcW w:w="831" w:type="pct"/>
            <w:vAlign w:val="center"/>
          </w:tcPr>
          <w:p w14:paraId="05A08987">
            <w:pPr>
              <w:adjustRightInd w:val="0"/>
              <w:snapToGrid w:val="0"/>
              <w:jc w:val="center"/>
              <w:rPr>
                <w:color w:val="auto"/>
                <w:sz w:val="24"/>
              </w:rPr>
            </w:pPr>
            <w:r>
              <w:rPr>
                <w:color w:val="auto"/>
                <w:sz w:val="24"/>
              </w:rPr>
              <w:t>/</w:t>
            </w:r>
          </w:p>
        </w:tc>
      </w:tr>
    </w:tbl>
    <w:p w14:paraId="425354AD">
      <w:pPr>
        <w:rPr>
          <w:color w:val="auto"/>
        </w:rPr>
      </w:pPr>
    </w:p>
    <w:p w14:paraId="7704DC19">
      <w:pPr>
        <w:pStyle w:val="30"/>
        <w:spacing w:before="192" w:beforeLines="80" w:beforeAutospacing="0"/>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sz w:val="30"/>
          <w:szCs w:val="30"/>
        </w:rPr>
        <w:br w:type="page"/>
      </w:r>
      <w:r>
        <w:rPr>
          <w:rFonts w:ascii="Times New Roman" w:hAnsi="Times New Roman" w:eastAsia="黑体"/>
          <w:snapToGrid w:val="0"/>
          <w:color w:val="auto"/>
          <w:sz w:val="30"/>
          <w:szCs w:val="30"/>
        </w:rPr>
        <w:t>七、结论</w:t>
      </w:r>
    </w:p>
    <w:tbl>
      <w:tblPr>
        <w:tblStyle w:val="34"/>
        <w:tblW w:w="92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89"/>
      </w:tblGrid>
      <w:tr w14:paraId="327FDB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80" w:hRule="atLeast"/>
          <w:jc w:val="center"/>
        </w:trPr>
        <w:tc>
          <w:tcPr>
            <w:tcW w:w="9289" w:type="dxa"/>
          </w:tcPr>
          <w:p w14:paraId="5CF7B167">
            <w:pPr>
              <w:adjustRightInd w:val="0"/>
              <w:snapToGrid w:val="0"/>
              <w:spacing w:before="120" w:beforeLines="50" w:line="360" w:lineRule="auto"/>
              <w:ind w:firstLine="480" w:firstLineChars="200"/>
              <w:rPr>
                <w:color w:val="auto"/>
                <w:kern w:val="0"/>
                <w:sz w:val="24"/>
              </w:rPr>
            </w:pPr>
            <w:r>
              <w:rPr>
                <w:rFonts w:hint="eastAsia"/>
                <w:color w:val="auto"/>
                <w:sz w:val="24"/>
                <w:lang w:eastAsia="zh-CN"/>
              </w:rPr>
              <w:t>巴中市文旅新区关坝镇关坝村保障性租赁住房项目</w:t>
            </w:r>
            <w:r>
              <w:rPr>
                <w:color w:val="auto"/>
                <w:sz w:val="24"/>
              </w:rPr>
              <w:t>符合相关环境法律法规和国家产业政策，符合区域总体规划，选址合理，污染治理措施技术经济可行，采取相应的污染防治以及生态保护措施后，对评价区域环境质量的影响可接受。项目选址与周边用地功能相容性较好，无重大环境制约因素。</w:t>
            </w:r>
            <w:r>
              <w:rPr>
                <w:color w:val="auto"/>
                <w:kern w:val="0"/>
                <w:sz w:val="24"/>
              </w:rPr>
              <w:t>在认真落实本报告表中的环保措施和建议后，项目建设对周围环境影响不大，从环境保护角度而言，本项目选址</w:t>
            </w:r>
            <w:r>
              <w:rPr>
                <w:color w:val="auto"/>
                <w:sz w:val="24"/>
              </w:rPr>
              <w:t>在</w:t>
            </w:r>
            <w:r>
              <w:rPr>
                <w:rFonts w:hint="eastAsia"/>
                <w:color w:val="auto"/>
                <w:kern w:val="0"/>
                <w:sz w:val="24"/>
              </w:rPr>
              <w:t>四川省巴中市南江县关坝镇</w:t>
            </w:r>
            <w:r>
              <w:rPr>
                <w:color w:val="auto"/>
                <w:sz w:val="24"/>
              </w:rPr>
              <w:t>建设</w:t>
            </w:r>
            <w:r>
              <w:rPr>
                <w:color w:val="auto"/>
                <w:kern w:val="0"/>
                <w:sz w:val="24"/>
              </w:rPr>
              <w:t>可行。</w:t>
            </w:r>
          </w:p>
          <w:p w14:paraId="7D6A2457">
            <w:pPr>
              <w:adjustRightInd w:val="0"/>
              <w:snapToGrid w:val="0"/>
              <w:spacing w:line="360" w:lineRule="auto"/>
              <w:ind w:firstLine="480" w:firstLineChars="200"/>
              <w:rPr>
                <w:color w:val="auto"/>
                <w:sz w:val="24"/>
              </w:rPr>
            </w:pPr>
          </w:p>
        </w:tc>
      </w:tr>
    </w:tbl>
    <w:p w14:paraId="3216FA89">
      <w:pPr>
        <w:widowControl/>
        <w:spacing w:line="360" w:lineRule="auto"/>
        <w:ind w:firstLine="420" w:firstLineChars="200"/>
        <w:jc w:val="left"/>
        <w:rPr>
          <w:color w:val="auto"/>
        </w:rPr>
      </w:pPr>
    </w:p>
    <w:sectPr>
      <w:footerReference r:id="rId6" w:type="default"/>
      <w:pgSz w:w="11906" w:h="16838"/>
      <w:pgMar w:top="1440" w:right="1800" w:bottom="1440" w:left="1800" w:header="851" w:footer="1077"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alibri Light">
    <w:panose1 w:val="020F0302020204030204"/>
    <w:charset w:val="00"/>
    <w:family w:val="swiss"/>
    <w:pitch w:val="default"/>
    <w:sig w:usb0="A00002EF" w:usb1="4000207B"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TimesNewRoman">
    <w:altName w:val="Times New Roman"/>
    <w:panose1 w:val="00000000000000000000"/>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Helvetica">
    <w:altName w:val="Arial"/>
    <w:panose1 w:val="020B0604020202020204"/>
    <w:charset w:val="00"/>
    <w:family w:val="swiss"/>
    <w:pitch w:val="default"/>
    <w:sig w:usb0="00000000" w:usb1="00000000" w:usb2="00000000" w:usb3="00000000" w:csb0="00000001" w:csb1="00000000"/>
  </w:font>
  <w:font w:name="Cambria Math">
    <w:panose1 w:val="02040503050406030204"/>
    <w:charset w:val="00"/>
    <w:family w:val="roman"/>
    <w:pitch w:val="default"/>
    <w:sig w:usb0="E00002FF" w:usb1="420024FF" w:usb2="00000000"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AMGDT">
    <w:altName w:val="Vrinda"/>
    <w:panose1 w:val="02000400000000000000"/>
    <w:charset w:val="00"/>
    <w:family w:val="auto"/>
    <w:pitch w:val="default"/>
    <w:sig w:usb0="00000000" w:usb1="00000000" w:usb2="00000000" w:usb3="00000000" w:csb0="00000001"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D1437">
    <w:pPr>
      <w:pStyle w:val="21"/>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FC779">
    <w:pPr>
      <w:pStyle w:val="21"/>
      <w:framePr w:wrap="around" w:vAnchor="text" w:hAnchor="margin" w:xAlign="outside" w:y="1"/>
      <w:rPr>
        <w:rStyle w:val="38"/>
      </w:rPr>
    </w:pPr>
    <w:r>
      <w:fldChar w:fldCharType="begin"/>
    </w:r>
    <w:r>
      <w:rPr>
        <w:rStyle w:val="38"/>
      </w:rPr>
      <w:instrText xml:space="preserve">PAGE  </w:instrText>
    </w:r>
    <w:r>
      <w:fldChar w:fldCharType="end"/>
    </w:r>
  </w:p>
  <w:p w14:paraId="6A0AE011">
    <w:pPr>
      <w:pStyle w:val="2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705F5">
    <w:pPr>
      <w:pStyle w:val="21"/>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9EA20B">
                          <w:pPr>
                            <w:pStyle w:val="21"/>
                            <w:jc w:val="center"/>
                            <w:rPr>
                              <w:rStyle w:val="38"/>
                              <w:sz w:val="21"/>
                              <w:szCs w:val="21"/>
                            </w:rPr>
                          </w:pPr>
                        </w:p>
                        <w:p w14:paraId="0FEDBAB8">
                          <w:pPr>
                            <w:pStyle w:val="21"/>
                            <w:jc w:val="center"/>
                            <w:rPr>
                              <w:rStyle w:val="38"/>
                              <w:sz w:val="21"/>
                              <w:szCs w:val="21"/>
                            </w:rPr>
                          </w:pPr>
                          <w:r>
                            <w:rPr>
                              <w:rStyle w:val="38"/>
                              <w:sz w:val="21"/>
                              <w:szCs w:val="21"/>
                            </w:rPr>
                            <w:fldChar w:fldCharType="begin"/>
                          </w:r>
                          <w:r>
                            <w:rPr>
                              <w:rStyle w:val="38"/>
                              <w:sz w:val="21"/>
                              <w:szCs w:val="21"/>
                            </w:rPr>
                            <w:instrText xml:space="preserve"> PAGE  \* MERGEFORMAT </w:instrText>
                          </w:r>
                          <w:r>
                            <w:rPr>
                              <w:rStyle w:val="38"/>
                              <w:sz w:val="21"/>
                              <w:szCs w:val="21"/>
                            </w:rPr>
                            <w:fldChar w:fldCharType="separate"/>
                          </w:r>
                          <w:r>
                            <w:rPr>
                              <w:rStyle w:val="38"/>
                              <w:sz w:val="21"/>
                              <w:szCs w:val="21"/>
                            </w:rPr>
                            <w:t>98</w:t>
                          </w:r>
                          <w:r>
                            <w:rPr>
                              <w:rStyle w:val="38"/>
                              <w:sz w:val="21"/>
                              <w:szCs w:val="21"/>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6HyKsIBAACP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sJbShy3OPHzzx/nX4/nh+8E&#10;fShQH6DGvLuAmWl47wdMnv2Azsx7UNHmLzIiGEd5Txd55ZCIyI9Wy9WqwpDA2HxBfPb0PERIH6S3&#10;JBsNjTi/Iis/foI0ps4puZrzt9qYMkPj/nIgZvaw3PvYY7bSsBsmQjvfnpBPj6NvqMNNp8R8dKhs&#10;3pLZiLOxm4xcA8K7Q8LCpZ+MOkJNxXBOhdG0U3kR/ryXrKf/aPM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H+h8irCAQAAjwMAAA4AAAAAAAAAAQAgAAAAHgEAAGRycy9lMm9Eb2MueG1sUEsF&#10;BgAAAAAGAAYAWQEAAFIFAAAAAA==&#10;">
              <v:fill on="f" focussize="0,0"/>
              <v:stroke on="f"/>
              <v:imagedata o:title=""/>
              <o:lock v:ext="edit" aspectratio="f"/>
              <v:textbox inset="0mm,0mm,0mm,0mm" style="mso-fit-shape-to-text:t;">
                <w:txbxContent>
                  <w:p w14:paraId="039EA20B">
                    <w:pPr>
                      <w:pStyle w:val="21"/>
                      <w:jc w:val="center"/>
                      <w:rPr>
                        <w:rStyle w:val="38"/>
                        <w:sz w:val="21"/>
                        <w:szCs w:val="21"/>
                      </w:rPr>
                    </w:pPr>
                  </w:p>
                  <w:p w14:paraId="0FEDBAB8">
                    <w:pPr>
                      <w:pStyle w:val="21"/>
                      <w:jc w:val="center"/>
                      <w:rPr>
                        <w:rStyle w:val="38"/>
                        <w:sz w:val="21"/>
                        <w:szCs w:val="21"/>
                      </w:rPr>
                    </w:pPr>
                    <w:r>
                      <w:rPr>
                        <w:rStyle w:val="38"/>
                        <w:sz w:val="21"/>
                        <w:szCs w:val="21"/>
                      </w:rPr>
                      <w:fldChar w:fldCharType="begin"/>
                    </w:r>
                    <w:r>
                      <w:rPr>
                        <w:rStyle w:val="38"/>
                        <w:sz w:val="21"/>
                        <w:szCs w:val="21"/>
                      </w:rPr>
                      <w:instrText xml:space="preserve"> PAGE  \* MERGEFORMAT </w:instrText>
                    </w:r>
                    <w:r>
                      <w:rPr>
                        <w:rStyle w:val="38"/>
                        <w:sz w:val="21"/>
                        <w:szCs w:val="21"/>
                      </w:rPr>
                      <w:fldChar w:fldCharType="separate"/>
                    </w:r>
                    <w:r>
                      <w:rPr>
                        <w:rStyle w:val="38"/>
                        <w:sz w:val="21"/>
                        <w:szCs w:val="21"/>
                      </w:rPr>
                      <w:t>98</w:t>
                    </w:r>
                    <w:r>
                      <w:rPr>
                        <w:rStyle w:val="38"/>
                        <w:sz w:val="21"/>
                        <w:szCs w:val="21"/>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2BF5A">
    <w:pPr>
      <w:pStyle w:val="21"/>
      <w:ind w:right="360"/>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4DC113">
                          <w:pPr>
                            <w:pStyle w:val="21"/>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100</w:t>
                          </w:r>
                          <w:r>
                            <w:rPr>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214DC113">
                    <w:pPr>
                      <w:pStyle w:val="21"/>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100</w:t>
                    </w:r>
                    <w:r>
                      <w:rPr>
                        <w:sz w:val="21"/>
                        <w:szCs w:val="21"/>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DBA5D6"/>
    <w:multiLevelType w:val="singleLevel"/>
    <w:tmpl w:val="B1DBA5D6"/>
    <w:lvl w:ilvl="0" w:tentative="0">
      <w:start w:val="4"/>
      <w:numFmt w:val="chineseCounting"/>
      <w:suff w:val="nothing"/>
      <w:lvlText w:val="%1、"/>
      <w:lvlJc w:val="left"/>
      <w:rPr>
        <w:rFonts w:hint="eastAsia"/>
      </w:rPr>
    </w:lvl>
  </w:abstractNum>
  <w:abstractNum w:abstractNumId="1">
    <w:nsid w:val="D9AB4544"/>
    <w:multiLevelType w:val="singleLevel"/>
    <w:tmpl w:val="D9AB4544"/>
    <w:lvl w:ilvl="0" w:tentative="0">
      <w:start w:val="4"/>
      <w:numFmt w:val="chineseCounting"/>
      <w:suff w:val="nothing"/>
      <w:lvlText w:val="%1、"/>
      <w:lvlJc w:val="left"/>
      <w:rPr>
        <w:rFonts w:hint="eastAsia"/>
      </w:rPr>
    </w:lvl>
  </w:abstractNum>
  <w:abstractNum w:abstractNumId="2">
    <w:nsid w:val="2192EF85"/>
    <w:multiLevelType w:val="singleLevel"/>
    <w:tmpl w:val="2192EF85"/>
    <w:lvl w:ilvl="0" w:tentative="0">
      <w:start w:val="1"/>
      <w:numFmt w:val="chineseCounting"/>
      <w:suff w:val="nothing"/>
      <w:lvlText w:val="%1、"/>
      <w:lvlJc w:val="left"/>
      <w:rPr>
        <w:rFonts w:hint="eastAsia"/>
      </w:rPr>
    </w:lvl>
  </w:abstractNum>
  <w:abstractNum w:abstractNumId="3">
    <w:nsid w:val="23CF0688"/>
    <w:multiLevelType w:val="multilevel"/>
    <w:tmpl w:val="23CF0688"/>
    <w:lvl w:ilvl="0" w:tentative="0">
      <w:start w:val="1"/>
      <w:numFmt w:val="decimal"/>
      <w:pStyle w:val="50"/>
      <w:lvlText w:val="图2-%1"/>
      <w:lvlJc w:val="center"/>
      <w:pPr>
        <w:ind w:left="840" w:hanging="420"/>
      </w:pPr>
      <w:rPr>
        <w:rFonts w:hint="default" w:ascii="Times New Roman" w:hAnsi="Times New Roman" w:eastAsia="宋体"/>
        <w:b/>
        <w:i w:val="0"/>
        <w:sz w:val="21"/>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CC2399C"/>
    <w:multiLevelType w:val="singleLevel"/>
    <w:tmpl w:val="3CC2399C"/>
    <w:lvl w:ilvl="0" w:tentative="0">
      <w:start w:val="1"/>
      <w:numFmt w:val="decimal"/>
      <w:pStyle w:val="26"/>
      <w:lvlText w:val="%1."/>
      <w:lvlJc w:val="left"/>
      <w:pPr>
        <w:tabs>
          <w:tab w:val="left" w:pos="2040"/>
        </w:tabs>
        <w:ind w:left="2040" w:hanging="360"/>
      </w:pPr>
    </w:lvl>
  </w:abstractNum>
  <w:abstractNum w:abstractNumId="5">
    <w:nsid w:val="5ECD326D"/>
    <w:multiLevelType w:val="multilevel"/>
    <w:tmpl w:val="5ECD326D"/>
    <w:lvl w:ilvl="0" w:tentative="0">
      <w:start w:val="1"/>
      <w:numFmt w:val="decimal"/>
      <w:suff w:val="nothing"/>
      <w:lvlText w:val="第%1章 "/>
      <w:lvlJc w:val="left"/>
      <w:pPr>
        <w:ind w:left="0" w:firstLine="0"/>
      </w:pPr>
      <w:rPr>
        <w:rFonts w:hint="eastAsia" w:eastAsia="宋体"/>
      </w:rPr>
    </w:lvl>
    <w:lvl w:ilvl="1" w:tentative="0">
      <w:start w:val="1"/>
      <w:numFmt w:val="decimal"/>
      <w:suff w:val="nothing"/>
      <w:lvlText w:val="%1.%2"/>
      <w:lvlJc w:val="left"/>
      <w:pPr>
        <w:ind w:left="0" w:firstLine="0"/>
      </w:pPr>
      <w:rPr>
        <w:rFonts w:hint="eastAsia"/>
      </w:rPr>
    </w:lvl>
    <w:lvl w:ilvl="2" w:tentative="0">
      <w:start w:val="1"/>
      <w:numFmt w:val="decimal"/>
      <w:pStyle w:val="67"/>
      <w:suff w:val="nothing"/>
      <w:lvlText w:val="%1.%2.%3"/>
      <w:lvlJc w:val="left"/>
      <w:pPr>
        <w:ind w:left="0" w:firstLine="0"/>
      </w:pPr>
      <w:rPr>
        <w:rFonts w:hint="eastAsia"/>
      </w:rPr>
    </w:lvl>
    <w:lvl w:ilvl="3" w:tentative="0">
      <w:start w:val="1"/>
      <w:numFmt w:val="decimal"/>
      <w:suff w:val="nothing"/>
      <w:lvlText w:val="%1.%2.%3.%4"/>
      <w:lvlJc w:val="left"/>
      <w:pPr>
        <w:ind w:left="0" w:firstLine="0"/>
      </w:pPr>
      <w:rPr>
        <w:rFonts w:hint="eastAsia"/>
      </w:rPr>
    </w:lvl>
    <w:lvl w:ilvl="4" w:tentative="0">
      <w:start w:val="1"/>
      <w:numFmt w:val="decimal"/>
      <w:suff w:val="nothing"/>
      <w:lvlText w:val="%1.%2.%3.%4.%5"/>
      <w:lvlJc w:val="left"/>
      <w:pPr>
        <w:ind w:left="2411" w:hanging="850"/>
      </w:pPr>
      <w:rPr>
        <w:rFonts w:hint="eastAsia"/>
      </w:rPr>
    </w:lvl>
    <w:lvl w:ilvl="5" w:tentative="0">
      <w:start w:val="1"/>
      <w:numFmt w:val="decimal"/>
      <w:lvlText w:val="%1.%2.%3.%4.%5.%6"/>
      <w:lvlJc w:val="left"/>
      <w:pPr>
        <w:ind w:left="3120" w:hanging="1134"/>
      </w:pPr>
      <w:rPr>
        <w:rFonts w:hint="eastAsia"/>
      </w:rPr>
    </w:lvl>
    <w:lvl w:ilvl="6" w:tentative="0">
      <w:start w:val="1"/>
      <w:numFmt w:val="decimal"/>
      <w:lvlText w:val="%1.%2.%3.%4.%5.%6.%7"/>
      <w:lvlJc w:val="left"/>
      <w:pPr>
        <w:ind w:left="3687" w:hanging="1276"/>
      </w:pPr>
      <w:rPr>
        <w:rFonts w:hint="eastAsia"/>
      </w:rPr>
    </w:lvl>
    <w:lvl w:ilvl="7" w:tentative="0">
      <w:start w:val="1"/>
      <w:numFmt w:val="decimal"/>
      <w:lvlRestart w:val="2"/>
      <w:suff w:val="nothing"/>
      <w:lvlText w:val="图%1.%2-%8  "/>
      <w:lvlJc w:val="left"/>
      <w:pPr>
        <w:ind w:left="5529" w:firstLine="0"/>
      </w:pPr>
      <w:rPr>
        <w:rFonts w:hint="eastAsia"/>
      </w:rPr>
    </w:lvl>
    <w:lvl w:ilvl="8" w:tentative="0">
      <w:start w:val="1"/>
      <w:numFmt w:val="decimal"/>
      <w:lvlRestart w:val="2"/>
      <w:pStyle w:val="68"/>
      <w:suff w:val="nothing"/>
      <w:lvlText w:val="表%1.%2-%9  "/>
      <w:lvlJc w:val="left"/>
      <w:pPr>
        <w:ind w:left="9861" w:firstLine="0"/>
      </w:pPr>
      <w:rPr>
        <w:rFonts w:hint="eastAsia" w:ascii="Times New Roman" w:hAnsi="Times New Roman" w:cs="Times New Roman"/>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abstractNum>
  <w:abstractNum w:abstractNumId="6">
    <w:nsid w:val="78325C7A"/>
    <w:multiLevelType w:val="singleLevel"/>
    <w:tmpl w:val="78325C7A"/>
    <w:lvl w:ilvl="0" w:tentative="0">
      <w:start w:val="1"/>
      <w:numFmt w:val="bullet"/>
      <w:pStyle w:val="18"/>
      <w:lvlText w:val=""/>
      <w:lvlJc w:val="left"/>
      <w:pPr>
        <w:tabs>
          <w:tab w:val="left" w:pos="2040"/>
        </w:tabs>
        <w:ind w:left="2040" w:hanging="360"/>
      </w:pPr>
      <w:rPr>
        <w:rFonts w:hint="default" w:ascii="Wingdings" w:hAnsi="Wingdings"/>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yZjFhYjRjMDYzMGUwZGNhODY4ZWFmNjhiMDJiNTQifQ=="/>
  </w:docVars>
  <w:rsids>
    <w:rsidRoot w:val="00172A27"/>
    <w:rsid w:val="00011B69"/>
    <w:rsid w:val="0002069F"/>
    <w:rsid w:val="0013132B"/>
    <w:rsid w:val="00172A27"/>
    <w:rsid w:val="0017321E"/>
    <w:rsid w:val="00181018"/>
    <w:rsid w:val="001C69C8"/>
    <w:rsid w:val="00273833"/>
    <w:rsid w:val="002B1899"/>
    <w:rsid w:val="00365DF4"/>
    <w:rsid w:val="003809B8"/>
    <w:rsid w:val="0049325B"/>
    <w:rsid w:val="005520BF"/>
    <w:rsid w:val="00553C31"/>
    <w:rsid w:val="00681AF8"/>
    <w:rsid w:val="006B7E02"/>
    <w:rsid w:val="006C22F4"/>
    <w:rsid w:val="00776DCC"/>
    <w:rsid w:val="00782FEA"/>
    <w:rsid w:val="007D5737"/>
    <w:rsid w:val="007E4DEC"/>
    <w:rsid w:val="00820ED9"/>
    <w:rsid w:val="008F26F2"/>
    <w:rsid w:val="009236B2"/>
    <w:rsid w:val="009750E0"/>
    <w:rsid w:val="00A125BE"/>
    <w:rsid w:val="00A703FD"/>
    <w:rsid w:val="00AB2378"/>
    <w:rsid w:val="00B1145B"/>
    <w:rsid w:val="00B12B5B"/>
    <w:rsid w:val="00B33F92"/>
    <w:rsid w:val="00B41ADE"/>
    <w:rsid w:val="00CB2159"/>
    <w:rsid w:val="00CC30F1"/>
    <w:rsid w:val="00CC7622"/>
    <w:rsid w:val="00CE691B"/>
    <w:rsid w:val="00D852E8"/>
    <w:rsid w:val="00D87D16"/>
    <w:rsid w:val="00DB46E8"/>
    <w:rsid w:val="00E51078"/>
    <w:rsid w:val="00EE1628"/>
    <w:rsid w:val="00EE3EA5"/>
    <w:rsid w:val="00EF493A"/>
    <w:rsid w:val="00F03C14"/>
    <w:rsid w:val="00F51262"/>
    <w:rsid w:val="00F6786D"/>
    <w:rsid w:val="00FA05C4"/>
    <w:rsid w:val="01612D53"/>
    <w:rsid w:val="018F339C"/>
    <w:rsid w:val="01916C5A"/>
    <w:rsid w:val="019714F9"/>
    <w:rsid w:val="0232605F"/>
    <w:rsid w:val="02497414"/>
    <w:rsid w:val="03D270B5"/>
    <w:rsid w:val="03F01BD1"/>
    <w:rsid w:val="04220FF0"/>
    <w:rsid w:val="046928B8"/>
    <w:rsid w:val="04A24CDA"/>
    <w:rsid w:val="050801FB"/>
    <w:rsid w:val="056441D3"/>
    <w:rsid w:val="05C73211"/>
    <w:rsid w:val="06071E22"/>
    <w:rsid w:val="06622973"/>
    <w:rsid w:val="069F7723"/>
    <w:rsid w:val="06D80E87"/>
    <w:rsid w:val="071175D7"/>
    <w:rsid w:val="075A2235"/>
    <w:rsid w:val="07696E09"/>
    <w:rsid w:val="07C136C9"/>
    <w:rsid w:val="085C12C0"/>
    <w:rsid w:val="0874698D"/>
    <w:rsid w:val="08C821D2"/>
    <w:rsid w:val="0948167D"/>
    <w:rsid w:val="09975029"/>
    <w:rsid w:val="09D418A4"/>
    <w:rsid w:val="09E707AA"/>
    <w:rsid w:val="0A4C7BD6"/>
    <w:rsid w:val="0A5B51C8"/>
    <w:rsid w:val="0A8A2498"/>
    <w:rsid w:val="0ABD3DBD"/>
    <w:rsid w:val="0B8B3734"/>
    <w:rsid w:val="0B907F82"/>
    <w:rsid w:val="0C150BCD"/>
    <w:rsid w:val="0C210BDA"/>
    <w:rsid w:val="0C6D6CF2"/>
    <w:rsid w:val="0CBE1D9C"/>
    <w:rsid w:val="0CD65E68"/>
    <w:rsid w:val="0D013842"/>
    <w:rsid w:val="0D6F2B18"/>
    <w:rsid w:val="0DFE6F9F"/>
    <w:rsid w:val="0E2D6E30"/>
    <w:rsid w:val="0E364DDA"/>
    <w:rsid w:val="0E5A17CB"/>
    <w:rsid w:val="0E7616B1"/>
    <w:rsid w:val="0F20786F"/>
    <w:rsid w:val="101F3682"/>
    <w:rsid w:val="103B148C"/>
    <w:rsid w:val="10627F6B"/>
    <w:rsid w:val="10E943BC"/>
    <w:rsid w:val="114E0062"/>
    <w:rsid w:val="11C816A3"/>
    <w:rsid w:val="11F4328C"/>
    <w:rsid w:val="12A61E39"/>
    <w:rsid w:val="12B83BBB"/>
    <w:rsid w:val="131F749D"/>
    <w:rsid w:val="13286CF2"/>
    <w:rsid w:val="138F28CD"/>
    <w:rsid w:val="140A4E97"/>
    <w:rsid w:val="141D7ECC"/>
    <w:rsid w:val="14876B5F"/>
    <w:rsid w:val="15681628"/>
    <w:rsid w:val="15767E12"/>
    <w:rsid w:val="159B11C7"/>
    <w:rsid w:val="16133262"/>
    <w:rsid w:val="165F2A2B"/>
    <w:rsid w:val="167F499D"/>
    <w:rsid w:val="17083F69"/>
    <w:rsid w:val="17281BE8"/>
    <w:rsid w:val="173A1E04"/>
    <w:rsid w:val="18B936EF"/>
    <w:rsid w:val="198F1879"/>
    <w:rsid w:val="199F1C9D"/>
    <w:rsid w:val="19BB1632"/>
    <w:rsid w:val="1A266130"/>
    <w:rsid w:val="1A981F34"/>
    <w:rsid w:val="1B413311"/>
    <w:rsid w:val="1B5C3690"/>
    <w:rsid w:val="1BA24EA3"/>
    <w:rsid w:val="1BB029B7"/>
    <w:rsid w:val="1C051A9C"/>
    <w:rsid w:val="1C892E65"/>
    <w:rsid w:val="1CCB00B8"/>
    <w:rsid w:val="1D7E6989"/>
    <w:rsid w:val="1DBB0448"/>
    <w:rsid w:val="1DDE33D0"/>
    <w:rsid w:val="1DF24081"/>
    <w:rsid w:val="1E1D38F7"/>
    <w:rsid w:val="1E311151"/>
    <w:rsid w:val="1E422835"/>
    <w:rsid w:val="1E603A3D"/>
    <w:rsid w:val="201523AC"/>
    <w:rsid w:val="211351D5"/>
    <w:rsid w:val="213B308A"/>
    <w:rsid w:val="22146879"/>
    <w:rsid w:val="223370DB"/>
    <w:rsid w:val="2241021C"/>
    <w:rsid w:val="22843107"/>
    <w:rsid w:val="228B60E5"/>
    <w:rsid w:val="228D00CA"/>
    <w:rsid w:val="22DE4CE7"/>
    <w:rsid w:val="231F50D2"/>
    <w:rsid w:val="232A1D65"/>
    <w:rsid w:val="23BA247F"/>
    <w:rsid w:val="24D14A69"/>
    <w:rsid w:val="24E55504"/>
    <w:rsid w:val="257C1386"/>
    <w:rsid w:val="25B0480D"/>
    <w:rsid w:val="25D36F47"/>
    <w:rsid w:val="26B172D2"/>
    <w:rsid w:val="273C404C"/>
    <w:rsid w:val="278A6502"/>
    <w:rsid w:val="27AF30E6"/>
    <w:rsid w:val="27C941A8"/>
    <w:rsid w:val="27D93F02"/>
    <w:rsid w:val="28184D81"/>
    <w:rsid w:val="282B4D9D"/>
    <w:rsid w:val="286D0FD7"/>
    <w:rsid w:val="29726CB2"/>
    <w:rsid w:val="298B2F16"/>
    <w:rsid w:val="29A16A53"/>
    <w:rsid w:val="29DB6804"/>
    <w:rsid w:val="29ED0A58"/>
    <w:rsid w:val="2AE17A5A"/>
    <w:rsid w:val="2B0025D7"/>
    <w:rsid w:val="2B1157DF"/>
    <w:rsid w:val="2B1B2F6C"/>
    <w:rsid w:val="2B934E62"/>
    <w:rsid w:val="2B966A97"/>
    <w:rsid w:val="2C003511"/>
    <w:rsid w:val="2C0C0B07"/>
    <w:rsid w:val="2C384EAD"/>
    <w:rsid w:val="2C862667"/>
    <w:rsid w:val="2C8761F3"/>
    <w:rsid w:val="2C906D0E"/>
    <w:rsid w:val="2CC8341B"/>
    <w:rsid w:val="2CDC0FF0"/>
    <w:rsid w:val="2CF565D5"/>
    <w:rsid w:val="2DF95907"/>
    <w:rsid w:val="2E093550"/>
    <w:rsid w:val="2E421622"/>
    <w:rsid w:val="2E4C6E43"/>
    <w:rsid w:val="2EA96B6F"/>
    <w:rsid w:val="2ED669E2"/>
    <w:rsid w:val="2EE144CD"/>
    <w:rsid w:val="2EED6916"/>
    <w:rsid w:val="2F4F183E"/>
    <w:rsid w:val="2F5731C4"/>
    <w:rsid w:val="2F6C58A7"/>
    <w:rsid w:val="2F967065"/>
    <w:rsid w:val="2FE00852"/>
    <w:rsid w:val="2FE37C40"/>
    <w:rsid w:val="30132550"/>
    <w:rsid w:val="30313232"/>
    <w:rsid w:val="303845C1"/>
    <w:rsid w:val="30611777"/>
    <w:rsid w:val="31441F9E"/>
    <w:rsid w:val="31B23EFF"/>
    <w:rsid w:val="31E314AE"/>
    <w:rsid w:val="323921A6"/>
    <w:rsid w:val="32731CEF"/>
    <w:rsid w:val="327F4762"/>
    <w:rsid w:val="328D2378"/>
    <w:rsid w:val="330100B0"/>
    <w:rsid w:val="33142AB6"/>
    <w:rsid w:val="33177D27"/>
    <w:rsid w:val="33235DE8"/>
    <w:rsid w:val="333B4A62"/>
    <w:rsid w:val="33721B98"/>
    <w:rsid w:val="3385778E"/>
    <w:rsid w:val="3451224B"/>
    <w:rsid w:val="34BC0279"/>
    <w:rsid w:val="34C91C8B"/>
    <w:rsid w:val="356224B3"/>
    <w:rsid w:val="357907F5"/>
    <w:rsid w:val="358B580C"/>
    <w:rsid w:val="36083A69"/>
    <w:rsid w:val="361F31E0"/>
    <w:rsid w:val="365E50A7"/>
    <w:rsid w:val="367E381E"/>
    <w:rsid w:val="36C22E36"/>
    <w:rsid w:val="372C4753"/>
    <w:rsid w:val="373830F8"/>
    <w:rsid w:val="374113E6"/>
    <w:rsid w:val="374E0226"/>
    <w:rsid w:val="375D66BB"/>
    <w:rsid w:val="38CB08B0"/>
    <w:rsid w:val="398048E2"/>
    <w:rsid w:val="39D023E3"/>
    <w:rsid w:val="3A345DF9"/>
    <w:rsid w:val="3A662E9B"/>
    <w:rsid w:val="3A7151D2"/>
    <w:rsid w:val="3A917418"/>
    <w:rsid w:val="3AAD1707"/>
    <w:rsid w:val="3AB17449"/>
    <w:rsid w:val="3ACF1AFF"/>
    <w:rsid w:val="3B141786"/>
    <w:rsid w:val="3B190B4B"/>
    <w:rsid w:val="3B366E5F"/>
    <w:rsid w:val="3B7C5688"/>
    <w:rsid w:val="3B9F5BDA"/>
    <w:rsid w:val="3C2126DC"/>
    <w:rsid w:val="3C241303"/>
    <w:rsid w:val="3CAB0FC3"/>
    <w:rsid w:val="3D2551B7"/>
    <w:rsid w:val="3D7048F2"/>
    <w:rsid w:val="3D767AE0"/>
    <w:rsid w:val="3F1F5924"/>
    <w:rsid w:val="3F6B20BE"/>
    <w:rsid w:val="3F741846"/>
    <w:rsid w:val="3FB7736D"/>
    <w:rsid w:val="400A428E"/>
    <w:rsid w:val="40640ABA"/>
    <w:rsid w:val="411249BA"/>
    <w:rsid w:val="41355EA7"/>
    <w:rsid w:val="41364C96"/>
    <w:rsid w:val="41CD1A35"/>
    <w:rsid w:val="41E173C9"/>
    <w:rsid w:val="41E77BF5"/>
    <w:rsid w:val="41E96D30"/>
    <w:rsid w:val="423A0CFF"/>
    <w:rsid w:val="429D381A"/>
    <w:rsid w:val="43DE37F1"/>
    <w:rsid w:val="442B4554"/>
    <w:rsid w:val="445637EF"/>
    <w:rsid w:val="44844662"/>
    <w:rsid w:val="44AB555D"/>
    <w:rsid w:val="45300729"/>
    <w:rsid w:val="45744CD5"/>
    <w:rsid w:val="45912A74"/>
    <w:rsid w:val="45AC08E5"/>
    <w:rsid w:val="45F378C5"/>
    <w:rsid w:val="468E76DA"/>
    <w:rsid w:val="46E22723"/>
    <w:rsid w:val="478165DF"/>
    <w:rsid w:val="484335EC"/>
    <w:rsid w:val="484A0788"/>
    <w:rsid w:val="48B22D24"/>
    <w:rsid w:val="490D20B4"/>
    <w:rsid w:val="492B17BE"/>
    <w:rsid w:val="496027E9"/>
    <w:rsid w:val="497E6B20"/>
    <w:rsid w:val="49880C8F"/>
    <w:rsid w:val="49A425FB"/>
    <w:rsid w:val="49A5384E"/>
    <w:rsid w:val="49AD6EB4"/>
    <w:rsid w:val="49AD702E"/>
    <w:rsid w:val="49AF4CBD"/>
    <w:rsid w:val="49D10608"/>
    <w:rsid w:val="4A3C17BA"/>
    <w:rsid w:val="4A3E237C"/>
    <w:rsid w:val="4AB97556"/>
    <w:rsid w:val="4B687345"/>
    <w:rsid w:val="4B9009B5"/>
    <w:rsid w:val="4BCD093D"/>
    <w:rsid w:val="4BF379B8"/>
    <w:rsid w:val="4C5832AF"/>
    <w:rsid w:val="4C71136B"/>
    <w:rsid w:val="4D68206F"/>
    <w:rsid w:val="4D9E1AAF"/>
    <w:rsid w:val="4DB94F02"/>
    <w:rsid w:val="4E1B35C4"/>
    <w:rsid w:val="4E886DCF"/>
    <w:rsid w:val="4F6F3F2B"/>
    <w:rsid w:val="4F8A493D"/>
    <w:rsid w:val="4FAD09EF"/>
    <w:rsid w:val="4FB468AC"/>
    <w:rsid w:val="4FFC486B"/>
    <w:rsid w:val="504816BA"/>
    <w:rsid w:val="506D338D"/>
    <w:rsid w:val="50D343E1"/>
    <w:rsid w:val="50D62F81"/>
    <w:rsid w:val="51455EAF"/>
    <w:rsid w:val="5163474D"/>
    <w:rsid w:val="51826FC0"/>
    <w:rsid w:val="51A46F68"/>
    <w:rsid w:val="51A67184"/>
    <w:rsid w:val="51CF7F2C"/>
    <w:rsid w:val="5250138A"/>
    <w:rsid w:val="526B6621"/>
    <w:rsid w:val="52A26347"/>
    <w:rsid w:val="531225F7"/>
    <w:rsid w:val="5332253F"/>
    <w:rsid w:val="534E1355"/>
    <w:rsid w:val="53971B86"/>
    <w:rsid w:val="53B03345"/>
    <w:rsid w:val="53EF0F1D"/>
    <w:rsid w:val="546B0211"/>
    <w:rsid w:val="558875E3"/>
    <w:rsid w:val="571E67C3"/>
    <w:rsid w:val="5729657E"/>
    <w:rsid w:val="57D373B0"/>
    <w:rsid w:val="57DB3900"/>
    <w:rsid w:val="585711D8"/>
    <w:rsid w:val="587A13E7"/>
    <w:rsid w:val="58B91D2A"/>
    <w:rsid w:val="58DE05A2"/>
    <w:rsid w:val="59246BE1"/>
    <w:rsid w:val="5981782F"/>
    <w:rsid w:val="59A0308E"/>
    <w:rsid w:val="5AA43D62"/>
    <w:rsid w:val="5B3D7A90"/>
    <w:rsid w:val="5B690CDE"/>
    <w:rsid w:val="5B8147BE"/>
    <w:rsid w:val="5BE80399"/>
    <w:rsid w:val="5C057AF1"/>
    <w:rsid w:val="5C19715C"/>
    <w:rsid w:val="5C20425B"/>
    <w:rsid w:val="5C9046AA"/>
    <w:rsid w:val="5CC5085F"/>
    <w:rsid w:val="5CCA721A"/>
    <w:rsid w:val="5D3C6BEF"/>
    <w:rsid w:val="5D5C6C09"/>
    <w:rsid w:val="5D763FED"/>
    <w:rsid w:val="5DA80F61"/>
    <w:rsid w:val="5DBC024C"/>
    <w:rsid w:val="5DC03426"/>
    <w:rsid w:val="5E0A6D81"/>
    <w:rsid w:val="5E1D69B2"/>
    <w:rsid w:val="5E4C006B"/>
    <w:rsid w:val="5E8B1BDC"/>
    <w:rsid w:val="5E9640DD"/>
    <w:rsid w:val="5ECE0B57"/>
    <w:rsid w:val="5F0E4F64"/>
    <w:rsid w:val="60351C6F"/>
    <w:rsid w:val="60543874"/>
    <w:rsid w:val="60A46F85"/>
    <w:rsid w:val="60C04E5C"/>
    <w:rsid w:val="60F82E2D"/>
    <w:rsid w:val="612F1EF9"/>
    <w:rsid w:val="6148266D"/>
    <w:rsid w:val="61546EFE"/>
    <w:rsid w:val="61CA67F0"/>
    <w:rsid w:val="62127F1E"/>
    <w:rsid w:val="62BE5EFE"/>
    <w:rsid w:val="63754B89"/>
    <w:rsid w:val="637801DC"/>
    <w:rsid w:val="63B55AA6"/>
    <w:rsid w:val="63B85814"/>
    <w:rsid w:val="63F028A6"/>
    <w:rsid w:val="640D3093"/>
    <w:rsid w:val="64152099"/>
    <w:rsid w:val="64BC5481"/>
    <w:rsid w:val="64FD70B3"/>
    <w:rsid w:val="65030DDA"/>
    <w:rsid w:val="657C14A9"/>
    <w:rsid w:val="65EE0245"/>
    <w:rsid w:val="66F145A6"/>
    <w:rsid w:val="671A64A8"/>
    <w:rsid w:val="677851C4"/>
    <w:rsid w:val="67A129EE"/>
    <w:rsid w:val="67AA7607"/>
    <w:rsid w:val="67D068B1"/>
    <w:rsid w:val="67E04B62"/>
    <w:rsid w:val="68C366AD"/>
    <w:rsid w:val="69060E7E"/>
    <w:rsid w:val="691915D1"/>
    <w:rsid w:val="69232595"/>
    <w:rsid w:val="696F20FA"/>
    <w:rsid w:val="6A382679"/>
    <w:rsid w:val="6A6B03D8"/>
    <w:rsid w:val="6AD2037A"/>
    <w:rsid w:val="6BB64010"/>
    <w:rsid w:val="6BE74475"/>
    <w:rsid w:val="6CA87DFD"/>
    <w:rsid w:val="6D321474"/>
    <w:rsid w:val="6DB20E5D"/>
    <w:rsid w:val="6DB420EA"/>
    <w:rsid w:val="6DF109E4"/>
    <w:rsid w:val="6E093D7C"/>
    <w:rsid w:val="6E3E6E07"/>
    <w:rsid w:val="6EA02F0F"/>
    <w:rsid w:val="6EF94D37"/>
    <w:rsid w:val="6F1352D6"/>
    <w:rsid w:val="6F156EF1"/>
    <w:rsid w:val="6F1E7DFE"/>
    <w:rsid w:val="6F2A129E"/>
    <w:rsid w:val="6F5645EB"/>
    <w:rsid w:val="6F80296B"/>
    <w:rsid w:val="6F9E33E2"/>
    <w:rsid w:val="6FEE2D95"/>
    <w:rsid w:val="70095D9A"/>
    <w:rsid w:val="701019C5"/>
    <w:rsid w:val="702C37D4"/>
    <w:rsid w:val="71233EF6"/>
    <w:rsid w:val="71B74FC2"/>
    <w:rsid w:val="71ED1FFD"/>
    <w:rsid w:val="72243677"/>
    <w:rsid w:val="7252035B"/>
    <w:rsid w:val="72867D71"/>
    <w:rsid w:val="730247A7"/>
    <w:rsid w:val="732142EA"/>
    <w:rsid w:val="73DA6E72"/>
    <w:rsid w:val="74C7101E"/>
    <w:rsid w:val="74EF53D3"/>
    <w:rsid w:val="75010800"/>
    <w:rsid w:val="75273889"/>
    <w:rsid w:val="759324FB"/>
    <w:rsid w:val="76317141"/>
    <w:rsid w:val="765B6DE4"/>
    <w:rsid w:val="770D3503"/>
    <w:rsid w:val="772C5186"/>
    <w:rsid w:val="777746A1"/>
    <w:rsid w:val="77B95F7C"/>
    <w:rsid w:val="77C47AB5"/>
    <w:rsid w:val="7808767C"/>
    <w:rsid w:val="78452D0A"/>
    <w:rsid w:val="787909D6"/>
    <w:rsid w:val="78CB6DD9"/>
    <w:rsid w:val="79C2135E"/>
    <w:rsid w:val="7A5F1B4D"/>
    <w:rsid w:val="7B504EC9"/>
    <w:rsid w:val="7B8607E8"/>
    <w:rsid w:val="7C1C7EBF"/>
    <w:rsid w:val="7C4D24B3"/>
    <w:rsid w:val="7C565CEB"/>
    <w:rsid w:val="7D14714A"/>
    <w:rsid w:val="7D5818BF"/>
    <w:rsid w:val="7D5938A1"/>
    <w:rsid w:val="7DB76BCE"/>
    <w:rsid w:val="7E03250E"/>
    <w:rsid w:val="7E1E68F5"/>
    <w:rsid w:val="7E44154C"/>
    <w:rsid w:val="7E840B27"/>
    <w:rsid w:val="7ED80769"/>
    <w:rsid w:val="7F17114C"/>
    <w:rsid w:val="7F37445D"/>
    <w:rsid w:val="7FEF4E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5">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6">
    <w:name w:val="heading 3"/>
    <w:basedOn w:val="1"/>
    <w:next w:val="1"/>
    <w:qFormat/>
    <w:uiPriority w:val="9"/>
    <w:pPr>
      <w:keepNext/>
      <w:keepLines/>
      <w:jc w:val="left"/>
      <w:outlineLvl w:val="2"/>
    </w:pPr>
    <w:rPr>
      <w:b/>
      <w:sz w:val="28"/>
    </w:rPr>
  </w:style>
  <w:style w:type="paragraph" w:styleId="7">
    <w:name w:val="heading 4"/>
    <w:basedOn w:val="1"/>
    <w:next w:val="1"/>
    <w:unhideWhenUsed/>
    <w:qFormat/>
    <w:uiPriority w:val="0"/>
    <w:pPr>
      <w:keepNext/>
      <w:keepLines/>
      <w:spacing w:before="280" w:after="290" w:line="376" w:lineRule="auto"/>
      <w:outlineLvl w:val="3"/>
    </w:pPr>
    <w:rPr>
      <w:rFonts w:ascii="Calibri Light" w:hAnsi="Calibri Light"/>
      <w:b/>
      <w:bCs/>
      <w:sz w:val="28"/>
      <w:szCs w:val="28"/>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widowControl/>
      <w:snapToGrid w:val="0"/>
      <w:spacing w:before="60" w:after="160" w:line="259" w:lineRule="auto"/>
      <w:ind w:right="113"/>
    </w:pPr>
    <w:rPr>
      <w:kern w:val="0"/>
      <w:sz w:val="18"/>
      <w:szCs w:val="18"/>
    </w:rPr>
  </w:style>
  <w:style w:type="paragraph" w:styleId="3">
    <w:name w:val="Body Text First Indent"/>
    <w:basedOn w:val="2"/>
    <w:qFormat/>
    <w:uiPriority w:val="0"/>
    <w:pPr>
      <w:ind w:firstLine="723" w:firstLineChars="200"/>
    </w:pPr>
    <w:rPr>
      <w:rFonts w:eastAsia="仿宋_GB2312"/>
    </w:rPr>
  </w:style>
  <w:style w:type="paragraph" w:styleId="8">
    <w:name w:val="Normal Indent"/>
    <w:basedOn w:val="1"/>
    <w:qFormat/>
    <w:uiPriority w:val="0"/>
    <w:pPr>
      <w:ind w:firstLine="420"/>
    </w:pPr>
    <w:rPr>
      <w:szCs w:val="21"/>
    </w:rPr>
  </w:style>
  <w:style w:type="paragraph" w:styleId="9">
    <w:name w:val="caption"/>
    <w:basedOn w:val="10"/>
    <w:next w:val="1"/>
    <w:unhideWhenUsed/>
    <w:qFormat/>
    <w:uiPriority w:val="35"/>
    <w:pPr>
      <w:jc w:val="center"/>
    </w:pPr>
    <w:rPr>
      <w:rFonts w:cstheme="majorBidi"/>
      <w:b/>
      <w:szCs w:val="20"/>
    </w:rPr>
  </w:style>
  <w:style w:type="paragraph" w:customStyle="1" w:styleId="10">
    <w:name w:val="表格内容"/>
    <w:basedOn w:val="11"/>
    <w:next w:val="1"/>
    <w:qFormat/>
    <w:uiPriority w:val="0"/>
    <w:pPr>
      <w:spacing w:line="240" w:lineRule="auto"/>
      <w:ind w:firstLine="0" w:firstLineChars="0"/>
    </w:pPr>
    <w:rPr>
      <w:rFonts w:ascii="Times New Roman" w:hAnsi="Times New Roman" w:eastAsia="宋体"/>
      <w:b w:val="0"/>
      <w:color w:val="000000"/>
      <w:sz w:val="21"/>
      <w:szCs w:val="21"/>
    </w:rPr>
  </w:style>
  <w:style w:type="paragraph" w:customStyle="1" w:styleId="11">
    <w:name w:val="表格粗"/>
    <w:basedOn w:val="1"/>
    <w:qFormat/>
    <w:uiPriority w:val="0"/>
    <w:pPr>
      <w:adjustRightInd w:val="0"/>
      <w:snapToGrid w:val="0"/>
      <w:spacing w:line="240" w:lineRule="auto"/>
      <w:ind w:firstLine="0" w:firstLineChars="0"/>
      <w:jc w:val="center"/>
    </w:pPr>
    <w:rPr>
      <w:rFonts w:ascii="Times New Roman" w:hAnsi="Times New Roman" w:eastAsia="宋体"/>
      <w:b/>
      <w:bCs/>
      <w:kern w:val="0"/>
      <w:sz w:val="21"/>
      <w:szCs w:val="28"/>
    </w:rPr>
  </w:style>
  <w:style w:type="paragraph" w:styleId="12">
    <w:name w:val="toa heading"/>
    <w:basedOn w:val="1"/>
    <w:next w:val="1"/>
    <w:unhideWhenUsed/>
    <w:qFormat/>
    <w:uiPriority w:val="99"/>
    <w:pPr>
      <w:spacing w:before="120"/>
    </w:pPr>
    <w:rPr>
      <w:rFonts w:ascii="Arial" w:hAnsi="Arial" w:cs="Arial"/>
      <w:sz w:val="24"/>
      <w:szCs w:val="20"/>
    </w:rPr>
  </w:style>
  <w:style w:type="paragraph" w:styleId="13">
    <w:name w:val="annotation text"/>
    <w:basedOn w:val="1"/>
    <w:link w:val="96"/>
    <w:semiHidden/>
    <w:qFormat/>
    <w:uiPriority w:val="0"/>
    <w:pPr>
      <w:jc w:val="left"/>
    </w:pPr>
    <w:rPr>
      <w:kern w:val="0"/>
      <w:sz w:val="20"/>
    </w:rPr>
  </w:style>
  <w:style w:type="paragraph" w:styleId="14">
    <w:name w:val="Salutation"/>
    <w:basedOn w:val="1"/>
    <w:next w:val="1"/>
    <w:qFormat/>
    <w:uiPriority w:val="0"/>
  </w:style>
  <w:style w:type="paragraph" w:styleId="15">
    <w:name w:val="Body Text Indent"/>
    <w:basedOn w:val="1"/>
    <w:next w:val="1"/>
    <w:qFormat/>
    <w:uiPriority w:val="0"/>
    <w:pPr>
      <w:adjustRightInd w:val="0"/>
      <w:spacing w:line="300" w:lineRule="auto"/>
      <w:ind w:firstLine="600"/>
      <w:textAlignment w:val="baseline"/>
    </w:pPr>
    <w:rPr>
      <w:kern w:val="32"/>
      <w:sz w:val="28"/>
      <w:szCs w:val="20"/>
    </w:rPr>
  </w:style>
  <w:style w:type="paragraph" w:styleId="16">
    <w:name w:val="Block Text"/>
    <w:basedOn w:val="1"/>
    <w:qFormat/>
    <w:uiPriority w:val="0"/>
    <w:pPr>
      <w:adjustRightInd w:val="0"/>
      <w:snapToGrid w:val="0"/>
      <w:spacing w:line="440" w:lineRule="exact"/>
      <w:ind w:left="140" w:right="118" w:firstLine="560"/>
    </w:pPr>
    <w:rPr>
      <w:rFonts w:ascii="宋体"/>
      <w:color w:val="0000FF"/>
      <w:sz w:val="27"/>
      <w:szCs w:val="27"/>
    </w:rPr>
  </w:style>
  <w:style w:type="paragraph" w:styleId="17">
    <w:name w:val="Plain Text"/>
    <w:basedOn w:val="1"/>
    <w:next w:val="1"/>
    <w:semiHidden/>
    <w:qFormat/>
    <w:uiPriority w:val="0"/>
    <w:rPr>
      <w:rFonts w:ascii="宋体" w:hAnsi="Courier New" w:cs="Courier New"/>
      <w:szCs w:val="21"/>
    </w:rPr>
  </w:style>
  <w:style w:type="paragraph" w:styleId="18">
    <w:name w:val="List Bullet 5"/>
    <w:basedOn w:val="1"/>
    <w:qFormat/>
    <w:uiPriority w:val="0"/>
    <w:pPr>
      <w:numPr>
        <w:ilvl w:val="0"/>
        <w:numId w:val="1"/>
      </w:numPr>
    </w:pPr>
  </w:style>
  <w:style w:type="paragraph" w:styleId="19">
    <w:name w:val="Body Text Indent 2"/>
    <w:basedOn w:val="1"/>
    <w:unhideWhenUsed/>
    <w:qFormat/>
    <w:uiPriority w:val="99"/>
    <w:pPr>
      <w:spacing w:line="480" w:lineRule="exact"/>
      <w:ind w:firstLine="560" w:firstLineChars="200"/>
    </w:pPr>
    <w:rPr>
      <w:sz w:val="28"/>
    </w:rPr>
  </w:style>
  <w:style w:type="paragraph" w:styleId="20">
    <w:name w:val="Balloon Text"/>
    <w:basedOn w:val="1"/>
    <w:link w:val="98"/>
    <w:qFormat/>
    <w:uiPriority w:val="0"/>
    <w:rPr>
      <w:sz w:val="18"/>
      <w:szCs w:val="18"/>
    </w:rPr>
  </w:style>
  <w:style w:type="paragraph" w:styleId="21">
    <w:name w:val="footer"/>
    <w:basedOn w:val="1"/>
    <w:qFormat/>
    <w:uiPriority w:val="0"/>
    <w:pPr>
      <w:tabs>
        <w:tab w:val="center" w:pos="4153"/>
        <w:tab w:val="right" w:pos="8306"/>
      </w:tabs>
      <w:snapToGrid w:val="0"/>
      <w:jc w:val="left"/>
    </w:pPr>
    <w:rPr>
      <w:sz w:val="18"/>
      <w:szCs w:val="18"/>
    </w:rPr>
  </w:style>
  <w:style w:type="paragraph" w:styleId="22">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3">
    <w:name w:val="toc 1"/>
    <w:basedOn w:val="1"/>
    <w:next w:val="1"/>
    <w:qFormat/>
    <w:uiPriority w:val="39"/>
    <w:rPr>
      <w:sz w:val="24"/>
    </w:rPr>
  </w:style>
  <w:style w:type="paragraph" w:styleId="24">
    <w:name w:val="index heading"/>
    <w:basedOn w:val="1"/>
    <w:next w:val="25"/>
    <w:semiHidden/>
    <w:qFormat/>
    <w:uiPriority w:val="0"/>
    <w:rPr>
      <w:rFonts w:ascii="Arial" w:hAnsi="Arial" w:cs="Arial"/>
      <w:b/>
      <w:bCs/>
    </w:rPr>
  </w:style>
  <w:style w:type="paragraph" w:styleId="25">
    <w:name w:val="index 1"/>
    <w:basedOn w:val="1"/>
    <w:next w:val="1"/>
    <w:qFormat/>
    <w:uiPriority w:val="0"/>
    <w:pPr>
      <w:tabs>
        <w:tab w:val="left" w:pos="5580"/>
      </w:tabs>
      <w:spacing w:line="280" w:lineRule="exact"/>
    </w:pPr>
    <w:rPr>
      <w:rFonts w:ascii="宋体" w:hAnsi="宋体"/>
      <w:spacing w:val="10"/>
    </w:rPr>
  </w:style>
  <w:style w:type="paragraph" w:styleId="26">
    <w:name w:val="List Number 5"/>
    <w:basedOn w:val="1"/>
    <w:qFormat/>
    <w:uiPriority w:val="0"/>
    <w:pPr>
      <w:numPr>
        <w:ilvl w:val="0"/>
        <w:numId w:val="2"/>
      </w:numPr>
    </w:pPr>
  </w:style>
  <w:style w:type="paragraph" w:styleId="27">
    <w:name w:val="List"/>
    <w:basedOn w:val="1"/>
    <w:qFormat/>
    <w:uiPriority w:val="0"/>
    <w:pPr>
      <w:ind w:left="200" w:hanging="200" w:hangingChars="200"/>
    </w:pPr>
    <w:rPr>
      <w:szCs w:val="20"/>
    </w:rPr>
  </w:style>
  <w:style w:type="paragraph" w:styleId="28">
    <w:name w:val="Body Text Indent 3"/>
    <w:basedOn w:val="1"/>
    <w:qFormat/>
    <w:uiPriority w:val="0"/>
    <w:pPr>
      <w:spacing w:after="120"/>
      <w:ind w:left="420" w:leftChars="200"/>
    </w:pPr>
    <w:rPr>
      <w:sz w:val="16"/>
      <w:szCs w:val="16"/>
    </w:rPr>
  </w:style>
  <w:style w:type="paragraph" w:styleId="29">
    <w:name w:val="toc 2"/>
    <w:basedOn w:val="1"/>
    <w:next w:val="1"/>
    <w:qFormat/>
    <w:uiPriority w:val="39"/>
    <w:pPr>
      <w:ind w:left="420" w:leftChars="200"/>
    </w:pPr>
  </w:style>
  <w:style w:type="paragraph" w:styleId="30">
    <w:name w:val="Normal (Web)"/>
    <w:basedOn w:val="1"/>
    <w:qFormat/>
    <w:uiPriority w:val="99"/>
    <w:pPr>
      <w:widowControl/>
      <w:spacing w:before="100" w:beforeAutospacing="1" w:after="100" w:afterAutospacing="1"/>
      <w:jc w:val="left"/>
    </w:pPr>
    <w:rPr>
      <w:rFonts w:ascii="宋体" w:hAnsi="宋体"/>
      <w:kern w:val="0"/>
      <w:sz w:val="24"/>
    </w:rPr>
  </w:style>
  <w:style w:type="paragraph" w:styleId="31">
    <w:name w:val="Title"/>
    <w:basedOn w:val="1"/>
    <w:next w:val="1"/>
    <w:qFormat/>
    <w:uiPriority w:val="10"/>
    <w:pPr>
      <w:jc w:val="center"/>
    </w:pPr>
    <w:rPr>
      <w:b/>
      <w:bCs/>
    </w:rPr>
  </w:style>
  <w:style w:type="paragraph" w:styleId="32">
    <w:name w:val="annotation subject"/>
    <w:basedOn w:val="13"/>
    <w:next w:val="13"/>
    <w:link w:val="97"/>
    <w:qFormat/>
    <w:uiPriority w:val="0"/>
    <w:rPr>
      <w:b/>
      <w:bCs/>
      <w:kern w:val="2"/>
      <w:sz w:val="21"/>
    </w:rPr>
  </w:style>
  <w:style w:type="paragraph" w:styleId="33">
    <w:name w:val="Body Text First Indent 2"/>
    <w:basedOn w:val="15"/>
    <w:next w:val="17"/>
    <w:unhideWhenUsed/>
    <w:qFormat/>
    <w:uiPriority w:val="0"/>
    <w:pPr>
      <w:ind w:firstLine="420" w:firstLineChars="200"/>
    </w:pPr>
  </w:style>
  <w:style w:type="table" w:styleId="35">
    <w:name w:val="Table Grid"/>
    <w:basedOn w:val="3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qFormat/>
    <w:uiPriority w:val="0"/>
    <w:rPr>
      <w:b/>
    </w:rPr>
  </w:style>
  <w:style w:type="character" w:styleId="38">
    <w:name w:val="page number"/>
    <w:basedOn w:val="36"/>
    <w:qFormat/>
    <w:uiPriority w:val="0"/>
  </w:style>
  <w:style w:type="character" w:styleId="39">
    <w:name w:val="FollowedHyperlink"/>
    <w:basedOn w:val="36"/>
    <w:qFormat/>
    <w:uiPriority w:val="0"/>
    <w:rPr>
      <w:color w:val="595758"/>
      <w:u w:val="none"/>
    </w:rPr>
  </w:style>
  <w:style w:type="character" w:styleId="40">
    <w:name w:val="Emphasis"/>
    <w:basedOn w:val="36"/>
    <w:qFormat/>
    <w:uiPriority w:val="0"/>
    <w:rPr>
      <w:i/>
    </w:rPr>
  </w:style>
  <w:style w:type="character" w:styleId="41">
    <w:name w:val="Hyperlink"/>
    <w:qFormat/>
    <w:uiPriority w:val="99"/>
    <w:rPr>
      <w:color w:val="0000FF"/>
      <w:u w:val="none"/>
    </w:rPr>
  </w:style>
  <w:style w:type="character" w:styleId="42">
    <w:name w:val="annotation reference"/>
    <w:unhideWhenUsed/>
    <w:qFormat/>
    <w:uiPriority w:val="99"/>
    <w:rPr>
      <w:sz w:val="21"/>
      <w:szCs w:val="21"/>
    </w:rPr>
  </w:style>
  <w:style w:type="paragraph" w:customStyle="1" w:styleId="43">
    <w:name w:val="文本"/>
    <w:basedOn w:val="44"/>
    <w:qFormat/>
    <w:uiPriority w:val="0"/>
    <w:pPr>
      <w:ind w:firstLine="200"/>
    </w:pPr>
    <w:rPr>
      <w:rFonts w:eastAsia="仿宋_GB2312"/>
      <w:color w:val="000000"/>
      <w:kern w:val="0"/>
    </w:rPr>
  </w:style>
  <w:style w:type="paragraph" w:customStyle="1" w:styleId="44">
    <w:name w:val="样式4"/>
    <w:basedOn w:val="8"/>
    <w:next w:val="1"/>
    <w:qFormat/>
    <w:uiPriority w:val="0"/>
    <w:pPr>
      <w:ind w:firstLine="480"/>
    </w:pPr>
    <w:rPr>
      <w:rFonts w:eastAsia="华文中宋"/>
      <w:szCs w:val="24"/>
    </w:rPr>
  </w:style>
  <w:style w:type="paragraph" w:customStyle="1" w:styleId="45">
    <w:name w:val="表格"/>
    <w:basedOn w:val="46"/>
    <w:next w:val="1"/>
    <w:qFormat/>
    <w:uiPriority w:val="0"/>
    <w:pPr>
      <w:adjustRightInd w:val="0"/>
      <w:snapToGrid w:val="0"/>
      <w:spacing w:beforeLines="10" w:afterLines="10" w:line="259" w:lineRule="auto"/>
      <w:jc w:val="center"/>
    </w:pPr>
    <w:rPr>
      <w:rFonts w:ascii="宋体"/>
      <w:kern w:val="0"/>
      <w:sz w:val="20"/>
      <w:szCs w:val="21"/>
    </w:rPr>
  </w:style>
  <w:style w:type="paragraph" w:customStyle="1" w:styleId="46">
    <w:name w:val="正文-缩进"/>
    <w:basedOn w:val="1"/>
    <w:qFormat/>
    <w:uiPriority w:val="0"/>
    <w:pPr>
      <w:spacing w:line="360" w:lineRule="auto"/>
      <w:ind w:firstLine="1440" w:firstLineChars="200"/>
    </w:pPr>
    <w:rPr>
      <w:sz w:val="24"/>
    </w:rPr>
  </w:style>
  <w:style w:type="paragraph" w:customStyle="1" w:styleId="47">
    <w:name w:val="WPSOffice手动目录 1"/>
    <w:qFormat/>
    <w:uiPriority w:val="0"/>
    <w:rPr>
      <w:rFonts w:ascii="Times New Roman" w:hAnsi="Times New Roman" w:eastAsia="宋体" w:cs="Times New Roman"/>
      <w:lang w:val="en-US" w:eastAsia="zh-CN" w:bidi="ar-SA"/>
    </w:rPr>
  </w:style>
  <w:style w:type="paragraph" w:customStyle="1" w:styleId="48">
    <w:name w:val="Default"/>
    <w:basedOn w:val="49"/>
    <w:next w:val="50"/>
    <w:qFormat/>
    <w:uiPriority w:val="0"/>
    <w:pPr>
      <w:widowControl w:val="0"/>
      <w:autoSpaceDE w:val="0"/>
      <w:autoSpaceDN w:val="0"/>
      <w:adjustRightInd w:val="0"/>
    </w:pPr>
    <w:rPr>
      <w:rFonts w:ascii="宋体" w:cs="宋体"/>
      <w:color w:val="000000"/>
      <w:sz w:val="24"/>
    </w:rPr>
  </w:style>
  <w:style w:type="paragraph" w:customStyle="1" w:styleId="49">
    <w:name w:val="纯文本1"/>
    <w:basedOn w:val="1"/>
    <w:qFormat/>
    <w:uiPriority w:val="99"/>
    <w:pPr>
      <w:autoSpaceDE w:val="0"/>
      <w:autoSpaceDN w:val="0"/>
      <w:textAlignment w:val="baseline"/>
    </w:pPr>
    <w:rPr>
      <w:rFonts w:ascii="宋体"/>
      <w:szCs w:val="20"/>
    </w:rPr>
  </w:style>
  <w:style w:type="paragraph" w:customStyle="1" w:styleId="50">
    <w:name w:val="样式1"/>
    <w:basedOn w:val="24"/>
    <w:next w:val="16"/>
    <w:autoRedefine/>
    <w:qFormat/>
    <w:uiPriority w:val="0"/>
    <w:pPr>
      <w:numPr>
        <w:ilvl w:val="0"/>
        <w:numId w:val="3"/>
      </w:numPr>
      <w:adjustRightInd w:val="0"/>
      <w:snapToGrid w:val="0"/>
    </w:pPr>
    <w:rPr>
      <w:bCs w:val="0"/>
      <w:color w:val="5B9BD5" w:themeColor="accent1"/>
      <w14:textFill>
        <w14:solidFill>
          <w14:schemeClr w14:val="accent1"/>
        </w14:solidFill>
      </w14:textFill>
    </w:rPr>
  </w:style>
  <w:style w:type="paragraph" w:customStyle="1" w:styleId="51">
    <w:name w:val="标题 段落4级"/>
    <w:qFormat/>
    <w:uiPriority w:val="0"/>
    <w:pPr>
      <w:spacing w:line="500" w:lineRule="exact"/>
      <w:outlineLvl w:val="3"/>
    </w:pPr>
    <w:rPr>
      <w:rFonts w:ascii="Times New Roman" w:hAnsi="Times New Roman" w:eastAsia="仿宋_GB2312" w:cs="Calibri"/>
      <w:b/>
      <w:kern w:val="2"/>
      <w:sz w:val="28"/>
      <w:szCs w:val="24"/>
      <w:lang w:val="en-US" w:eastAsia="zh-CN" w:bidi="ar-SA"/>
    </w:rPr>
  </w:style>
  <w:style w:type="paragraph" w:customStyle="1" w:styleId="52">
    <w:name w:val="报告"/>
    <w:basedOn w:val="1"/>
    <w:next w:val="1"/>
    <w:qFormat/>
    <w:uiPriority w:val="0"/>
    <w:pPr>
      <w:adjustRightInd w:val="0"/>
      <w:spacing w:line="360" w:lineRule="auto"/>
      <w:ind w:firstLine="505"/>
      <w:textAlignment w:val="center"/>
    </w:pPr>
    <w:rPr>
      <w:rFonts w:ascii="TimesNewRoman" w:hAnsi="TimesNewRoman"/>
      <w:kern w:val="0"/>
      <w:sz w:val="24"/>
    </w:rPr>
  </w:style>
  <w:style w:type="paragraph" w:customStyle="1" w:styleId="53">
    <w:name w:val="样式3"/>
    <w:basedOn w:val="1"/>
    <w:qFormat/>
    <w:uiPriority w:val="0"/>
    <w:pPr>
      <w:spacing w:line="360" w:lineRule="auto"/>
      <w:ind w:firstLine="540" w:firstLineChars="200"/>
    </w:pPr>
    <w:rPr>
      <w:sz w:val="24"/>
    </w:rPr>
  </w:style>
  <w:style w:type="paragraph" w:customStyle="1" w:styleId="54">
    <w:name w:val="1表格标题"/>
    <w:qFormat/>
    <w:uiPriority w:val="0"/>
    <w:pPr>
      <w:adjustRightInd w:val="0"/>
      <w:snapToGrid w:val="0"/>
      <w:spacing w:before="50" w:beforeLines="50"/>
      <w:jc w:val="center"/>
    </w:pPr>
    <w:rPr>
      <w:rFonts w:ascii="Times New Roman" w:hAnsi="Times New Roman" w:eastAsia="仿宋" w:cs="Times New Roman"/>
      <w:b/>
      <w:bCs/>
      <w:snapToGrid w:val="0"/>
      <w:sz w:val="21"/>
      <w:szCs w:val="21"/>
      <w:lang w:val="en-US" w:eastAsia="zh-CN" w:bidi="ar-SA"/>
    </w:rPr>
  </w:style>
  <w:style w:type="paragraph" w:customStyle="1" w:styleId="55">
    <w:name w:val="环评表头"/>
    <w:basedOn w:val="56"/>
    <w:next w:val="56"/>
    <w:qFormat/>
    <w:uiPriority w:val="0"/>
    <w:rPr>
      <w:rFonts w:hAnsi="黑体"/>
      <w:b/>
      <w:kern w:val="0"/>
    </w:rPr>
  </w:style>
  <w:style w:type="paragraph" w:customStyle="1" w:styleId="56">
    <w:name w:val="【正文】"/>
    <w:basedOn w:val="1"/>
    <w:qFormat/>
    <w:uiPriority w:val="0"/>
    <w:pPr>
      <w:spacing w:line="440" w:lineRule="exact"/>
      <w:ind w:firstLine="544" w:firstLineChars="200"/>
    </w:pPr>
    <w:rPr>
      <w:sz w:val="24"/>
      <w:szCs w:val="20"/>
    </w:rPr>
  </w:style>
  <w:style w:type="character" w:customStyle="1" w:styleId="57">
    <w:name w:val="A1"/>
    <w:qFormat/>
    <w:uiPriority w:val="99"/>
    <w:rPr>
      <w:rFonts w:cs="微软雅黑"/>
      <w:color w:val="211D1E"/>
      <w:sz w:val="16"/>
      <w:szCs w:val="16"/>
    </w:rPr>
  </w:style>
  <w:style w:type="character" w:customStyle="1" w:styleId="58">
    <w:name w:val="A8"/>
    <w:qFormat/>
    <w:uiPriority w:val="99"/>
    <w:rPr>
      <w:rFonts w:cs="微软雅黑"/>
      <w:b/>
      <w:bCs/>
      <w:color w:val="FC8D01"/>
      <w:sz w:val="20"/>
      <w:szCs w:val="20"/>
    </w:rPr>
  </w:style>
  <w:style w:type="character" w:customStyle="1" w:styleId="59">
    <w:name w:val="font11"/>
    <w:qFormat/>
    <w:uiPriority w:val="0"/>
    <w:rPr>
      <w:rFonts w:hint="eastAsia" w:ascii="楷体" w:hAnsi="楷体" w:eastAsia="楷体" w:cs="楷体"/>
      <w:color w:val="000000"/>
      <w:sz w:val="28"/>
      <w:szCs w:val="28"/>
      <w:u w:val="none"/>
    </w:rPr>
  </w:style>
  <w:style w:type="paragraph" w:customStyle="1" w:styleId="60">
    <w:name w:val="报告表正文"/>
    <w:basedOn w:val="1"/>
    <w:qFormat/>
    <w:uiPriority w:val="0"/>
    <w:pPr>
      <w:adjustRightInd w:val="0"/>
      <w:snapToGrid w:val="0"/>
      <w:spacing w:line="360" w:lineRule="auto"/>
      <w:ind w:firstLine="200" w:firstLineChars="200"/>
      <w:textAlignment w:val="baseline"/>
    </w:pPr>
    <w:rPr>
      <w:rFonts w:ascii="Calibri" w:hAnsi="Calibri"/>
      <w:sz w:val="24"/>
    </w:rPr>
  </w:style>
  <w:style w:type="paragraph" w:customStyle="1" w:styleId="61">
    <w:name w:val="使用"/>
    <w:basedOn w:val="19"/>
    <w:qFormat/>
    <w:uiPriority w:val="0"/>
    <w:pPr>
      <w:adjustRightInd w:val="0"/>
      <w:spacing w:line="520" w:lineRule="exact"/>
      <w:textAlignment w:val="center"/>
    </w:pPr>
    <w:rPr>
      <w:rFonts w:eastAsia="仿宋_GB2312"/>
      <w:snapToGrid w:val="0"/>
      <w:color w:val="000000"/>
      <w:szCs w:val="28"/>
    </w:rPr>
  </w:style>
  <w:style w:type="paragraph" w:customStyle="1" w:styleId="62">
    <w:name w:val="表头"/>
    <w:basedOn w:val="1"/>
    <w:next w:val="1"/>
    <w:qFormat/>
    <w:uiPriority w:val="0"/>
    <w:pPr>
      <w:topLinePunct/>
      <w:snapToGrid w:val="0"/>
      <w:spacing w:line="529" w:lineRule="exact"/>
      <w:jc w:val="center"/>
    </w:pPr>
    <w:rPr>
      <w:rFonts w:ascii="宋体" w:hAnsi="宋体" w:cs="宋体"/>
      <w:b/>
      <w:bCs/>
      <w:kern w:val="24"/>
      <w:sz w:val="24"/>
    </w:rPr>
  </w:style>
  <w:style w:type="paragraph" w:customStyle="1" w:styleId="63">
    <w:name w:val="正文001"/>
    <w:basedOn w:val="1"/>
    <w:qFormat/>
    <w:uiPriority w:val="0"/>
    <w:pPr>
      <w:spacing w:before="60" w:line="420" w:lineRule="atLeast"/>
      <w:ind w:firstLine="482"/>
    </w:pPr>
    <w:rPr>
      <w:sz w:val="24"/>
    </w:rPr>
  </w:style>
  <w:style w:type="paragraph" w:customStyle="1" w:styleId="64">
    <w:name w:val="无间隔1"/>
    <w:qFormat/>
    <w:uiPriority w:val="0"/>
    <w:pPr>
      <w:widowControl w:val="0"/>
      <w:contextualSpacing/>
      <w:jc w:val="center"/>
    </w:pPr>
    <w:rPr>
      <w:rFonts w:ascii="Times New Roman" w:hAnsi="Times New Roman" w:eastAsia="仿宋_GB2312" w:cs="Times New Roman"/>
      <w:szCs w:val="21"/>
      <w:lang w:val="en-US" w:eastAsia="zh-CN" w:bidi="ar-SA"/>
    </w:rPr>
  </w:style>
  <w:style w:type="paragraph" w:customStyle="1" w:styleId="65">
    <w:name w:val="表格文本"/>
    <w:basedOn w:val="1"/>
    <w:qFormat/>
    <w:uiPriority w:val="0"/>
    <w:pPr>
      <w:snapToGrid w:val="0"/>
      <w:jc w:val="center"/>
    </w:pPr>
    <w:rPr>
      <w:kern w:val="0"/>
      <w:sz w:val="18"/>
    </w:rPr>
  </w:style>
  <w:style w:type="paragraph" w:customStyle="1" w:styleId="66">
    <w:name w:val="论证文本"/>
    <w:basedOn w:val="1"/>
    <w:qFormat/>
    <w:uiPriority w:val="0"/>
    <w:pPr>
      <w:snapToGrid w:val="0"/>
      <w:spacing w:line="360" w:lineRule="auto"/>
      <w:ind w:firstLine="480"/>
    </w:pPr>
  </w:style>
  <w:style w:type="paragraph" w:customStyle="1" w:styleId="67">
    <w:name w:val="三级标题"/>
    <w:basedOn w:val="1"/>
    <w:next w:val="1"/>
    <w:qFormat/>
    <w:uiPriority w:val="0"/>
    <w:pPr>
      <w:numPr>
        <w:ilvl w:val="2"/>
        <w:numId w:val="4"/>
      </w:numPr>
      <w:outlineLvl w:val="2"/>
    </w:pPr>
    <w:rPr>
      <w:rFonts w:cs="Arial"/>
      <w:b/>
      <w:kern w:val="0"/>
      <w:sz w:val="28"/>
    </w:rPr>
  </w:style>
  <w:style w:type="paragraph" w:customStyle="1" w:styleId="68">
    <w:name w:val="表格头"/>
    <w:basedOn w:val="17"/>
    <w:next w:val="1"/>
    <w:qFormat/>
    <w:uiPriority w:val="0"/>
    <w:pPr>
      <w:widowControl/>
      <w:numPr>
        <w:ilvl w:val="8"/>
        <w:numId w:val="4"/>
      </w:numPr>
      <w:ind w:left="0"/>
      <w:jc w:val="center"/>
    </w:pPr>
    <w:rPr>
      <w:rFonts w:ascii="Times New Roman" w:hAnsi="Times New Roman" w:cs="Times New Roman"/>
      <w:b/>
      <w:kern w:val="0"/>
      <w:szCs w:val="24"/>
    </w:rPr>
  </w:style>
  <w:style w:type="paragraph" w:styleId="69">
    <w:name w:val="List Paragraph"/>
    <w:basedOn w:val="1"/>
    <w:qFormat/>
    <w:uiPriority w:val="34"/>
    <w:pPr>
      <w:widowControl/>
      <w:ind w:firstLine="420"/>
      <w:jc w:val="left"/>
    </w:pPr>
    <w:rPr>
      <w:rFonts w:ascii="宋体" w:hAnsi="宋体" w:cs="宋体"/>
      <w:kern w:val="0"/>
    </w:rPr>
  </w:style>
  <w:style w:type="paragraph" w:customStyle="1" w:styleId="70">
    <w:name w:val="Table Paragraph"/>
    <w:basedOn w:val="1"/>
    <w:qFormat/>
    <w:uiPriority w:val="1"/>
  </w:style>
  <w:style w:type="character" w:customStyle="1" w:styleId="71">
    <w:name w:val="font121"/>
    <w:basedOn w:val="36"/>
    <w:qFormat/>
    <w:uiPriority w:val="0"/>
    <w:rPr>
      <w:rFonts w:hint="eastAsia" w:ascii="宋体" w:hAnsi="宋体" w:eastAsia="宋体" w:cs="宋体"/>
      <w:color w:val="979797"/>
      <w:sz w:val="32"/>
      <w:szCs w:val="32"/>
      <w:u w:val="none"/>
    </w:rPr>
  </w:style>
  <w:style w:type="character" w:customStyle="1" w:styleId="72">
    <w:name w:val="font141"/>
    <w:basedOn w:val="36"/>
    <w:qFormat/>
    <w:uiPriority w:val="0"/>
    <w:rPr>
      <w:rFonts w:hint="eastAsia" w:ascii="宋体" w:hAnsi="宋体" w:eastAsia="宋体" w:cs="宋体"/>
      <w:color w:val="979797"/>
      <w:sz w:val="34"/>
      <w:szCs w:val="34"/>
      <w:u w:val="none"/>
    </w:rPr>
  </w:style>
  <w:style w:type="character" w:customStyle="1" w:styleId="73">
    <w:name w:val="font151"/>
    <w:basedOn w:val="36"/>
    <w:qFormat/>
    <w:uiPriority w:val="0"/>
    <w:rPr>
      <w:rFonts w:ascii="Courier New" w:hAnsi="Courier New" w:cs="Courier New"/>
      <w:color w:val="979797"/>
      <w:sz w:val="32"/>
      <w:szCs w:val="32"/>
      <w:u w:val="none"/>
    </w:rPr>
  </w:style>
  <w:style w:type="character" w:customStyle="1" w:styleId="74">
    <w:name w:val="font161"/>
    <w:basedOn w:val="36"/>
    <w:qFormat/>
    <w:uiPriority w:val="0"/>
    <w:rPr>
      <w:rFonts w:hint="default" w:ascii="Courier New" w:hAnsi="Courier New" w:cs="Courier New"/>
      <w:color w:val="979797"/>
      <w:sz w:val="50"/>
      <w:szCs w:val="50"/>
      <w:u w:val="none"/>
    </w:rPr>
  </w:style>
  <w:style w:type="character" w:customStyle="1" w:styleId="75">
    <w:name w:val="font181"/>
    <w:basedOn w:val="36"/>
    <w:qFormat/>
    <w:uiPriority w:val="0"/>
    <w:rPr>
      <w:rFonts w:hint="default" w:ascii="Courier New" w:hAnsi="Courier New" w:cs="Courier New"/>
      <w:color w:val="979797"/>
      <w:sz w:val="34"/>
      <w:szCs w:val="34"/>
      <w:u w:val="none"/>
    </w:rPr>
  </w:style>
  <w:style w:type="character" w:customStyle="1" w:styleId="76">
    <w:name w:val="font131"/>
    <w:basedOn w:val="36"/>
    <w:qFormat/>
    <w:uiPriority w:val="0"/>
    <w:rPr>
      <w:rFonts w:hint="eastAsia" w:ascii="宋体" w:hAnsi="宋体" w:eastAsia="宋体" w:cs="宋体"/>
      <w:color w:val="979797"/>
      <w:sz w:val="30"/>
      <w:szCs w:val="30"/>
      <w:u w:val="none"/>
    </w:rPr>
  </w:style>
  <w:style w:type="character" w:customStyle="1" w:styleId="77">
    <w:name w:val="font221"/>
    <w:basedOn w:val="36"/>
    <w:qFormat/>
    <w:uiPriority w:val="0"/>
    <w:rPr>
      <w:rFonts w:hint="default" w:ascii="Arial" w:hAnsi="Arial" w:cs="Arial"/>
      <w:color w:val="979797"/>
      <w:sz w:val="42"/>
      <w:szCs w:val="42"/>
      <w:u w:val="none"/>
    </w:rPr>
  </w:style>
  <w:style w:type="character" w:customStyle="1" w:styleId="78">
    <w:name w:val="font212"/>
    <w:basedOn w:val="36"/>
    <w:qFormat/>
    <w:uiPriority w:val="0"/>
    <w:rPr>
      <w:rFonts w:ascii="Arial" w:hAnsi="Arial" w:cs="Arial"/>
      <w:color w:val="979797"/>
      <w:sz w:val="32"/>
      <w:szCs w:val="32"/>
      <w:u w:val="none"/>
    </w:rPr>
  </w:style>
  <w:style w:type="character" w:customStyle="1" w:styleId="79">
    <w:name w:val="font31"/>
    <w:basedOn w:val="36"/>
    <w:qFormat/>
    <w:uiPriority w:val="0"/>
    <w:rPr>
      <w:rFonts w:hint="eastAsia" w:ascii="宋体" w:hAnsi="宋体" w:eastAsia="宋体" w:cs="宋体"/>
      <w:color w:val="979797"/>
      <w:sz w:val="42"/>
      <w:szCs w:val="42"/>
      <w:u w:val="none"/>
    </w:rPr>
  </w:style>
  <w:style w:type="character" w:customStyle="1" w:styleId="80">
    <w:name w:val="font81"/>
    <w:basedOn w:val="36"/>
    <w:qFormat/>
    <w:uiPriority w:val="0"/>
    <w:rPr>
      <w:rFonts w:hint="eastAsia" w:ascii="宋体" w:hAnsi="宋体" w:eastAsia="宋体" w:cs="宋体"/>
      <w:color w:val="979797"/>
      <w:sz w:val="44"/>
      <w:szCs w:val="44"/>
      <w:u w:val="none"/>
    </w:rPr>
  </w:style>
  <w:style w:type="character" w:customStyle="1" w:styleId="81">
    <w:name w:val="font61"/>
    <w:basedOn w:val="36"/>
    <w:qFormat/>
    <w:uiPriority w:val="0"/>
    <w:rPr>
      <w:rFonts w:hint="default" w:ascii="Times New Roman" w:hAnsi="Times New Roman" w:cs="Times New Roman"/>
      <w:color w:val="979797"/>
      <w:sz w:val="44"/>
      <w:szCs w:val="44"/>
      <w:u w:val="none"/>
    </w:rPr>
  </w:style>
  <w:style w:type="character" w:customStyle="1" w:styleId="82">
    <w:name w:val="font71"/>
    <w:basedOn w:val="36"/>
    <w:qFormat/>
    <w:uiPriority w:val="0"/>
    <w:rPr>
      <w:rFonts w:hint="default" w:ascii="Times New Roman" w:hAnsi="Times New Roman" w:cs="Times New Roman"/>
      <w:color w:val="979797"/>
      <w:sz w:val="64"/>
      <w:szCs w:val="64"/>
      <w:u w:val="none"/>
    </w:rPr>
  </w:style>
  <w:style w:type="character" w:customStyle="1" w:styleId="83">
    <w:name w:val="font91"/>
    <w:basedOn w:val="36"/>
    <w:qFormat/>
    <w:uiPriority w:val="0"/>
    <w:rPr>
      <w:rFonts w:hint="default" w:ascii="Times New Roman" w:hAnsi="Times New Roman" w:cs="Times New Roman"/>
      <w:color w:val="979797"/>
      <w:sz w:val="42"/>
      <w:szCs w:val="42"/>
      <w:u w:val="none"/>
    </w:rPr>
  </w:style>
  <w:style w:type="character" w:customStyle="1" w:styleId="84">
    <w:name w:val="font41"/>
    <w:basedOn w:val="36"/>
    <w:qFormat/>
    <w:uiPriority w:val="0"/>
    <w:rPr>
      <w:rFonts w:hint="default" w:ascii="Arial" w:hAnsi="Arial" w:cs="Arial"/>
      <w:color w:val="979797"/>
      <w:sz w:val="54"/>
      <w:szCs w:val="54"/>
      <w:u w:val="none"/>
    </w:rPr>
  </w:style>
  <w:style w:type="character" w:customStyle="1" w:styleId="85">
    <w:name w:val="font101"/>
    <w:basedOn w:val="36"/>
    <w:qFormat/>
    <w:uiPriority w:val="0"/>
    <w:rPr>
      <w:rFonts w:hint="eastAsia" w:ascii="宋体" w:hAnsi="宋体" w:eastAsia="宋体" w:cs="宋体"/>
      <w:color w:val="979797"/>
      <w:sz w:val="54"/>
      <w:szCs w:val="54"/>
      <w:u w:val="none"/>
    </w:rPr>
  </w:style>
  <w:style w:type="paragraph" w:customStyle="1" w:styleId="86">
    <w:name w:val="Normal_0_0"/>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table" w:customStyle="1" w:styleId="87">
    <w:name w:val="Table Grid_0"/>
    <w:basedOn w:val="34"/>
    <w:qFormat/>
    <w:uiPriority w:val="0"/>
    <w:rPr>
      <w:rFonts w:eastAsia="仿宋"/>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8">
    <w:name w:val="表文"/>
    <w:basedOn w:val="16"/>
    <w:qFormat/>
    <w:uiPriority w:val="0"/>
    <w:pPr>
      <w:widowControl/>
      <w:spacing w:line="240" w:lineRule="auto"/>
      <w:ind w:left="0" w:right="0" w:firstLine="0"/>
      <w:jc w:val="center"/>
    </w:pPr>
    <w:rPr>
      <w:rFonts w:hint="eastAsia"/>
      <w:sz w:val="21"/>
      <w:szCs w:val="20"/>
    </w:rPr>
  </w:style>
  <w:style w:type="character" w:customStyle="1" w:styleId="89">
    <w:name w:val="fontstyle01"/>
    <w:qFormat/>
    <w:uiPriority w:val="0"/>
    <w:rPr>
      <w:rFonts w:ascii="宋体" w:eastAsia="宋体"/>
      <w:color w:val="000000"/>
      <w:kern w:val="0"/>
      <w:sz w:val="24"/>
      <w:szCs w:val="24"/>
    </w:rPr>
  </w:style>
  <w:style w:type="character" w:customStyle="1" w:styleId="90">
    <w:name w:val="checkbox"/>
    <w:basedOn w:val="36"/>
    <w:qFormat/>
    <w:uiPriority w:val="0"/>
  </w:style>
  <w:style w:type="paragraph" w:customStyle="1" w:styleId="91">
    <w:name w:val="正文文本缩进 21"/>
    <w:basedOn w:val="1"/>
    <w:qFormat/>
    <w:uiPriority w:val="0"/>
    <w:pPr>
      <w:spacing w:after="120" w:line="480" w:lineRule="auto"/>
      <w:ind w:left="420" w:leftChars="200"/>
    </w:pPr>
    <w:rPr>
      <w:sz w:val="28"/>
      <w:szCs w:val="20"/>
    </w:rPr>
  </w:style>
  <w:style w:type="paragraph" w:customStyle="1" w:styleId="92">
    <w:name w:val="报告正文"/>
    <w:basedOn w:val="1"/>
    <w:qFormat/>
    <w:uiPriority w:val="0"/>
    <w:pPr>
      <w:adjustRightInd w:val="0"/>
    </w:pPr>
    <w:rPr>
      <w:szCs w:val="20"/>
    </w:rPr>
  </w:style>
  <w:style w:type="paragraph" w:customStyle="1" w:styleId="93">
    <w:name w:val="表格标题1"/>
    <w:next w:val="1"/>
    <w:qFormat/>
    <w:uiPriority w:val="0"/>
    <w:pPr>
      <w:jc w:val="center"/>
    </w:pPr>
    <w:rPr>
      <w:rFonts w:ascii="Times New Roman" w:hAnsi="Times New Roman" w:eastAsia="黑体" w:cs="Times New Roman"/>
      <w:sz w:val="21"/>
      <w:lang w:val="en-US" w:eastAsia="zh-CN" w:bidi="ar-SA"/>
    </w:rPr>
  </w:style>
  <w:style w:type="paragraph" w:customStyle="1" w:styleId="94">
    <w:name w:val="正文2"/>
    <w:basedOn w:val="15"/>
    <w:next w:val="1"/>
    <w:qFormat/>
    <w:uiPriority w:val="0"/>
    <w:pPr>
      <w:tabs>
        <w:tab w:val="left" w:pos="377"/>
      </w:tabs>
    </w:pPr>
  </w:style>
  <w:style w:type="paragraph" w:customStyle="1" w:styleId="95">
    <w:name w:val="表文居中"/>
    <w:basedOn w:val="1"/>
    <w:qFormat/>
    <w:uiPriority w:val="0"/>
    <w:pPr>
      <w:autoSpaceDE w:val="0"/>
      <w:autoSpaceDN w:val="0"/>
      <w:spacing w:before="20"/>
      <w:jc w:val="center"/>
    </w:pPr>
  </w:style>
  <w:style w:type="character" w:customStyle="1" w:styleId="96">
    <w:name w:val="批注文字 Char"/>
    <w:basedOn w:val="36"/>
    <w:link w:val="13"/>
    <w:semiHidden/>
    <w:qFormat/>
    <w:uiPriority w:val="0"/>
    <w:rPr>
      <w:szCs w:val="24"/>
    </w:rPr>
  </w:style>
  <w:style w:type="character" w:customStyle="1" w:styleId="97">
    <w:name w:val="批注主题 Char"/>
    <w:basedOn w:val="96"/>
    <w:link w:val="32"/>
    <w:qFormat/>
    <w:uiPriority w:val="0"/>
    <w:rPr>
      <w:b/>
      <w:bCs/>
      <w:kern w:val="2"/>
      <w:sz w:val="21"/>
      <w:szCs w:val="24"/>
    </w:rPr>
  </w:style>
  <w:style w:type="character" w:customStyle="1" w:styleId="98">
    <w:name w:val="批注框文本 Char"/>
    <w:basedOn w:val="36"/>
    <w:link w:val="20"/>
    <w:qFormat/>
    <w:uiPriority w:val="0"/>
    <w:rPr>
      <w:kern w:val="2"/>
      <w:sz w:val="18"/>
      <w:szCs w:val="18"/>
    </w:rPr>
  </w:style>
  <w:style w:type="paragraph" w:customStyle="1" w:styleId="99">
    <w:name w:val="zw"/>
    <w:basedOn w:val="1"/>
    <w:qFormat/>
    <w:uiPriority w:val="0"/>
    <w:pPr>
      <w:shd w:val="clear" w:color="auto" w:fill="FFFFFF"/>
      <w:adjustRightInd w:val="0"/>
      <w:snapToGrid w:val="0"/>
      <w:spacing w:line="360" w:lineRule="auto"/>
      <w:ind w:firstLine="480" w:firstLineChars="200"/>
    </w:pPr>
    <w:rPr>
      <w:snapToGrid w:val="0"/>
      <w:kern w:val="0"/>
      <w:sz w:val="24"/>
    </w:rPr>
  </w:style>
  <w:style w:type="paragraph" w:customStyle="1" w:styleId="100">
    <w:name w:val="正文-欣欣"/>
    <w:basedOn w:val="19"/>
    <w:next w:val="1"/>
    <w:qFormat/>
    <w:uiPriority w:val="0"/>
    <w:pPr>
      <w:widowControl w:val="0"/>
      <w:tabs>
        <w:tab w:val="left" w:pos="3300"/>
      </w:tabs>
      <w:spacing w:after="0" w:line="360" w:lineRule="auto"/>
      <w:ind w:firstLine="200" w:firstLineChars="200"/>
    </w:pPr>
    <w:rPr>
      <w:rFonts w:ascii="Times New Roman" w:hAnsi="Times New Roman" w:eastAsia="宋体"/>
      <w:kern w:val="2"/>
      <w:sz w:val="24"/>
      <w:szCs w:val="30"/>
    </w:rPr>
  </w:style>
  <w:style w:type="paragraph" w:customStyle="1" w:styleId="101">
    <w:name w:val="环评正文"/>
    <w:basedOn w:val="1"/>
    <w:qFormat/>
    <w:uiPriority w:val="0"/>
    <w:pPr>
      <w:adjustRightInd w:val="0"/>
      <w:snapToGrid w:val="0"/>
      <w:spacing w:line="420" w:lineRule="auto"/>
      <w:ind w:firstLine="720" w:firstLineChars="200"/>
      <w:jc w:val="left"/>
    </w:pPr>
    <w:rPr>
      <w:rFonts w:hint="eastAsia" w:ascii="宋体" w:hAnsi="宋体" w:eastAsia="宋体" w:cs="宋体"/>
      <w:sz w:val="24"/>
      <w:szCs w:val="21"/>
    </w:rPr>
  </w:style>
  <w:style w:type="paragraph" w:customStyle="1" w:styleId="102">
    <w:name w:val="图表标题"/>
    <w:basedOn w:val="1"/>
    <w:autoRedefine/>
    <w:qFormat/>
    <w:uiPriority w:val="0"/>
    <w:pPr>
      <w:jc w:val="center"/>
    </w:pPr>
    <w:rPr>
      <w:rFonts w:cs="Times New Roman"/>
      <w:b/>
      <w:szCs w:val="21"/>
    </w:rPr>
  </w:style>
  <w:style w:type="paragraph" w:customStyle="1" w:styleId="103">
    <w:name w:val="Normal_0"/>
    <w:qFormat/>
    <w:uiPriority w:val="0"/>
    <w:pPr>
      <w:widowControl w:val="0"/>
      <w:spacing w:line="360" w:lineRule="auto"/>
      <w:ind w:firstLine="200" w:firstLineChars="200"/>
      <w:jc w:val="both"/>
    </w:pPr>
    <w:rPr>
      <w:rFonts w:ascii="Times New Roman" w:hAnsi="Times New Roman" w:eastAsia="仿宋" w:cs="Times New Roman"/>
      <w:kern w:val="2"/>
      <w:sz w:val="28"/>
      <w:szCs w:val="21"/>
    </w:rPr>
  </w:style>
  <w:style w:type="paragraph" w:customStyle="1" w:styleId="104">
    <w:name w:val="Other|1"/>
    <w:basedOn w:val="1"/>
    <w:autoRedefine/>
    <w:qFormat/>
    <w:uiPriority w:val="0"/>
    <w:pPr>
      <w:spacing w:line="360" w:lineRule="auto"/>
      <w:ind w:firstLine="200" w:firstLineChars="200"/>
      <w:jc w:val="center"/>
    </w:pPr>
    <w:rPr>
      <w:rFonts w:ascii="宋体" w:hAnsi="宋体" w:cs="宋体"/>
      <w:sz w:val="19"/>
      <w:szCs w:val="19"/>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pn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emf"/><Relationship Id="rId14" Type="http://schemas.openxmlformats.org/officeDocument/2006/relationships/oleObject" Target="embeddings/oleObject3.bin"/><Relationship Id="rId13" Type="http://schemas.openxmlformats.org/officeDocument/2006/relationships/image" Target="media/image4.emf"/><Relationship Id="rId12" Type="http://schemas.openxmlformats.org/officeDocument/2006/relationships/oleObject" Target="embeddings/oleObject2.bin"/><Relationship Id="rId11" Type="http://schemas.openxmlformats.org/officeDocument/2006/relationships/image" Target="media/image3.jpeg"/><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99</Pages>
  <Words>18379</Words>
  <Characters>20085</Characters>
  <Lines>545</Lines>
  <Paragraphs>153</Paragraphs>
  <TotalTime>6</TotalTime>
  <ScaleCrop>false</ScaleCrop>
  <LinksUpToDate>false</LinksUpToDate>
  <CharactersWithSpaces>20177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2022-07-21T07:53:00Z</dcterms:created>
  <dc:creator>Administrator</dc:creator>
  <cp:lastModifiedBy>等风</cp:lastModifiedBy>
  <dcterms:modified xsi:type="dcterms:W3CDTF">2026-07-16T01:24:51Z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4B5D3DA59B7B4DA094739D0BC7B9B414</vt:lpwstr>
  </property>
  <property fmtid="{D5CDD505-2E9C-101B-9397-08002B2CF9AE}" pid="4" name="KSOTemplateDocerSaveRecord">
    <vt:lpwstr>eyJoZGlkIjoiNDE1YjM3OTVhNDdiNDkzZDkyYTdiMjQzNmVhMGI4OWIiLCJ1c2VySWQiOiI1MTQ5MTEwMzUifQ==</vt:lpwstr>
  </property>
</Properties>
</file>